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1222C09B" w:rsidR="00F4525C" w:rsidRDefault="005271B0" w:rsidP="009B61E5">
          <w:pPr>
            <w:pStyle w:val="VCAADocumenttitle"/>
          </w:pPr>
          <w:r w:rsidRPr="005271B0">
            <w:t>Unit 2 Civic Numeracy Module 4 Focus Areas - Data &amp; Likelihood Water Saving Plan</w:t>
          </w:r>
        </w:p>
      </w:sdtContent>
    </w:sdt>
    <w:tbl>
      <w:tblPr>
        <w:tblStyle w:val="TableGrid46"/>
        <w:tblW w:w="21541" w:type="dxa"/>
        <w:tblLayout w:type="fixed"/>
        <w:tblCellMar>
          <w:top w:w="108" w:type="dxa"/>
          <w:bottom w:w="108" w:type="dxa"/>
        </w:tblCellMar>
        <w:tblLook w:val="04A0" w:firstRow="1" w:lastRow="0" w:firstColumn="1" w:lastColumn="0" w:noHBand="0" w:noVBand="1"/>
      </w:tblPr>
      <w:tblGrid>
        <w:gridCol w:w="680"/>
        <w:gridCol w:w="2265"/>
        <w:gridCol w:w="2265"/>
        <w:gridCol w:w="2212"/>
        <w:gridCol w:w="2212"/>
        <w:gridCol w:w="1984"/>
        <w:gridCol w:w="1985"/>
        <w:gridCol w:w="1984"/>
        <w:gridCol w:w="1985"/>
        <w:gridCol w:w="3969"/>
      </w:tblGrid>
      <w:tr w:rsidR="005271B0" w:rsidRPr="005271B0" w14:paraId="09B7B925" w14:textId="77777777" w:rsidTr="00115F52">
        <w:trPr>
          <w:cantSplit/>
          <w:trHeight w:val="1293"/>
        </w:trPr>
        <w:tc>
          <w:tcPr>
            <w:tcW w:w="680" w:type="dxa"/>
            <w:shd w:val="clear" w:color="auto" w:fill="auto"/>
            <w:textDirection w:val="tbRl"/>
            <w:vAlign w:val="center"/>
          </w:tcPr>
          <w:p w14:paraId="71A45A10" w14:textId="77777777" w:rsidR="005271B0" w:rsidRPr="005271B0" w:rsidRDefault="005271B0" w:rsidP="005271B0">
            <w:pPr>
              <w:ind w:left="113" w:right="113"/>
              <w:jc w:val="center"/>
              <w:rPr>
                <w:rFonts w:ascii="Arial Narrow" w:eastAsia="Times New Roman" w:hAnsi="Arial Narrow" w:cs="Arial"/>
                <w:b/>
                <w:sz w:val="20"/>
                <w:szCs w:val="20"/>
                <w:lang w:eastAsia="en-AU"/>
              </w:rPr>
            </w:pPr>
            <w:bookmarkStart w:id="0" w:name="TemplateOverview"/>
            <w:bookmarkEnd w:id="0"/>
            <w:r w:rsidRPr="005271B0">
              <w:rPr>
                <w:rFonts w:ascii="Arial Narrow" w:eastAsia="Times New Roman" w:hAnsi="Arial Narrow" w:cs="Arial"/>
                <w:b/>
                <w:sz w:val="20"/>
                <w:szCs w:val="20"/>
                <w:lang w:eastAsia="en-AU"/>
              </w:rPr>
              <w:t>Excelling</w:t>
            </w:r>
          </w:p>
        </w:tc>
        <w:tc>
          <w:tcPr>
            <w:tcW w:w="2265" w:type="dxa"/>
            <w:shd w:val="clear" w:color="auto" w:fill="auto"/>
            <w:vAlign w:val="center"/>
          </w:tcPr>
          <w:p w14:paraId="492002BC"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collect and collate data, and select appropriate means to display the data</w:t>
            </w:r>
          </w:p>
        </w:tc>
        <w:tc>
          <w:tcPr>
            <w:tcW w:w="2265" w:type="dxa"/>
            <w:tcBorders>
              <w:right w:val="single" w:sz="24" w:space="0" w:color="auto"/>
            </w:tcBorders>
            <w:shd w:val="clear" w:color="auto" w:fill="auto"/>
            <w:vAlign w:val="center"/>
          </w:tcPr>
          <w:p w14:paraId="6C15C7E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read, locate and interpret key facts from simple tables and graphs</w:t>
            </w:r>
          </w:p>
        </w:tc>
        <w:tc>
          <w:tcPr>
            <w:tcW w:w="2212" w:type="dxa"/>
            <w:tcBorders>
              <w:left w:val="single" w:sz="24" w:space="0" w:color="auto"/>
            </w:tcBorders>
            <w:shd w:val="clear" w:color="auto" w:fill="auto"/>
            <w:vAlign w:val="center"/>
          </w:tcPr>
          <w:p w14:paraId="1AA3C2F0"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use everyday language and some mathematical terms such as percentages to talk about the likelihood of an event occurring</w:t>
            </w:r>
          </w:p>
        </w:tc>
        <w:tc>
          <w:tcPr>
            <w:tcW w:w="2212" w:type="dxa"/>
            <w:tcBorders>
              <w:right w:val="single" w:sz="24" w:space="0" w:color="auto"/>
            </w:tcBorders>
            <w:shd w:val="clear" w:color="auto" w:fill="auto"/>
            <w:vAlign w:val="center"/>
          </w:tcPr>
          <w:p w14:paraId="177A4423"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use everyday language of chance and likelihood and basic percentage magnitudes to order and compare the likelihood of different events</w:t>
            </w:r>
          </w:p>
        </w:tc>
        <w:tc>
          <w:tcPr>
            <w:tcW w:w="1984" w:type="dxa"/>
            <w:tcBorders>
              <w:left w:val="single" w:sz="24" w:space="0" w:color="auto"/>
            </w:tcBorders>
            <w:shd w:val="clear" w:color="auto" w:fill="auto"/>
            <w:vAlign w:val="center"/>
          </w:tcPr>
          <w:p w14:paraId="4894A91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Detailed identification and interpretation of key mathematical information in the context of the task</w:t>
            </w:r>
          </w:p>
          <w:p w14:paraId="0A28926F" w14:textId="77777777" w:rsidR="005271B0" w:rsidRPr="005271B0" w:rsidRDefault="005271B0" w:rsidP="005271B0">
            <w:pPr>
              <w:jc w:val="center"/>
              <w:rPr>
                <w:rFonts w:ascii="Arial Narrow" w:eastAsia="Times New Roman" w:hAnsi="Arial Narrow" w:cs="Times New Roman"/>
                <w:sz w:val="18"/>
                <w:szCs w:val="18"/>
                <w:lang w:eastAsia="en-AU"/>
              </w:rPr>
            </w:pPr>
          </w:p>
          <w:p w14:paraId="51865815"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Develops a short and clear plan to complete the task</w:t>
            </w:r>
          </w:p>
        </w:tc>
        <w:tc>
          <w:tcPr>
            <w:tcW w:w="1985" w:type="dxa"/>
            <w:shd w:val="clear" w:color="auto" w:fill="auto"/>
            <w:vAlign w:val="center"/>
          </w:tcPr>
          <w:p w14:paraId="29EDFA77"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Identifies and uses the most relevant mathematical actions, and processes to complete the task.</w:t>
            </w:r>
          </w:p>
        </w:tc>
        <w:tc>
          <w:tcPr>
            <w:tcW w:w="1984" w:type="dxa"/>
            <w:shd w:val="clear" w:color="auto" w:fill="auto"/>
            <w:vAlign w:val="center"/>
          </w:tcPr>
          <w:p w14:paraId="29AE8318"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Thoroughly checks all results to see if they are as expected.</w:t>
            </w:r>
          </w:p>
          <w:p w14:paraId="26E7FDB9" w14:textId="77777777" w:rsidR="005271B0" w:rsidRPr="005271B0" w:rsidRDefault="005271B0" w:rsidP="005271B0">
            <w:pPr>
              <w:jc w:val="center"/>
              <w:rPr>
                <w:rFonts w:ascii="Arial Narrow" w:eastAsia="Times New Roman" w:hAnsi="Arial Narrow" w:cs="Times New Roman"/>
                <w:sz w:val="18"/>
                <w:szCs w:val="18"/>
                <w:lang w:eastAsia="en-AU"/>
              </w:rPr>
            </w:pPr>
          </w:p>
          <w:p w14:paraId="2CFD590E"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Makes decisions about the appropriateness &amp; reasonableness of answers and adjusts where necessary.</w:t>
            </w:r>
          </w:p>
        </w:tc>
        <w:tc>
          <w:tcPr>
            <w:tcW w:w="1985" w:type="dxa"/>
            <w:tcBorders>
              <w:right w:val="single" w:sz="24" w:space="0" w:color="auto"/>
            </w:tcBorders>
            <w:shd w:val="clear" w:color="auto" w:fill="auto"/>
            <w:vAlign w:val="center"/>
          </w:tcPr>
          <w:p w14:paraId="0E4E466E"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Uses formal and informal written mathematical representation and language to present and discuss the results of the task.</w:t>
            </w:r>
          </w:p>
        </w:tc>
        <w:tc>
          <w:tcPr>
            <w:tcW w:w="3969" w:type="dxa"/>
            <w:tcBorders>
              <w:left w:val="single" w:sz="24" w:space="0" w:color="auto"/>
            </w:tcBorders>
            <w:shd w:val="clear" w:color="auto" w:fill="auto"/>
            <w:vAlign w:val="center"/>
          </w:tcPr>
          <w:p w14:paraId="6BF0A35B"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Careful consideration and selection of the different tools and technology available for reading and understanding data and likelihood.</w:t>
            </w:r>
          </w:p>
        </w:tc>
      </w:tr>
      <w:tr w:rsidR="005271B0" w:rsidRPr="005271B0" w14:paraId="5F5E50F7" w14:textId="77777777" w:rsidTr="00115F52">
        <w:trPr>
          <w:cantSplit/>
          <w:trHeight w:val="1066"/>
        </w:trPr>
        <w:tc>
          <w:tcPr>
            <w:tcW w:w="680" w:type="dxa"/>
            <w:shd w:val="clear" w:color="auto" w:fill="auto"/>
            <w:textDirection w:val="tbRl"/>
            <w:vAlign w:val="center"/>
          </w:tcPr>
          <w:p w14:paraId="6846873F" w14:textId="77777777" w:rsidR="005271B0" w:rsidRPr="005271B0" w:rsidRDefault="005271B0" w:rsidP="005271B0">
            <w:pPr>
              <w:ind w:left="113" w:right="113"/>
              <w:jc w:val="center"/>
              <w:rPr>
                <w:rFonts w:ascii="Arial Narrow" w:eastAsia="Times New Roman" w:hAnsi="Arial Narrow" w:cs="Arial"/>
                <w:b/>
                <w:sz w:val="20"/>
                <w:szCs w:val="20"/>
                <w:lang w:eastAsia="en-AU"/>
              </w:rPr>
            </w:pPr>
            <w:r w:rsidRPr="005271B0">
              <w:rPr>
                <w:rFonts w:ascii="Arial Narrow" w:eastAsia="Times New Roman" w:hAnsi="Arial Narrow" w:cs="Arial"/>
                <w:b/>
                <w:sz w:val="20"/>
                <w:szCs w:val="20"/>
                <w:lang w:eastAsia="en-AU"/>
              </w:rPr>
              <w:t>Achieving</w:t>
            </w:r>
          </w:p>
        </w:tc>
        <w:tc>
          <w:tcPr>
            <w:tcW w:w="2265" w:type="dxa"/>
            <w:shd w:val="clear" w:color="auto" w:fill="auto"/>
            <w:vAlign w:val="center"/>
          </w:tcPr>
          <w:p w14:paraId="74BF6EA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collect and display simple familiar data using appropriate tables and graphs</w:t>
            </w:r>
          </w:p>
        </w:tc>
        <w:tc>
          <w:tcPr>
            <w:tcW w:w="2265" w:type="dxa"/>
            <w:tcBorders>
              <w:right w:val="single" w:sz="24" w:space="0" w:color="auto"/>
            </w:tcBorders>
            <w:shd w:val="clear" w:color="auto" w:fill="auto"/>
            <w:vAlign w:val="center"/>
          </w:tcPr>
          <w:p w14:paraId="6F05C72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read and locate key facts from simple tables and graphs</w:t>
            </w:r>
          </w:p>
        </w:tc>
        <w:tc>
          <w:tcPr>
            <w:tcW w:w="2212" w:type="dxa"/>
            <w:tcBorders>
              <w:left w:val="single" w:sz="24" w:space="0" w:color="auto"/>
            </w:tcBorders>
            <w:shd w:val="clear" w:color="auto" w:fill="auto"/>
            <w:vAlign w:val="center"/>
          </w:tcPr>
          <w:p w14:paraId="4BB6EB94"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use everyday language to talk about the likelihood of an event occurring</w:t>
            </w:r>
          </w:p>
        </w:tc>
        <w:tc>
          <w:tcPr>
            <w:tcW w:w="2212" w:type="dxa"/>
            <w:tcBorders>
              <w:right w:val="single" w:sz="24" w:space="0" w:color="auto"/>
            </w:tcBorders>
            <w:shd w:val="clear" w:color="auto" w:fill="auto"/>
            <w:vAlign w:val="center"/>
          </w:tcPr>
          <w:p w14:paraId="43786BB3"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use everyday language of chance and likelihood to order and compare the likelihood of different events</w:t>
            </w:r>
          </w:p>
        </w:tc>
        <w:tc>
          <w:tcPr>
            <w:tcW w:w="1984" w:type="dxa"/>
            <w:tcBorders>
              <w:left w:val="single" w:sz="24" w:space="0" w:color="auto"/>
            </w:tcBorders>
            <w:shd w:val="clear" w:color="auto" w:fill="auto"/>
            <w:vAlign w:val="center"/>
          </w:tcPr>
          <w:p w14:paraId="7DC8912F"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identify and interpret the relevant mathematical information in the context of the task</w:t>
            </w:r>
          </w:p>
          <w:p w14:paraId="1276AC24" w14:textId="77777777" w:rsidR="005271B0" w:rsidRPr="005271B0" w:rsidRDefault="005271B0" w:rsidP="005271B0">
            <w:pPr>
              <w:jc w:val="center"/>
              <w:rPr>
                <w:rFonts w:ascii="Arial Narrow" w:eastAsia="Times New Roman" w:hAnsi="Arial Narrow" w:cs="Times New Roman"/>
                <w:sz w:val="18"/>
                <w:szCs w:val="18"/>
                <w:lang w:eastAsia="en-AU"/>
              </w:rPr>
            </w:pPr>
          </w:p>
          <w:p w14:paraId="6DB6A27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Develops a simple short plan to complete the task.</w:t>
            </w:r>
          </w:p>
        </w:tc>
        <w:tc>
          <w:tcPr>
            <w:tcW w:w="1985" w:type="dxa"/>
            <w:shd w:val="clear" w:color="auto" w:fill="auto"/>
            <w:vAlign w:val="center"/>
          </w:tcPr>
          <w:p w14:paraId="12848535"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Selects and uses relevant mathematical actions, and processes to complete the tasks</w:t>
            </w:r>
          </w:p>
        </w:tc>
        <w:tc>
          <w:tcPr>
            <w:tcW w:w="1984" w:type="dxa"/>
            <w:shd w:val="clear" w:color="auto" w:fill="auto"/>
            <w:vAlign w:val="center"/>
          </w:tcPr>
          <w:p w14:paraId="00F6F609"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check results to see if they are as expected</w:t>
            </w:r>
          </w:p>
          <w:p w14:paraId="1D495817" w14:textId="77777777" w:rsidR="005271B0" w:rsidRPr="005271B0" w:rsidRDefault="005271B0" w:rsidP="005271B0">
            <w:pPr>
              <w:jc w:val="center"/>
              <w:rPr>
                <w:rFonts w:ascii="Arial Narrow" w:eastAsia="Times New Roman" w:hAnsi="Arial Narrow" w:cs="Times New Roman"/>
                <w:sz w:val="18"/>
                <w:szCs w:val="18"/>
                <w:lang w:eastAsia="en-AU"/>
              </w:rPr>
            </w:pPr>
          </w:p>
          <w:p w14:paraId="21C53344"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review the appropriateness &amp; reasonableness of answers and adjust if necessary</w:t>
            </w:r>
          </w:p>
        </w:tc>
        <w:tc>
          <w:tcPr>
            <w:tcW w:w="1985" w:type="dxa"/>
            <w:tcBorders>
              <w:right w:val="single" w:sz="24" w:space="0" w:color="auto"/>
            </w:tcBorders>
            <w:shd w:val="clear" w:color="auto" w:fill="auto"/>
            <w:vAlign w:val="center"/>
          </w:tcPr>
          <w:p w14:paraId="254C6C91"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Uses informal and some formal mathematical representation and language to present and discuss the results of the task</w:t>
            </w:r>
          </w:p>
        </w:tc>
        <w:tc>
          <w:tcPr>
            <w:tcW w:w="3969" w:type="dxa"/>
            <w:tcBorders>
              <w:left w:val="single" w:sz="24" w:space="0" w:color="auto"/>
            </w:tcBorders>
            <w:shd w:val="clear" w:color="auto" w:fill="auto"/>
            <w:vAlign w:val="center"/>
          </w:tcPr>
          <w:p w14:paraId="7FEDC2F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 xml:space="preserve">Appropriate selection and use of tools and technology for reading and understanding data and likelihood. </w:t>
            </w:r>
          </w:p>
        </w:tc>
      </w:tr>
      <w:tr w:rsidR="005271B0" w:rsidRPr="005271B0" w14:paraId="0D23AACC" w14:textId="77777777" w:rsidTr="00115F52">
        <w:trPr>
          <w:cantSplit/>
          <w:trHeight w:val="685"/>
        </w:trPr>
        <w:tc>
          <w:tcPr>
            <w:tcW w:w="680" w:type="dxa"/>
            <w:shd w:val="clear" w:color="auto" w:fill="auto"/>
            <w:textDirection w:val="tbRl"/>
            <w:vAlign w:val="center"/>
          </w:tcPr>
          <w:p w14:paraId="40550F4A" w14:textId="77777777" w:rsidR="005271B0" w:rsidRPr="005271B0" w:rsidRDefault="005271B0" w:rsidP="005271B0">
            <w:pPr>
              <w:ind w:left="113" w:right="113"/>
              <w:jc w:val="center"/>
              <w:rPr>
                <w:rFonts w:ascii="Arial Narrow" w:eastAsia="Times New Roman" w:hAnsi="Arial Narrow" w:cs="Arial"/>
                <w:b/>
                <w:sz w:val="20"/>
                <w:szCs w:val="20"/>
                <w:lang w:eastAsia="en-AU"/>
              </w:rPr>
            </w:pPr>
            <w:r w:rsidRPr="005271B0">
              <w:rPr>
                <w:rFonts w:ascii="Arial Narrow" w:eastAsia="Times New Roman" w:hAnsi="Arial Narrow" w:cs="Arial"/>
                <w:b/>
                <w:sz w:val="20"/>
                <w:szCs w:val="20"/>
                <w:lang w:eastAsia="en-AU"/>
              </w:rPr>
              <w:t>Satisfactory</w:t>
            </w:r>
          </w:p>
        </w:tc>
        <w:tc>
          <w:tcPr>
            <w:tcW w:w="2265" w:type="dxa"/>
            <w:shd w:val="clear" w:color="auto" w:fill="auto"/>
            <w:vAlign w:val="center"/>
          </w:tcPr>
          <w:p w14:paraId="1A385184"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collect simple familiar data.</w:t>
            </w:r>
          </w:p>
          <w:p w14:paraId="7D9C014D" w14:textId="77777777" w:rsidR="005271B0" w:rsidRPr="005271B0" w:rsidRDefault="005271B0" w:rsidP="005271B0">
            <w:pPr>
              <w:jc w:val="center"/>
              <w:rPr>
                <w:rFonts w:ascii="Arial Narrow" w:eastAsia="Times New Roman" w:hAnsi="Arial Narrow" w:cs="Times New Roman"/>
                <w:sz w:val="18"/>
                <w:szCs w:val="18"/>
                <w:lang w:eastAsia="en-AU"/>
              </w:rPr>
            </w:pPr>
          </w:p>
          <w:p w14:paraId="64EAEAB2"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display provided data in suggested graphs and tables</w:t>
            </w:r>
          </w:p>
        </w:tc>
        <w:tc>
          <w:tcPr>
            <w:tcW w:w="2265" w:type="dxa"/>
            <w:tcBorders>
              <w:right w:val="single" w:sz="24" w:space="0" w:color="auto"/>
            </w:tcBorders>
            <w:shd w:val="clear" w:color="auto" w:fill="auto"/>
            <w:vAlign w:val="center"/>
          </w:tcPr>
          <w:p w14:paraId="233A9518"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identify simple information from tables and graphs</w:t>
            </w:r>
          </w:p>
        </w:tc>
        <w:tc>
          <w:tcPr>
            <w:tcW w:w="2212" w:type="dxa"/>
            <w:tcBorders>
              <w:left w:val="single" w:sz="24" w:space="0" w:color="auto"/>
            </w:tcBorders>
            <w:shd w:val="clear" w:color="auto" w:fill="auto"/>
            <w:vAlign w:val="center"/>
          </w:tcPr>
          <w:p w14:paraId="197678D0"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 xml:space="preserve">Can recognise everyday language that indicates chance and likelihood </w:t>
            </w:r>
          </w:p>
        </w:tc>
        <w:tc>
          <w:tcPr>
            <w:tcW w:w="2212" w:type="dxa"/>
            <w:tcBorders>
              <w:right w:val="single" w:sz="24" w:space="0" w:color="auto"/>
            </w:tcBorders>
            <w:shd w:val="clear" w:color="auto" w:fill="auto"/>
            <w:vAlign w:val="center"/>
          </w:tcPr>
          <w:p w14:paraId="710574CA"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 xml:space="preserve">Can order and compare everyday words that indicate chance and likelihood </w:t>
            </w:r>
          </w:p>
        </w:tc>
        <w:tc>
          <w:tcPr>
            <w:tcW w:w="1984" w:type="dxa"/>
            <w:tcBorders>
              <w:left w:val="single" w:sz="24" w:space="0" w:color="auto"/>
            </w:tcBorders>
            <w:shd w:val="clear" w:color="auto" w:fill="auto"/>
            <w:vAlign w:val="center"/>
          </w:tcPr>
          <w:p w14:paraId="795E502E"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With prompting and advice can identify the purpose of the task and make a simple short plan to complete the task.</w:t>
            </w:r>
          </w:p>
        </w:tc>
        <w:tc>
          <w:tcPr>
            <w:tcW w:w="1985" w:type="dxa"/>
            <w:shd w:val="clear" w:color="auto" w:fill="auto"/>
            <w:vAlign w:val="center"/>
          </w:tcPr>
          <w:p w14:paraId="3236FD02"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Undertakes the given mathematical actions, and processes to complete the task</w:t>
            </w:r>
          </w:p>
        </w:tc>
        <w:tc>
          <w:tcPr>
            <w:tcW w:w="1984" w:type="dxa"/>
            <w:shd w:val="clear" w:color="auto" w:fill="auto"/>
            <w:vAlign w:val="center"/>
          </w:tcPr>
          <w:p w14:paraId="0294F8CB"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respond to prompting or questioning to check the appropriateness and reasonableness of results answers</w:t>
            </w:r>
          </w:p>
        </w:tc>
        <w:tc>
          <w:tcPr>
            <w:tcW w:w="1985" w:type="dxa"/>
            <w:tcBorders>
              <w:right w:val="single" w:sz="24" w:space="0" w:color="auto"/>
            </w:tcBorders>
            <w:shd w:val="clear" w:color="auto" w:fill="auto"/>
            <w:vAlign w:val="center"/>
          </w:tcPr>
          <w:p w14:paraId="281926AA"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3969" w:type="dxa"/>
            <w:tcBorders>
              <w:left w:val="single" w:sz="24" w:space="0" w:color="auto"/>
            </w:tcBorders>
            <w:shd w:val="clear" w:color="auto" w:fill="auto"/>
            <w:vAlign w:val="center"/>
          </w:tcPr>
          <w:p w14:paraId="67ED13F6"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Appropriate use of tools and technology for reading and understanding data and likelihood, when supported and scaffolded by the teacher.</w:t>
            </w:r>
          </w:p>
        </w:tc>
      </w:tr>
      <w:tr w:rsidR="005271B0" w:rsidRPr="005271B0" w14:paraId="5BD16D77" w14:textId="77777777" w:rsidTr="00115F52">
        <w:trPr>
          <w:cantSplit/>
          <w:trHeight w:val="1053"/>
        </w:trPr>
        <w:tc>
          <w:tcPr>
            <w:tcW w:w="680" w:type="dxa"/>
            <w:vMerge w:val="restart"/>
            <w:shd w:val="clear" w:color="auto" w:fill="auto"/>
            <w:textDirection w:val="tbRl"/>
            <w:vAlign w:val="center"/>
          </w:tcPr>
          <w:p w14:paraId="2C5C1333" w14:textId="77777777" w:rsidR="005271B0" w:rsidRPr="005271B0" w:rsidRDefault="005271B0" w:rsidP="005271B0">
            <w:pPr>
              <w:ind w:left="113" w:right="113"/>
              <w:jc w:val="center"/>
              <w:rPr>
                <w:rFonts w:ascii="Arial Narrow" w:eastAsia="Times New Roman" w:hAnsi="Arial Narrow" w:cs="Arial"/>
                <w:b/>
                <w:sz w:val="20"/>
                <w:szCs w:val="20"/>
                <w:lang w:eastAsia="en-AU"/>
              </w:rPr>
            </w:pPr>
            <w:r w:rsidRPr="005271B0">
              <w:rPr>
                <w:rFonts w:ascii="Arial Narrow" w:eastAsia="Times New Roman" w:hAnsi="Arial Narrow" w:cs="Arial"/>
                <w:b/>
                <w:sz w:val="20"/>
                <w:szCs w:val="20"/>
                <w:lang w:eastAsia="en-AU"/>
              </w:rPr>
              <w:t>Not yet satisfactory</w:t>
            </w:r>
          </w:p>
        </w:tc>
        <w:tc>
          <w:tcPr>
            <w:tcW w:w="2265" w:type="dxa"/>
            <w:shd w:val="clear" w:color="auto" w:fill="auto"/>
            <w:vAlign w:val="center"/>
          </w:tcPr>
          <w:p w14:paraId="6359631E"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 xml:space="preserve">Can record provided data in suggested tables and graphs </w:t>
            </w:r>
          </w:p>
        </w:tc>
        <w:tc>
          <w:tcPr>
            <w:tcW w:w="2265" w:type="dxa"/>
            <w:tcBorders>
              <w:right w:val="single" w:sz="24" w:space="0" w:color="auto"/>
            </w:tcBorders>
            <w:shd w:val="clear" w:color="auto" w:fill="auto"/>
            <w:vAlign w:val="center"/>
          </w:tcPr>
          <w:p w14:paraId="773C5CB2"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recognise key features of simple tables and graphs</w:t>
            </w:r>
          </w:p>
        </w:tc>
        <w:tc>
          <w:tcPr>
            <w:tcW w:w="2212" w:type="dxa"/>
            <w:tcBorders>
              <w:left w:val="single" w:sz="24" w:space="0" w:color="auto"/>
            </w:tcBorders>
            <w:shd w:val="clear" w:color="auto" w:fill="auto"/>
            <w:vAlign w:val="center"/>
          </w:tcPr>
          <w:p w14:paraId="61BD20F5"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list everyday words that indicate chance and likelihood</w:t>
            </w:r>
          </w:p>
        </w:tc>
        <w:tc>
          <w:tcPr>
            <w:tcW w:w="2212" w:type="dxa"/>
            <w:tcBorders>
              <w:right w:val="single" w:sz="24" w:space="0" w:color="auto"/>
            </w:tcBorders>
            <w:shd w:val="clear" w:color="auto" w:fill="auto"/>
            <w:vAlign w:val="center"/>
          </w:tcPr>
          <w:p w14:paraId="2FA6406E"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Can order everyday words that indicate chance and likelihood</w:t>
            </w:r>
          </w:p>
        </w:tc>
        <w:tc>
          <w:tcPr>
            <w:tcW w:w="1984" w:type="dxa"/>
            <w:tcBorders>
              <w:left w:val="single" w:sz="24" w:space="0" w:color="auto"/>
            </w:tcBorders>
            <w:shd w:val="clear" w:color="auto" w:fill="auto"/>
            <w:vAlign w:val="center"/>
          </w:tcPr>
          <w:p w14:paraId="1802853E"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Understands the purpose of the tasks and can follow a given plan to complete the tasks.</w:t>
            </w:r>
          </w:p>
        </w:tc>
        <w:tc>
          <w:tcPr>
            <w:tcW w:w="1985" w:type="dxa"/>
            <w:shd w:val="clear" w:color="auto" w:fill="auto"/>
            <w:vAlign w:val="center"/>
          </w:tcPr>
          <w:p w14:paraId="33BE67BA"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With support undertakes the given mathematical actions, and processes to complete the task</w:t>
            </w:r>
          </w:p>
        </w:tc>
        <w:tc>
          <w:tcPr>
            <w:tcW w:w="1984" w:type="dxa"/>
            <w:shd w:val="clear" w:color="auto" w:fill="auto"/>
            <w:vAlign w:val="center"/>
          </w:tcPr>
          <w:p w14:paraId="2A9E19FF"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Requires significant support to review the appropriateness and reasonableness of results and answers</w:t>
            </w:r>
          </w:p>
        </w:tc>
        <w:tc>
          <w:tcPr>
            <w:tcW w:w="1985" w:type="dxa"/>
            <w:tcBorders>
              <w:right w:val="single" w:sz="24" w:space="0" w:color="auto"/>
            </w:tcBorders>
            <w:shd w:val="clear" w:color="auto" w:fill="auto"/>
            <w:vAlign w:val="center"/>
          </w:tcPr>
          <w:p w14:paraId="0E5813CC"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Uses limited informal language to present and discuss the results of the task.</w:t>
            </w:r>
          </w:p>
        </w:tc>
        <w:tc>
          <w:tcPr>
            <w:tcW w:w="3969" w:type="dxa"/>
            <w:tcBorders>
              <w:left w:val="single" w:sz="24" w:space="0" w:color="auto"/>
            </w:tcBorders>
            <w:shd w:val="clear" w:color="auto" w:fill="auto"/>
            <w:vAlign w:val="center"/>
          </w:tcPr>
          <w:p w14:paraId="63FC2983"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Very limited or inappropriate use of tools and technology reading and understanding data and likelihood .</w:t>
            </w:r>
          </w:p>
        </w:tc>
      </w:tr>
      <w:tr w:rsidR="005271B0" w:rsidRPr="005271B0" w14:paraId="37F3D274" w14:textId="77777777" w:rsidTr="00115F52">
        <w:trPr>
          <w:cantSplit/>
          <w:trHeight w:val="20"/>
        </w:trPr>
        <w:tc>
          <w:tcPr>
            <w:tcW w:w="680" w:type="dxa"/>
            <w:vMerge/>
            <w:shd w:val="clear" w:color="auto" w:fill="auto"/>
            <w:textDirection w:val="tbRl"/>
            <w:vAlign w:val="center"/>
          </w:tcPr>
          <w:p w14:paraId="0C615722" w14:textId="77777777" w:rsidR="005271B0" w:rsidRPr="005271B0" w:rsidRDefault="005271B0" w:rsidP="005271B0">
            <w:pPr>
              <w:ind w:left="113" w:right="113"/>
              <w:jc w:val="center"/>
              <w:rPr>
                <w:rFonts w:ascii="Arial Narrow" w:eastAsia="Times New Roman" w:hAnsi="Arial Narrow" w:cs="Arial"/>
                <w:b/>
                <w:sz w:val="20"/>
                <w:szCs w:val="20"/>
                <w:lang w:eastAsia="en-AU"/>
              </w:rPr>
            </w:pPr>
          </w:p>
        </w:tc>
        <w:tc>
          <w:tcPr>
            <w:tcW w:w="2265" w:type="dxa"/>
            <w:shd w:val="clear" w:color="auto" w:fill="auto"/>
            <w:vAlign w:val="center"/>
          </w:tcPr>
          <w:p w14:paraId="0D587238"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Not Shown</w:t>
            </w:r>
          </w:p>
        </w:tc>
        <w:tc>
          <w:tcPr>
            <w:tcW w:w="2265" w:type="dxa"/>
            <w:tcBorders>
              <w:right w:val="single" w:sz="24" w:space="0" w:color="auto"/>
            </w:tcBorders>
            <w:shd w:val="clear" w:color="auto" w:fill="auto"/>
            <w:vAlign w:val="center"/>
          </w:tcPr>
          <w:p w14:paraId="15229108"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Not Shown</w:t>
            </w:r>
          </w:p>
        </w:tc>
        <w:tc>
          <w:tcPr>
            <w:tcW w:w="2212" w:type="dxa"/>
            <w:tcBorders>
              <w:left w:val="single" w:sz="24" w:space="0" w:color="auto"/>
            </w:tcBorders>
            <w:shd w:val="clear" w:color="auto" w:fill="auto"/>
            <w:vAlign w:val="center"/>
          </w:tcPr>
          <w:p w14:paraId="6A22ACB5"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Not Shown</w:t>
            </w:r>
          </w:p>
        </w:tc>
        <w:tc>
          <w:tcPr>
            <w:tcW w:w="2212" w:type="dxa"/>
            <w:tcBorders>
              <w:right w:val="single" w:sz="24" w:space="0" w:color="auto"/>
            </w:tcBorders>
            <w:shd w:val="clear" w:color="auto" w:fill="auto"/>
            <w:vAlign w:val="center"/>
          </w:tcPr>
          <w:p w14:paraId="4F487C90"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Not Shown</w:t>
            </w:r>
          </w:p>
        </w:tc>
        <w:tc>
          <w:tcPr>
            <w:tcW w:w="1984" w:type="dxa"/>
            <w:tcBorders>
              <w:left w:val="single" w:sz="24" w:space="0" w:color="auto"/>
            </w:tcBorders>
            <w:shd w:val="clear" w:color="auto" w:fill="auto"/>
          </w:tcPr>
          <w:p w14:paraId="2ADF6DDD" w14:textId="77777777" w:rsidR="005271B0" w:rsidRPr="005271B0" w:rsidRDefault="005271B0" w:rsidP="005271B0">
            <w:pPr>
              <w:jc w:val="center"/>
              <w:rPr>
                <w:rFonts w:ascii="Arial Narrow" w:eastAsia="Times New Roman" w:hAnsi="Arial Narrow" w:cs="Times New Roman"/>
                <w:bCs/>
                <w:sz w:val="18"/>
                <w:szCs w:val="18"/>
                <w:lang w:eastAsia="en-AU"/>
              </w:rPr>
            </w:pPr>
            <w:r w:rsidRPr="005271B0">
              <w:rPr>
                <w:rFonts w:ascii="Arial Narrow" w:eastAsia="Times New Roman" w:hAnsi="Arial Narrow" w:cs="Times New Roman"/>
                <w:bCs/>
                <w:sz w:val="18"/>
                <w:szCs w:val="18"/>
                <w:lang w:eastAsia="en-AU"/>
              </w:rPr>
              <w:t>Not Shown</w:t>
            </w:r>
          </w:p>
        </w:tc>
        <w:tc>
          <w:tcPr>
            <w:tcW w:w="1985" w:type="dxa"/>
            <w:shd w:val="clear" w:color="auto" w:fill="auto"/>
          </w:tcPr>
          <w:p w14:paraId="5886910C" w14:textId="77777777" w:rsidR="005271B0" w:rsidRPr="005271B0" w:rsidRDefault="005271B0" w:rsidP="005271B0">
            <w:pPr>
              <w:jc w:val="center"/>
              <w:rPr>
                <w:rFonts w:ascii="Arial Narrow" w:eastAsia="Times New Roman" w:hAnsi="Arial Narrow" w:cs="Times New Roman"/>
                <w:bCs/>
                <w:sz w:val="18"/>
                <w:szCs w:val="18"/>
                <w:lang w:eastAsia="en-AU"/>
              </w:rPr>
            </w:pPr>
            <w:r w:rsidRPr="005271B0">
              <w:rPr>
                <w:rFonts w:ascii="Arial Narrow" w:eastAsia="Times New Roman" w:hAnsi="Arial Narrow" w:cs="Times New Roman"/>
                <w:bCs/>
                <w:sz w:val="18"/>
                <w:szCs w:val="18"/>
                <w:lang w:eastAsia="en-AU"/>
              </w:rPr>
              <w:t>Not Shown</w:t>
            </w:r>
          </w:p>
        </w:tc>
        <w:tc>
          <w:tcPr>
            <w:tcW w:w="1984" w:type="dxa"/>
            <w:shd w:val="clear" w:color="auto" w:fill="auto"/>
          </w:tcPr>
          <w:p w14:paraId="3D776A6D" w14:textId="77777777" w:rsidR="005271B0" w:rsidRPr="005271B0" w:rsidRDefault="005271B0" w:rsidP="005271B0">
            <w:pPr>
              <w:jc w:val="center"/>
              <w:rPr>
                <w:rFonts w:ascii="Arial Narrow" w:eastAsia="Times New Roman" w:hAnsi="Arial Narrow" w:cs="Times New Roman"/>
                <w:sz w:val="18"/>
                <w:szCs w:val="18"/>
                <w:lang w:eastAsia="en-AU"/>
              </w:rPr>
            </w:pPr>
            <w:r w:rsidRPr="005271B0">
              <w:rPr>
                <w:rFonts w:ascii="Arial Narrow" w:eastAsia="Times New Roman" w:hAnsi="Arial Narrow" w:cs="Times New Roman"/>
                <w:sz w:val="18"/>
                <w:szCs w:val="18"/>
                <w:lang w:eastAsia="en-AU"/>
              </w:rPr>
              <w:t>Not Shown</w:t>
            </w:r>
          </w:p>
        </w:tc>
        <w:tc>
          <w:tcPr>
            <w:tcW w:w="1985" w:type="dxa"/>
            <w:tcBorders>
              <w:right w:val="single" w:sz="24" w:space="0" w:color="auto"/>
            </w:tcBorders>
            <w:shd w:val="clear" w:color="auto" w:fill="auto"/>
          </w:tcPr>
          <w:p w14:paraId="293AB51C" w14:textId="77777777" w:rsidR="005271B0" w:rsidRPr="005271B0" w:rsidRDefault="005271B0" w:rsidP="005271B0">
            <w:pPr>
              <w:jc w:val="center"/>
              <w:rPr>
                <w:rFonts w:ascii="Arial Narrow" w:eastAsia="Times New Roman" w:hAnsi="Arial Narrow" w:cs="Times New Roman"/>
                <w:bCs/>
                <w:sz w:val="18"/>
                <w:szCs w:val="18"/>
                <w:lang w:eastAsia="en-AU"/>
              </w:rPr>
            </w:pPr>
            <w:r w:rsidRPr="005271B0">
              <w:rPr>
                <w:rFonts w:ascii="Arial Narrow" w:eastAsia="Times New Roman" w:hAnsi="Arial Narrow" w:cs="Times New Roman"/>
                <w:bCs/>
                <w:sz w:val="18"/>
                <w:szCs w:val="18"/>
                <w:lang w:eastAsia="en-AU"/>
              </w:rPr>
              <w:t>Not Shown</w:t>
            </w:r>
          </w:p>
        </w:tc>
        <w:tc>
          <w:tcPr>
            <w:tcW w:w="3969" w:type="dxa"/>
            <w:tcBorders>
              <w:left w:val="single" w:sz="24" w:space="0" w:color="auto"/>
            </w:tcBorders>
            <w:shd w:val="clear" w:color="auto" w:fill="auto"/>
            <w:vAlign w:val="center"/>
          </w:tcPr>
          <w:p w14:paraId="4C42C106" w14:textId="77777777" w:rsidR="005271B0" w:rsidRPr="005271B0" w:rsidRDefault="005271B0" w:rsidP="005271B0">
            <w:pPr>
              <w:jc w:val="center"/>
              <w:rPr>
                <w:rFonts w:ascii="Arial Narrow" w:eastAsia="Times New Roman" w:hAnsi="Arial Narrow" w:cs="Times New Roman"/>
                <w:bCs/>
                <w:sz w:val="18"/>
                <w:szCs w:val="18"/>
                <w:lang w:eastAsia="en-AU"/>
              </w:rPr>
            </w:pPr>
            <w:r w:rsidRPr="005271B0">
              <w:rPr>
                <w:rFonts w:ascii="Arial Narrow" w:eastAsia="Times New Roman" w:hAnsi="Arial Narrow" w:cs="Times New Roman"/>
                <w:bCs/>
                <w:sz w:val="18"/>
                <w:szCs w:val="18"/>
                <w:lang w:eastAsia="en-AU"/>
              </w:rPr>
              <w:t>Not Shown</w:t>
            </w:r>
          </w:p>
        </w:tc>
      </w:tr>
      <w:tr w:rsidR="005271B0" w:rsidRPr="005271B0" w14:paraId="76C1CA56" w14:textId="77777777" w:rsidTr="00115F52">
        <w:trPr>
          <w:trHeight w:val="20"/>
        </w:trPr>
        <w:tc>
          <w:tcPr>
            <w:tcW w:w="680" w:type="dxa"/>
            <w:vMerge w:val="restart"/>
            <w:shd w:val="clear" w:color="auto" w:fill="auto"/>
            <w:textDirection w:val="tbRl"/>
            <w:vAlign w:val="center"/>
          </w:tcPr>
          <w:p w14:paraId="1FDD8CBA" w14:textId="77777777" w:rsidR="005271B0" w:rsidRPr="005271B0" w:rsidRDefault="005271B0" w:rsidP="005271B0">
            <w:pPr>
              <w:ind w:left="113" w:right="113"/>
              <w:jc w:val="center"/>
              <w:rPr>
                <w:rFonts w:ascii="Arial Narrow" w:eastAsia="Times New Roman" w:hAnsi="Arial Narrow" w:cs="Arial"/>
                <w:b/>
                <w:sz w:val="20"/>
                <w:szCs w:val="20"/>
                <w:lang w:eastAsia="en-AU"/>
              </w:rPr>
            </w:pPr>
            <w:r w:rsidRPr="005271B0">
              <w:rPr>
                <w:rFonts w:ascii="Arial Narrow" w:eastAsia="Times New Roman" w:hAnsi="Arial Narrow" w:cs="Arial"/>
                <w:b/>
                <w:sz w:val="20"/>
                <w:szCs w:val="20"/>
                <w:lang w:eastAsia="en-AU"/>
              </w:rPr>
              <w:t>Curriculum</w:t>
            </w:r>
          </w:p>
        </w:tc>
        <w:tc>
          <w:tcPr>
            <w:tcW w:w="2265" w:type="dxa"/>
            <w:shd w:val="clear" w:color="auto" w:fill="auto"/>
            <w:vAlign w:val="center"/>
          </w:tcPr>
          <w:p w14:paraId="116C7438"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Collect &amp; Display Data</w:t>
            </w:r>
          </w:p>
        </w:tc>
        <w:tc>
          <w:tcPr>
            <w:tcW w:w="2265" w:type="dxa"/>
            <w:tcBorders>
              <w:right w:val="single" w:sz="24" w:space="0" w:color="auto"/>
            </w:tcBorders>
            <w:shd w:val="clear" w:color="auto" w:fill="auto"/>
            <w:vAlign w:val="center"/>
          </w:tcPr>
          <w:p w14:paraId="08B3481D"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Read Tables &amp; Graphs</w:t>
            </w:r>
          </w:p>
        </w:tc>
        <w:tc>
          <w:tcPr>
            <w:tcW w:w="2212" w:type="dxa"/>
            <w:tcBorders>
              <w:left w:val="single" w:sz="24" w:space="0" w:color="auto"/>
            </w:tcBorders>
            <w:shd w:val="clear" w:color="auto" w:fill="auto"/>
            <w:vAlign w:val="center"/>
          </w:tcPr>
          <w:p w14:paraId="60E223C0"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Language of Chance</w:t>
            </w:r>
          </w:p>
        </w:tc>
        <w:tc>
          <w:tcPr>
            <w:tcW w:w="2212" w:type="dxa"/>
            <w:tcBorders>
              <w:right w:val="single" w:sz="24" w:space="0" w:color="auto"/>
            </w:tcBorders>
            <w:shd w:val="clear" w:color="auto" w:fill="auto"/>
            <w:vAlign w:val="center"/>
          </w:tcPr>
          <w:p w14:paraId="5E8264D3"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Magnitudes of Chance</w:t>
            </w:r>
          </w:p>
        </w:tc>
        <w:tc>
          <w:tcPr>
            <w:tcW w:w="1984" w:type="dxa"/>
            <w:tcBorders>
              <w:left w:val="single" w:sz="24" w:space="0" w:color="auto"/>
            </w:tcBorders>
            <w:shd w:val="clear" w:color="auto" w:fill="auto"/>
            <w:vAlign w:val="center"/>
          </w:tcPr>
          <w:p w14:paraId="4B62D7F4"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Identify the mathematics</w:t>
            </w:r>
          </w:p>
        </w:tc>
        <w:tc>
          <w:tcPr>
            <w:tcW w:w="1985" w:type="dxa"/>
            <w:shd w:val="clear" w:color="auto" w:fill="auto"/>
            <w:vAlign w:val="center"/>
          </w:tcPr>
          <w:p w14:paraId="2A039BA9"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Act on and use mathematics</w:t>
            </w:r>
          </w:p>
        </w:tc>
        <w:tc>
          <w:tcPr>
            <w:tcW w:w="1984" w:type="dxa"/>
            <w:shd w:val="clear" w:color="auto" w:fill="auto"/>
            <w:vAlign w:val="center"/>
          </w:tcPr>
          <w:p w14:paraId="67776B13"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Evaluate and Reflect</w:t>
            </w:r>
          </w:p>
        </w:tc>
        <w:tc>
          <w:tcPr>
            <w:tcW w:w="1985" w:type="dxa"/>
            <w:tcBorders>
              <w:right w:val="single" w:sz="24" w:space="0" w:color="auto"/>
            </w:tcBorders>
            <w:shd w:val="clear" w:color="auto" w:fill="auto"/>
            <w:vAlign w:val="center"/>
          </w:tcPr>
          <w:p w14:paraId="6B539915"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Communicate and report</w:t>
            </w:r>
          </w:p>
        </w:tc>
        <w:tc>
          <w:tcPr>
            <w:tcW w:w="3969" w:type="dxa"/>
            <w:tcBorders>
              <w:left w:val="single" w:sz="24" w:space="0" w:color="auto"/>
            </w:tcBorders>
            <w:shd w:val="clear" w:color="auto" w:fill="auto"/>
            <w:vAlign w:val="center"/>
          </w:tcPr>
          <w:p w14:paraId="0124AB07" w14:textId="77777777" w:rsidR="005271B0" w:rsidRPr="005271B0" w:rsidRDefault="005271B0" w:rsidP="005271B0">
            <w:pPr>
              <w:jc w:val="center"/>
              <w:rPr>
                <w:rFonts w:ascii="Arial Narrow" w:eastAsia="Times New Roman" w:hAnsi="Arial Narrow" w:cs="Times New Roman"/>
                <w:b/>
                <w:sz w:val="18"/>
                <w:szCs w:val="18"/>
                <w:lang w:eastAsia="en-AU"/>
              </w:rPr>
            </w:pPr>
            <w:r w:rsidRPr="005271B0">
              <w:rPr>
                <w:rFonts w:ascii="Arial Narrow" w:eastAsia="Times New Roman" w:hAnsi="Arial Narrow" w:cs="Times New Roman"/>
                <w:b/>
                <w:sz w:val="18"/>
                <w:szCs w:val="18"/>
                <w:lang w:eastAsia="en-AU"/>
              </w:rPr>
              <w:t>Tools and technology</w:t>
            </w:r>
          </w:p>
        </w:tc>
      </w:tr>
      <w:tr w:rsidR="005271B0" w:rsidRPr="005271B0" w14:paraId="1C37F61A" w14:textId="77777777" w:rsidTr="00115F52">
        <w:trPr>
          <w:trHeight w:val="550"/>
        </w:trPr>
        <w:tc>
          <w:tcPr>
            <w:tcW w:w="680" w:type="dxa"/>
            <w:vMerge/>
            <w:shd w:val="clear" w:color="auto" w:fill="auto"/>
            <w:vAlign w:val="center"/>
          </w:tcPr>
          <w:p w14:paraId="037C3830" w14:textId="77777777" w:rsidR="005271B0" w:rsidRPr="005271B0" w:rsidRDefault="005271B0" w:rsidP="005271B0">
            <w:pPr>
              <w:jc w:val="center"/>
              <w:rPr>
                <w:rFonts w:ascii="Arial Narrow" w:eastAsia="Times New Roman" w:hAnsi="Arial Narrow" w:cs="Times New Roman"/>
                <w:b/>
                <w:sz w:val="20"/>
                <w:szCs w:val="20"/>
                <w:lang w:eastAsia="en-AU"/>
              </w:rPr>
            </w:pPr>
          </w:p>
        </w:tc>
        <w:tc>
          <w:tcPr>
            <w:tcW w:w="4530" w:type="dxa"/>
            <w:gridSpan w:val="2"/>
            <w:tcBorders>
              <w:right w:val="single" w:sz="24" w:space="0" w:color="auto"/>
            </w:tcBorders>
            <w:shd w:val="clear" w:color="auto" w:fill="auto"/>
            <w:vAlign w:val="center"/>
          </w:tcPr>
          <w:p w14:paraId="4F843A84" w14:textId="77777777" w:rsidR="005271B0" w:rsidRPr="005271B0" w:rsidRDefault="005271B0" w:rsidP="005271B0">
            <w:pPr>
              <w:jc w:val="center"/>
              <w:rPr>
                <w:rFonts w:ascii="Arial Narrow" w:eastAsia="Times New Roman" w:hAnsi="Arial Narrow" w:cs="Times New Roman"/>
                <w:b/>
                <w:sz w:val="36"/>
                <w:szCs w:val="36"/>
                <w:lang w:eastAsia="en-AU"/>
              </w:rPr>
            </w:pPr>
            <w:r w:rsidRPr="005271B0">
              <w:rPr>
                <w:rFonts w:ascii="Arial Narrow" w:eastAsia="Times New Roman" w:hAnsi="Arial Narrow" w:cs="Times New Roman"/>
                <w:b/>
                <w:sz w:val="36"/>
                <w:szCs w:val="36"/>
                <w:lang w:eastAsia="en-AU"/>
              </w:rPr>
              <w:t>Learning Requirement 1 Focus Area: Data</w:t>
            </w:r>
          </w:p>
        </w:tc>
        <w:tc>
          <w:tcPr>
            <w:tcW w:w="4424" w:type="dxa"/>
            <w:gridSpan w:val="2"/>
            <w:tcBorders>
              <w:left w:val="single" w:sz="24" w:space="0" w:color="auto"/>
              <w:right w:val="single" w:sz="24" w:space="0" w:color="auto"/>
            </w:tcBorders>
            <w:shd w:val="clear" w:color="auto" w:fill="auto"/>
            <w:vAlign w:val="center"/>
          </w:tcPr>
          <w:p w14:paraId="1EC5B2D2" w14:textId="77777777" w:rsidR="005271B0" w:rsidRPr="005271B0" w:rsidRDefault="005271B0" w:rsidP="005271B0">
            <w:pPr>
              <w:jc w:val="center"/>
              <w:rPr>
                <w:rFonts w:ascii="Arial Narrow" w:eastAsia="Times New Roman" w:hAnsi="Arial Narrow" w:cs="Times New Roman"/>
                <w:b/>
                <w:sz w:val="36"/>
                <w:szCs w:val="36"/>
                <w:lang w:eastAsia="en-AU"/>
              </w:rPr>
            </w:pPr>
            <w:r w:rsidRPr="005271B0">
              <w:rPr>
                <w:rFonts w:ascii="Arial Narrow" w:eastAsia="Times New Roman" w:hAnsi="Arial Narrow" w:cs="Times New Roman"/>
                <w:b/>
                <w:sz w:val="36"/>
                <w:szCs w:val="36"/>
                <w:lang w:eastAsia="en-AU"/>
              </w:rPr>
              <w:t>Learning Requirement 1 Focus Area: Likelihood</w:t>
            </w:r>
          </w:p>
        </w:tc>
        <w:tc>
          <w:tcPr>
            <w:tcW w:w="7938" w:type="dxa"/>
            <w:gridSpan w:val="4"/>
            <w:tcBorders>
              <w:left w:val="single" w:sz="24" w:space="0" w:color="auto"/>
              <w:right w:val="single" w:sz="24" w:space="0" w:color="auto"/>
            </w:tcBorders>
            <w:shd w:val="clear" w:color="auto" w:fill="auto"/>
          </w:tcPr>
          <w:p w14:paraId="2169E61A" w14:textId="77777777" w:rsidR="005271B0" w:rsidRPr="005271B0" w:rsidRDefault="005271B0" w:rsidP="005271B0">
            <w:pPr>
              <w:jc w:val="center"/>
              <w:rPr>
                <w:rFonts w:ascii="Arial Narrow" w:eastAsia="Times New Roman" w:hAnsi="Arial Narrow" w:cs="Times New Roman"/>
                <w:b/>
                <w:sz w:val="36"/>
                <w:szCs w:val="36"/>
                <w:lang w:eastAsia="en-AU"/>
              </w:rPr>
            </w:pPr>
            <w:r w:rsidRPr="005271B0">
              <w:rPr>
                <w:rFonts w:ascii="Arial Narrow" w:eastAsia="Times New Roman" w:hAnsi="Arial Narrow" w:cs="Times New Roman"/>
                <w:b/>
                <w:sz w:val="36"/>
                <w:szCs w:val="36"/>
                <w:lang w:eastAsia="en-AU"/>
              </w:rPr>
              <w:t>Learning Requirement 2</w:t>
            </w:r>
          </w:p>
          <w:p w14:paraId="76AD35AE" w14:textId="77777777" w:rsidR="005271B0" w:rsidRPr="005271B0" w:rsidRDefault="005271B0" w:rsidP="005271B0">
            <w:pPr>
              <w:jc w:val="center"/>
              <w:rPr>
                <w:rFonts w:ascii="Arial Narrow" w:eastAsia="Times New Roman" w:hAnsi="Arial Narrow" w:cs="Times New Roman"/>
                <w:b/>
                <w:sz w:val="36"/>
                <w:szCs w:val="36"/>
                <w:lang w:eastAsia="en-AU"/>
              </w:rPr>
            </w:pPr>
            <w:r w:rsidRPr="005271B0">
              <w:rPr>
                <w:rFonts w:ascii="Arial Narrow" w:eastAsia="Times New Roman" w:hAnsi="Arial Narrow" w:cs="Times New Roman"/>
                <w:b/>
                <w:sz w:val="36"/>
                <w:szCs w:val="36"/>
                <w:lang w:eastAsia="en-AU"/>
              </w:rPr>
              <w:t>Problem-Solving Cycle</w:t>
            </w:r>
          </w:p>
        </w:tc>
        <w:tc>
          <w:tcPr>
            <w:tcW w:w="3969" w:type="dxa"/>
            <w:tcBorders>
              <w:left w:val="single" w:sz="24" w:space="0" w:color="auto"/>
            </w:tcBorders>
            <w:shd w:val="clear" w:color="auto" w:fill="auto"/>
            <w:vAlign w:val="center"/>
          </w:tcPr>
          <w:p w14:paraId="6DF143ED" w14:textId="77777777" w:rsidR="005271B0" w:rsidRPr="005271B0" w:rsidRDefault="005271B0" w:rsidP="005271B0">
            <w:pPr>
              <w:jc w:val="center"/>
              <w:rPr>
                <w:rFonts w:ascii="Arial Narrow" w:eastAsia="Times New Roman" w:hAnsi="Arial Narrow" w:cs="Times New Roman"/>
                <w:b/>
                <w:sz w:val="36"/>
                <w:szCs w:val="36"/>
                <w:lang w:eastAsia="en-AU"/>
              </w:rPr>
            </w:pPr>
            <w:r w:rsidRPr="005271B0">
              <w:rPr>
                <w:rFonts w:ascii="Arial Narrow" w:eastAsia="Times New Roman" w:hAnsi="Arial Narrow" w:cs="Times New Roman"/>
                <w:b/>
                <w:sz w:val="36"/>
                <w:szCs w:val="36"/>
                <w:lang w:eastAsia="en-AU"/>
              </w:rPr>
              <w:t>Learning Requirement 3</w:t>
            </w:r>
          </w:p>
          <w:p w14:paraId="5BC7D4B4" w14:textId="77777777" w:rsidR="005271B0" w:rsidRPr="005271B0" w:rsidRDefault="005271B0" w:rsidP="005271B0">
            <w:pPr>
              <w:jc w:val="center"/>
              <w:rPr>
                <w:rFonts w:ascii="Arial Narrow" w:eastAsia="Times New Roman" w:hAnsi="Arial Narrow" w:cs="Times New Roman"/>
                <w:b/>
                <w:sz w:val="36"/>
                <w:szCs w:val="36"/>
                <w:lang w:eastAsia="en-AU"/>
              </w:rPr>
            </w:pPr>
            <w:r w:rsidRPr="005271B0">
              <w:rPr>
                <w:rFonts w:ascii="Arial Narrow" w:eastAsia="Times New Roman" w:hAnsi="Arial Narrow" w:cs="Times New Roman"/>
                <w:b/>
                <w:sz w:val="36"/>
                <w:szCs w:val="36"/>
                <w:lang w:eastAsia="en-AU"/>
              </w:rPr>
              <w:t>Mathematical toolkit</w:t>
            </w:r>
          </w:p>
        </w:tc>
      </w:tr>
      <w:tr w:rsidR="005271B0" w:rsidRPr="005271B0" w14:paraId="37361C84" w14:textId="77777777" w:rsidTr="00115F52">
        <w:trPr>
          <w:trHeight w:val="791"/>
        </w:trPr>
        <w:tc>
          <w:tcPr>
            <w:tcW w:w="680" w:type="dxa"/>
            <w:vMerge/>
            <w:shd w:val="clear" w:color="auto" w:fill="auto"/>
            <w:vAlign w:val="center"/>
          </w:tcPr>
          <w:p w14:paraId="29E90ED3" w14:textId="77777777" w:rsidR="005271B0" w:rsidRPr="005271B0" w:rsidRDefault="005271B0" w:rsidP="005271B0">
            <w:pPr>
              <w:jc w:val="center"/>
              <w:rPr>
                <w:rFonts w:ascii="Arial Narrow" w:eastAsia="Times New Roman" w:hAnsi="Arial Narrow" w:cs="Times New Roman"/>
                <w:b/>
                <w:sz w:val="20"/>
                <w:szCs w:val="20"/>
                <w:lang w:eastAsia="en-AU"/>
              </w:rPr>
            </w:pPr>
          </w:p>
        </w:tc>
        <w:tc>
          <w:tcPr>
            <w:tcW w:w="4530" w:type="dxa"/>
            <w:gridSpan w:val="2"/>
            <w:tcBorders>
              <w:right w:val="single" w:sz="24" w:space="0" w:color="auto"/>
            </w:tcBorders>
            <w:shd w:val="clear" w:color="auto" w:fill="auto"/>
            <w:vAlign w:val="center"/>
          </w:tcPr>
          <w:p w14:paraId="6CEA8426" w14:textId="77777777" w:rsidR="005271B0" w:rsidRPr="005271B0" w:rsidRDefault="005271B0" w:rsidP="005271B0">
            <w:pPr>
              <w:jc w:val="center"/>
              <w:rPr>
                <w:rFonts w:ascii="Arial Narrow" w:eastAsia="Times New Roman" w:hAnsi="Arial Narrow" w:cs="Times New Roman"/>
                <w:sz w:val="20"/>
                <w:szCs w:val="20"/>
                <w:lang w:eastAsia="en-AU"/>
              </w:rPr>
            </w:pPr>
            <w:r w:rsidRPr="005271B0">
              <w:rPr>
                <w:rFonts w:ascii="Arial Narrow" w:eastAsia="Times New Roman" w:hAnsi="Arial Narrow" w:cs="Times New Roman"/>
                <w:sz w:val="20"/>
                <w:szCs w:val="20"/>
                <w:lang w:eastAsia="en-AU"/>
              </w:rPr>
              <w:t>Students should be able to collect, represent and read familiar data represented in simple graphs and tables found in the media or in everyday contexts.</w:t>
            </w:r>
          </w:p>
        </w:tc>
        <w:tc>
          <w:tcPr>
            <w:tcW w:w="4424" w:type="dxa"/>
            <w:gridSpan w:val="2"/>
            <w:tcBorders>
              <w:left w:val="single" w:sz="24" w:space="0" w:color="auto"/>
              <w:right w:val="single" w:sz="24" w:space="0" w:color="auto"/>
            </w:tcBorders>
            <w:shd w:val="clear" w:color="auto" w:fill="auto"/>
            <w:vAlign w:val="center"/>
          </w:tcPr>
          <w:p w14:paraId="7BDC9B4A" w14:textId="77777777" w:rsidR="005271B0" w:rsidRPr="005271B0" w:rsidRDefault="005271B0" w:rsidP="005271B0">
            <w:pPr>
              <w:jc w:val="center"/>
              <w:rPr>
                <w:rFonts w:ascii="Arial Narrow" w:eastAsia="Times New Roman" w:hAnsi="Arial Narrow" w:cs="Times New Roman"/>
                <w:i/>
                <w:sz w:val="20"/>
                <w:szCs w:val="20"/>
                <w:lang w:eastAsia="en-AU"/>
              </w:rPr>
            </w:pPr>
            <w:r w:rsidRPr="005271B0">
              <w:rPr>
                <w:rFonts w:ascii="Arial Narrow" w:eastAsia="Times New Roman" w:hAnsi="Arial Narrow" w:cs="Times New Roman"/>
                <w:sz w:val="20"/>
                <w:szCs w:val="20"/>
                <w:lang w:eastAsia="en-AU"/>
              </w:rPr>
              <w:t>The focus of likelihood includes being able to understand and use everyday language of likelihood and chance related to common and familiar events. Students should be able to talk about chance and risk given the likelihood of common and familiar events occurring.</w:t>
            </w:r>
          </w:p>
        </w:tc>
        <w:tc>
          <w:tcPr>
            <w:tcW w:w="7938" w:type="dxa"/>
            <w:gridSpan w:val="4"/>
            <w:tcBorders>
              <w:left w:val="single" w:sz="24" w:space="0" w:color="auto"/>
              <w:right w:val="single" w:sz="24" w:space="0" w:color="auto"/>
            </w:tcBorders>
            <w:shd w:val="clear" w:color="auto" w:fill="auto"/>
            <w:vAlign w:val="center"/>
          </w:tcPr>
          <w:p w14:paraId="593E5EE4" w14:textId="77777777" w:rsidR="005271B0" w:rsidRPr="005271B0" w:rsidRDefault="005271B0" w:rsidP="005271B0">
            <w:pPr>
              <w:jc w:val="center"/>
              <w:rPr>
                <w:rFonts w:ascii="Arial Narrow" w:eastAsia="Times New Roman" w:hAnsi="Arial Narrow" w:cs="Times New Roman"/>
                <w:sz w:val="20"/>
                <w:szCs w:val="20"/>
                <w:lang w:eastAsia="en-AU"/>
              </w:rPr>
            </w:pPr>
            <w:r w:rsidRPr="005271B0">
              <w:rPr>
                <w:rFonts w:ascii="Arial Narrow" w:eastAsia="Times New Roman" w:hAnsi="Arial Narrow" w:cs="Times New Roman"/>
                <w:sz w:val="20"/>
                <w:szCs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3969" w:type="dxa"/>
            <w:tcBorders>
              <w:left w:val="single" w:sz="24" w:space="0" w:color="auto"/>
            </w:tcBorders>
            <w:shd w:val="clear" w:color="auto" w:fill="auto"/>
            <w:vAlign w:val="center"/>
          </w:tcPr>
          <w:p w14:paraId="48CB3827" w14:textId="77777777" w:rsidR="005271B0" w:rsidRPr="005271B0" w:rsidRDefault="005271B0" w:rsidP="005271B0">
            <w:pPr>
              <w:jc w:val="center"/>
              <w:rPr>
                <w:rFonts w:ascii="Arial Narrow" w:eastAsia="Times New Roman" w:hAnsi="Arial Narrow" w:cs="Times New Roman"/>
                <w:i/>
                <w:sz w:val="20"/>
                <w:szCs w:val="20"/>
                <w:lang w:eastAsia="en-AU"/>
              </w:rPr>
            </w:pPr>
            <w:r w:rsidRPr="005271B0">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3BC0F2D" w:rsidR="00A922F4" w:rsidRPr="00D86DE4" w:rsidRDefault="005271B0"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2 Civic Numeracy Module 4 Focus Areas - Data &amp; Likelihood Water Saving Plan</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C7CB0"/>
    <w:multiLevelType w:val="hybridMultilevel"/>
    <w:tmpl w:val="0646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AA41B4"/>
    <w:multiLevelType w:val="hybridMultilevel"/>
    <w:tmpl w:val="7150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BA7AE1"/>
    <w:multiLevelType w:val="hybridMultilevel"/>
    <w:tmpl w:val="C6484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533F7F"/>
    <w:multiLevelType w:val="hybridMultilevel"/>
    <w:tmpl w:val="EB78E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F92D3F"/>
    <w:multiLevelType w:val="hybridMultilevel"/>
    <w:tmpl w:val="1472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4687F19"/>
    <w:multiLevelType w:val="hybridMultilevel"/>
    <w:tmpl w:val="66BA4C44"/>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7A9A3265"/>
    <w:multiLevelType w:val="hybridMultilevel"/>
    <w:tmpl w:val="EB78E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566039"/>
    <w:multiLevelType w:val="hybridMultilevel"/>
    <w:tmpl w:val="847C178E"/>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16cid:durableId="1589189947">
    <w:abstractNumId w:val="13"/>
  </w:num>
  <w:num w:numId="2" w16cid:durableId="1289504498">
    <w:abstractNumId w:val="8"/>
  </w:num>
  <w:num w:numId="3" w16cid:durableId="28457807">
    <w:abstractNumId w:val="4"/>
  </w:num>
  <w:num w:numId="4" w16cid:durableId="572936984">
    <w:abstractNumId w:val="0"/>
  </w:num>
  <w:num w:numId="5" w16cid:durableId="1544515874">
    <w:abstractNumId w:val="12"/>
  </w:num>
  <w:num w:numId="6" w16cid:durableId="1035733301">
    <w:abstractNumId w:val="14"/>
  </w:num>
  <w:num w:numId="7" w16cid:durableId="1098067048">
    <w:abstractNumId w:val="2"/>
  </w:num>
  <w:num w:numId="8" w16cid:durableId="1096710467">
    <w:abstractNumId w:val="1"/>
  </w:num>
  <w:num w:numId="9" w16cid:durableId="1403526075">
    <w:abstractNumId w:val="7"/>
  </w:num>
  <w:num w:numId="10" w16cid:durableId="142085479">
    <w:abstractNumId w:val="6"/>
  </w:num>
  <w:num w:numId="11" w16cid:durableId="35284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095892">
    <w:abstractNumId w:val="5"/>
  </w:num>
  <w:num w:numId="13" w16cid:durableId="325213570">
    <w:abstractNumId w:val="17"/>
  </w:num>
  <w:num w:numId="14" w16cid:durableId="175776732">
    <w:abstractNumId w:val="3"/>
  </w:num>
  <w:num w:numId="15" w16cid:durableId="600183428">
    <w:abstractNumId w:val="11"/>
  </w:num>
  <w:num w:numId="16" w16cid:durableId="180626574">
    <w:abstractNumId w:val="9"/>
  </w:num>
  <w:num w:numId="17" w16cid:durableId="490365938">
    <w:abstractNumId w:val="10"/>
  </w:num>
  <w:num w:numId="18" w16cid:durableId="397243964">
    <w:abstractNumId w:val="16"/>
  </w:num>
  <w:num w:numId="19" w16cid:durableId="63268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qwUAmxYPUCwAAAA="/>
  </w:docVars>
  <w:rsids>
    <w:rsidRoot w:val="00EC4FF7"/>
    <w:rsid w:val="00003885"/>
    <w:rsid w:val="0003270F"/>
    <w:rsid w:val="0003772A"/>
    <w:rsid w:val="0005780E"/>
    <w:rsid w:val="00065CC6"/>
    <w:rsid w:val="00073304"/>
    <w:rsid w:val="00077A65"/>
    <w:rsid w:val="000A71F7"/>
    <w:rsid w:val="000E60B8"/>
    <w:rsid w:val="000F09E4"/>
    <w:rsid w:val="000F0FE6"/>
    <w:rsid w:val="000F16FD"/>
    <w:rsid w:val="001105E9"/>
    <w:rsid w:val="0015274C"/>
    <w:rsid w:val="00181ABF"/>
    <w:rsid w:val="001E7DDE"/>
    <w:rsid w:val="002279BA"/>
    <w:rsid w:val="002329F3"/>
    <w:rsid w:val="00243F0D"/>
    <w:rsid w:val="00260767"/>
    <w:rsid w:val="00262DE9"/>
    <w:rsid w:val="002647BB"/>
    <w:rsid w:val="00270E30"/>
    <w:rsid w:val="002754C1"/>
    <w:rsid w:val="002841C8"/>
    <w:rsid w:val="0028516B"/>
    <w:rsid w:val="00285C47"/>
    <w:rsid w:val="002C6F90"/>
    <w:rsid w:val="002E4FB5"/>
    <w:rsid w:val="00302FB8"/>
    <w:rsid w:val="0030358C"/>
    <w:rsid w:val="00304EA1"/>
    <w:rsid w:val="00314D81"/>
    <w:rsid w:val="00320F5E"/>
    <w:rsid w:val="00322FC6"/>
    <w:rsid w:val="0035293F"/>
    <w:rsid w:val="003755E7"/>
    <w:rsid w:val="00391986"/>
    <w:rsid w:val="003A00B4"/>
    <w:rsid w:val="003B6D30"/>
    <w:rsid w:val="003E5593"/>
    <w:rsid w:val="003E59CE"/>
    <w:rsid w:val="00414657"/>
    <w:rsid w:val="00417AA3"/>
    <w:rsid w:val="00440B32"/>
    <w:rsid w:val="00447636"/>
    <w:rsid w:val="0046078D"/>
    <w:rsid w:val="004A2ED8"/>
    <w:rsid w:val="004F30FB"/>
    <w:rsid w:val="004F5BDA"/>
    <w:rsid w:val="0051631E"/>
    <w:rsid w:val="00526802"/>
    <w:rsid w:val="005271B0"/>
    <w:rsid w:val="00537A1F"/>
    <w:rsid w:val="00566029"/>
    <w:rsid w:val="00570B45"/>
    <w:rsid w:val="00572D14"/>
    <w:rsid w:val="005923CB"/>
    <w:rsid w:val="00593445"/>
    <w:rsid w:val="00596B77"/>
    <w:rsid w:val="005B066C"/>
    <w:rsid w:val="005B391B"/>
    <w:rsid w:val="005C5C46"/>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787C19"/>
    <w:rsid w:val="007B429C"/>
    <w:rsid w:val="008012D2"/>
    <w:rsid w:val="00813C37"/>
    <w:rsid w:val="008154B5"/>
    <w:rsid w:val="00823962"/>
    <w:rsid w:val="0084485F"/>
    <w:rsid w:val="00852719"/>
    <w:rsid w:val="00860115"/>
    <w:rsid w:val="0088783C"/>
    <w:rsid w:val="008A74EB"/>
    <w:rsid w:val="008E210E"/>
    <w:rsid w:val="0090003A"/>
    <w:rsid w:val="009370BC"/>
    <w:rsid w:val="00946FF5"/>
    <w:rsid w:val="00970580"/>
    <w:rsid w:val="00983362"/>
    <w:rsid w:val="0098739B"/>
    <w:rsid w:val="009A5E59"/>
    <w:rsid w:val="009B61E5"/>
    <w:rsid w:val="009D1E89"/>
    <w:rsid w:val="00A17661"/>
    <w:rsid w:val="00A24B2D"/>
    <w:rsid w:val="00A40966"/>
    <w:rsid w:val="00A66098"/>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13458"/>
    <w:rsid w:val="00C53263"/>
    <w:rsid w:val="00C75F1D"/>
    <w:rsid w:val="00C91FE7"/>
    <w:rsid w:val="00CB68E8"/>
    <w:rsid w:val="00D00600"/>
    <w:rsid w:val="00D04F01"/>
    <w:rsid w:val="00D06414"/>
    <w:rsid w:val="00D338E4"/>
    <w:rsid w:val="00D51947"/>
    <w:rsid w:val="00D532F0"/>
    <w:rsid w:val="00D75D2A"/>
    <w:rsid w:val="00D77413"/>
    <w:rsid w:val="00D82759"/>
    <w:rsid w:val="00D83EB1"/>
    <w:rsid w:val="00D85BBF"/>
    <w:rsid w:val="00D86DE4"/>
    <w:rsid w:val="00DE51DB"/>
    <w:rsid w:val="00DE63A4"/>
    <w:rsid w:val="00E23F1D"/>
    <w:rsid w:val="00E30E05"/>
    <w:rsid w:val="00E36361"/>
    <w:rsid w:val="00E41AD2"/>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91F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4485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72D1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85C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105E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559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268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934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70E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B429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000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146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6609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7C1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C5C4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41AD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1345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07330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5271B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A2DE5030-3FBD-451B-9A8D-F8C02E8ACA91}"/>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Civic Numeracy Module 4 Focus Areas - Data &amp; Likelihood Water Saving Plan</dc:title>
  <dc:creator>Derek Tolan</dc:creator>
  <cp:lastModifiedBy>Thomas Heeren</cp:lastModifiedBy>
  <cp:revision>2</cp:revision>
  <cp:lastPrinted>2015-05-15T02:36:00Z</cp:lastPrinted>
  <dcterms:created xsi:type="dcterms:W3CDTF">2022-04-20T21:39:00Z</dcterms:created>
  <dcterms:modified xsi:type="dcterms:W3CDTF">2022-04-20T21:39:00Z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