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C30E4" w14:textId="267EA8E9" w:rsidR="00086CFC" w:rsidRDefault="00C2005D" w:rsidP="007E7D1F">
      <w:pPr>
        <w:pStyle w:val="VCAAHeading1"/>
        <w:spacing w:before="360"/>
      </w:pPr>
      <w:r>
        <w:t>E</w:t>
      </w:r>
      <w:r w:rsidR="00E56D1D">
        <w:t>m</w:t>
      </w:r>
      <w:r w:rsidR="007E7D1F">
        <w:t xml:space="preserve">bedding career education in </w:t>
      </w:r>
      <w:r w:rsidR="00E56D1D">
        <w:t>the Victorian Curriculum F–10</w:t>
      </w:r>
      <w:r w:rsidR="00086CFC">
        <w:t xml:space="preserve"> </w:t>
      </w:r>
    </w:p>
    <w:p w14:paraId="309AA2D5" w14:textId="0A904361" w:rsidR="004F6DE0" w:rsidRPr="008C0A84" w:rsidRDefault="00335D53" w:rsidP="004F6DE0">
      <w:pPr>
        <w:pStyle w:val="VCAAHeading2"/>
        <w:rPr>
          <w:lang w:val="en-AU"/>
        </w:rPr>
      </w:pPr>
      <w:bookmarkStart w:id="0" w:name="TemplateOverview"/>
      <w:bookmarkEnd w:id="0"/>
      <w:r>
        <w:rPr>
          <w:lang w:val="en-AU"/>
        </w:rPr>
        <w:t>Media Arts</w:t>
      </w:r>
      <w:r w:rsidR="00B63598">
        <w:rPr>
          <w:lang w:val="en-AU"/>
        </w:rPr>
        <w:t>,</w:t>
      </w:r>
      <w:r>
        <w:rPr>
          <w:lang w:val="en-AU"/>
        </w:rPr>
        <w:t xml:space="preserve"> </w:t>
      </w:r>
      <w:r w:rsidR="000739D4">
        <w:rPr>
          <w:lang w:val="en-AU"/>
        </w:rPr>
        <w:t>Levels 7 and 8</w:t>
      </w:r>
    </w:p>
    <w:p w14:paraId="2E354ED1" w14:textId="6422B5C7"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2C4A097D" w:rsidR="008B1278" w:rsidRPr="008C0A84" w:rsidRDefault="008B1278" w:rsidP="008D7032">
      <w:pPr>
        <w:pStyle w:val="VCAAbody-withlargetabandhangingindent"/>
      </w:pPr>
      <w:r w:rsidRPr="008C0A84">
        <w:rPr>
          <w:b/>
        </w:rPr>
        <w:t>Curriculum area and levels:</w:t>
      </w:r>
      <w:r w:rsidR="00551B2E">
        <w:tab/>
      </w:r>
      <w:r w:rsidR="00B63598">
        <w:t xml:space="preserve">Media Arts, </w:t>
      </w:r>
      <w:r w:rsidR="00EE273F">
        <w:t>Level</w:t>
      </w:r>
      <w:r w:rsidR="00B63598">
        <w:t>s</w:t>
      </w:r>
      <w:r w:rsidR="00EE273F">
        <w:t xml:space="preserve"> 7 and 8 </w:t>
      </w:r>
    </w:p>
    <w:p w14:paraId="1FB5B60B" w14:textId="44071FEB" w:rsidR="008B1278" w:rsidRDefault="00254888" w:rsidP="008D7032">
      <w:pPr>
        <w:pStyle w:val="VCAAbody-withlargetabandhangingindent"/>
        <w:rPr>
          <w:rStyle w:val="VCAAbodyChar"/>
        </w:rPr>
      </w:pPr>
      <w:r w:rsidRPr="008C0A84">
        <w:rPr>
          <w:b/>
        </w:rPr>
        <w:t>Relevant c</w:t>
      </w:r>
      <w:r w:rsidR="008B1278" w:rsidRPr="008C0A84">
        <w:rPr>
          <w:b/>
        </w:rPr>
        <w:t>ontent description:</w:t>
      </w:r>
      <w:r w:rsidR="008B1278" w:rsidRPr="008C0A84">
        <w:tab/>
      </w:r>
      <w:r w:rsidR="00EE273F" w:rsidRPr="00EE273F">
        <w:rPr>
          <w:rStyle w:val="VCAAbodyChar"/>
        </w:rPr>
        <w:t>Experiment with the organisation of ideas to structure stories through settings, genre conventions and viewpoin</w:t>
      </w:r>
      <w:r w:rsidR="00B63598">
        <w:rPr>
          <w:rStyle w:val="VCAAbodyChar"/>
        </w:rPr>
        <w:t>ts, in images, sounds and text</w:t>
      </w:r>
      <w:r w:rsidR="0076009B">
        <w:rPr>
          <w:rStyle w:val="VCAAbodyChar"/>
        </w:rPr>
        <w:t xml:space="preserve"> </w:t>
      </w:r>
      <w:r w:rsidR="0076009B" w:rsidRPr="00EE273F">
        <w:rPr>
          <w:rStyle w:val="VCAAbodyChar"/>
        </w:rPr>
        <w:t>(</w:t>
      </w:r>
      <w:hyperlink r:id="rId11" w:history="1">
        <w:r w:rsidR="0076009B" w:rsidRPr="0076009B">
          <w:rPr>
            <w:rStyle w:val="Hyperlink"/>
          </w:rPr>
          <w:t>VCAMAE033</w:t>
        </w:r>
      </w:hyperlink>
      <w:r w:rsidR="0076009B" w:rsidRPr="00EE273F">
        <w:rPr>
          <w:rStyle w:val="VCAAbodyChar"/>
        </w:rPr>
        <w:t>)</w:t>
      </w:r>
      <w:r w:rsidR="0094223C">
        <w:rPr>
          <w:rStyle w:val="VCAAbodyChar"/>
        </w:rPr>
        <w:t>.</w:t>
      </w:r>
    </w:p>
    <w:p w14:paraId="758CBF94" w14:textId="60606478" w:rsidR="00551B2E" w:rsidRPr="008D7032" w:rsidRDefault="00551B2E" w:rsidP="008D7032">
      <w:pPr>
        <w:pStyle w:val="VCAAbody-withlargetabandhangingindent"/>
      </w:pPr>
      <w:r>
        <w:rPr>
          <w:rStyle w:val="VCAAbodyChar"/>
        </w:rPr>
        <w:tab/>
      </w:r>
      <w:r w:rsidRPr="001A2647">
        <w:t xml:space="preserve">Develop and refine media production skills using the technical and symbolic elements of images, sounds and text to represent a specific story, purpose and </w:t>
      </w:r>
      <w:r w:rsidRPr="004628EB">
        <w:t>meaning</w:t>
      </w:r>
      <w:r w:rsidR="0076009B" w:rsidRPr="004628EB">
        <w:t xml:space="preserve"> </w:t>
      </w:r>
      <w:r w:rsidR="0076009B" w:rsidRPr="008D7032">
        <w:t>(</w:t>
      </w:r>
      <w:hyperlink r:id="rId12" w:history="1">
        <w:r w:rsidR="0076009B" w:rsidRPr="008D7032">
          <w:rPr>
            <w:rStyle w:val="Hyperlink"/>
          </w:rPr>
          <w:t>VCAMAM035</w:t>
        </w:r>
      </w:hyperlink>
      <w:r w:rsidR="0076009B" w:rsidRPr="008D7032">
        <w:t>)</w:t>
      </w:r>
      <w:r w:rsidR="0094223C">
        <w:t>.</w:t>
      </w:r>
    </w:p>
    <w:p w14:paraId="36A2C730" w14:textId="66FD2326" w:rsidR="007E7D1F" w:rsidRDefault="00B51FA6">
      <w:pPr>
        <w:pStyle w:val="VCAAbody-withlargetabandhangingindent"/>
      </w:pPr>
      <w:r w:rsidRPr="008C0A84">
        <w:rPr>
          <w:b/>
        </w:rPr>
        <w:t>Existing a</w:t>
      </w:r>
      <w:r w:rsidR="00254888" w:rsidRPr="008C0A84">
        <w:rPr>
          <w:b/>
        </w:rPr>
        <w:t>ctivity</w:t>
      </w:r>
      <w:r w:rsidR="00097F58">
        <w:rPr>
          <w:b/>
        </w:rPr>
        <w:t>:</w:t>
      </w:r>
      <w:r w:rsidR="00551B2E">
        <w:tab/>
      </w:r>
      <w:r w:rsidR="003674D2">
        <w:t xml:space="preserve">Creating a stop </w:t>
      </w:r>
      <w:r w:rsidR="00551B2E">
        <w:t>motion animation</w:t>
      </w:r>
      <w:r w:rsidR="00D362D5">
        <w:t>.</w:t>
      </w:r>
    </w:p>
    <w:p w14:paraId="2364A01C" w14:textId="105A6BC0" w:rsidR="00421DB1" w:rsidRPr="008C0A84" w:rsidRDefault="00421DB1">
      <w:pPr>
        <w:pStyle w:val="VCAAbody-withlargetabandhangingindent"/>
      </w:pPr>
      <w:r w:rsidRPr="008D7032">
        <w:rPr>
          <w:b/>
          <w:bCs/>
        </w:rPr>
        <w:t>Summary of adaptation, change, addition:</w:t>
      </w:r>
      <w:r>
        <w:tab/>
      </w:r>
      <w:r w:rsidR="00551B2E">
        <w:rPr>
          <w:color w:val="auto"/>
        </w:rPr>
        <w:t>Investigat</w:t>
      </w:r>
      <w:r w:rsidR="003C6CDA">
        <w:rPr>
          <w:color w:val="auto"/>
        </w:rPr>
        <w:t>ing</w:t>
      </w:r>
      <w:r w:rsidR="00551B2E">
        <w:rPr>
          <w:color w:val="auto"/>
        </w:rPr>
        <w:t xml:space="preserve"> the roles, skills and specialists in the animation industry. </w:t>
      </w:r>
    </w:p>
    <w:p w14:paraId="65DFB73F" w14:textId="77E46B8E" w:rsidR="00254888" w:rsidRDefault="00254888" w:rsidP="004F6DE0">
      <w:pPr>
        <w:pStyle w:val="VCAAHeading3"/>
        <w:spacing w:after="240"/>
        <w:rPr>
          <w:lang w:val="en-AU"/>
        </w:rPr>
      </w:pPr>
      <w:r w:rsidRPr="008C0A84">
        <w:rPr>
          <w:lang w:val="en-AU"/>
        </w:rPr>
        <w:t xml:space="preserve">2. Adapt the learning activity to </w:t>
      </w:r>
      <w:r w:rsidR="00FF47DF" w:rsidRPr="008C0A84">
        <w:rPr>
          <w:lang w:val="en-AU"/>
        </w:rPr>
        <w:t>include</w:t>
      </w:r>
      <w:r w:rsidRPr="008C0A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944"/>
        <w:gridCol w:w="4945"/>
      </w:tblGrid>
      <w:tr w:rsidR="00254888" w:rsidRPr="008C0A84" w14:paraId="47FFE019" w14:textId="77777777" w:rsidTr="008D7032">
        <w:trPr>
          <w:cnfStyle w:val="100000000000" w:firstRow="1" w:lastRow="0" w:firstColumn="0" w:lastColumn="0" w:oddVBand="0" w:evenVBand="0" w:oddHBand="0" w:evenHBand="0" w:firstRowFirstColumn="0" w:firstRowLastColumn="0" w:lastRowFirstColumn="0" w:lastRowLastColumn="0"/>
        </w:trPr>
        <w:tc>
          <w:tcPr>
            <w:tcW w:w="4944" w:type="dxa"/>
            <w:tcBorders>
              <w:bottom w:val="single" w:sz="4" w:space="0" w:color="auto"/>
              <w:right w:val="none" w:sz="0" w:space="0" w:color="auto"/>
            </w:tcBorders>
          </w:tcPr>
          <w:p w14:paraId="3D273835" w14:textId="110FC47B" w:rsidR="00254888" w:rsidRPr="008C0A84" w:rsidRDefault="003F495D" w:rsidP="00B51FA6">
            <w:pPr>
              <w:pStyle w:val="VCAAtablecondensedheading"/>
              <w:rPr>
                <w:lang w:val="en-AU"/>
              </w:rPr>
            </w:pPr>
            <w:r w:rsidRPr="008C0A84">
              <w:t>Existing learning activity</w:t>
            </w:r>
            <w:r w:rsidDel="008C7E37">
              <w:rPr>
                <w:lang w:val="en-AU"/>
              </w:rPr>
              <w:t xml:space="preserve"> </w:t>
            </w:r>
          </w:p>
        </w:tc>
        <w:tc>
          <w:tcPr>
            <w:tcW w:w="4945" w:type="dxa"/>
            <w:tcBorders>
              <w:left w:val="none" w:sz="0" w:space="0" w:color="auto"/>
              <w:bottom w:val="single" w:sz="4" w:space="0" w:color="auto"/>
            </w:tcBorders>
          </w:tcPr>
          <w:p w14:paraId="24A423D8" w14:textId="0AC43C40" w:rsidR="00254888" w:rsidRPr="008C0A84" w:rsidRDefault="003F495D" w:rsidP="00B51FA6">
            <w:pPr>
              <w:pStyle w:val="VCAAtablecondensedheading"/>
              <w:rPr>
                <w:lang w:val="en-AU"/>
              </w:rPr>
            </w:pPr>
            <w:r>
              <w:t>Adaptations, changes or extensions that can be made</w:t>
            </w:r>
          </w:p>
        </w:tc>
      </w:tr>
      <w:tr w:rsidR="00254888" w:rsidRPr="008C0A84" w14:paraId="20588B85" w14:textId="77777777" w:rsidTr="008D7032">
        <w:tc>
          <w:tcPr>
            <w:tcW w:w="4944" w:type="dxa"/>
            <w:tcBorders>
              <w:right w:val="single" w:sz="4" w:space="0" w:color="auto"/>
            </w:tcBorders>
            <w:shd w:val="clear" w:color="auto" w:fill="auto"/>
          </w:tcPr>
          <w:p w14:paraId="46A85701" w14:textId="360B0CCE" w:rsidR="00254888" w:rsidRPr="008D7032" w:rsidRDefault="00EE273F" w:rsidP="008D7032">
            <w:pPr>
              <w:pStyle w:val="VCAAtablecondensed"/>
            </w:pPr>
            <w:r w:rsidRPr="004628EB">
              <w:t>Students</w:t>
            </w:r>
            <w:r w:rsidR="004628EB">
              <w:t xml:space="preserve"> view</w:t>
            </w:r>
            <w:r w:rsidR="00D362D5" w:rsidRPr="004628EB">
              <w:t xml:space="preserve"> a range of </w:t>
            </w:r>
            <w:r w:rsidR="00D362D5">
              <w:t xml:space="preserve">stop motion </w:t>
            </w:r>
            <w:r w:rsidR="00D362D5" w:rsidRPr="004628EB">
              <w:t xml:space="preserve">animations from the </w:t>
            </w:r>
            <w:proofErr w:type="spellStart"/>
            <w:r w:rsidR="00D362D5" w:rsidRPr="004628EB">
              <w:t>Aardman</w:t>
            </w:r>
            <w:proofErr w:type="spellEnd"/>
            <w:r w:rsidR="00D362D5" w:rsidRPr="004628EB">
              <w:t xml:space="preserve"> Animations </w:t>
            </w:r>
            <w:r w:rsidR="00D362D5">
              <w:t>G</w:t>
            </w:r>
            <w:r w:rsidR="00D362D5" w:rsidRPr="004628EB">
              <w:t>roup and Pixar</w:t>
            </w:r>
            <w:r w:rsidR="00D362D5">
              <w:t>. They</w:t>
            </w:r>
            <w:r w:rsidRPr="004628EB">
              <w:t xml:space="preserve"> </w:t>
            </w:r>
            <w:r w:rsidRPr="00A3097D">
              <w:t>focus on the genre conventions and viewpoints expressed</w:t>
            </w:r>
            <w:r w:rsidR="0094223C">
              <w:t xml:space="preserve"> </w:t>
            </w:r>
            <w:r w:rsidR="004628EB">
              <w:t>by the creators of the animations.</w:t>
            </w:r>
          </w:p>
        </w:tc>
        <w:tc>
          <w:tcPr>
            <w:tcW w:w="4945" w:type="dxa"/>
            <w:tcBorders>
              <w:left w:val="single" w:sz="4" w:space="0" w:color="auto"/>
              <w:bottom w:val="single" w:sz="4" w:space="0" w:color="auto"/>
            </w:tcBorders>
            <w:shd w:val="clear" w:color="auto" w:fill="auto"/>
          </w:tcPr>
          <w:p w14:paraId="092660B4" w14:textId="2EFAB6BB" w:rsidR="00AB3053" w:rsidRPr="008D7032" w:rsidRDefault="00EE273F">
            <w:pPr>
              <w:pStyle w:val="VCAAtablecondensed"/>
            </w:pPr>
            <w:r w:rsidRPr="008D7032">
              <w:t xml:space="preserve">Students explore the roles of designers and producers in the production of animations. They discuss how an animation is produced and </w:t>
            </w:r>
            <w:r w:rsidR="002A6DAA">
              <w:t>the</w:t>
            </w:r>
            <w:r w:rsidRPr="008D7032">
              <w:t xml:space="preserve"> skills in art and design need</w:t>
            </w:r>
            <w:r w:rsidR="008C3F36">
              <w:t>ed</w:t>
            </w:r>
            <w:r w:rsidRPr="008D7032">
              <w:t xml:space="preserve"> to work in the industry. </w:t>
            </w:r>
            <w:r w:rsidR="00551B2E" w:rsidRPr="008D7032">
              <w:t>The</w:t>
            </w:r>
            <w:r w:rsidR="00B63598" w:rsidRPr="008D7032">
              <w:t>y</w:t>
            </w:r>
            <w:r w:rsidR="00551B2E" w:rsidRPr="008D7032">
              <w:t xml:space="preserve"> also investigate the making of productions and the collaboration of specialists on a project. </w:t>
            </w:r>
          </w:p>
        </w:tc>
      </w:tr>
      <w:tr w:rsidR="00B63598" w:rsidRPr="008C0A84" w14:paraId="42062462" w14:textId="77777777" w:rsidTr="008D7032">
        <w:tc>
          <w:tcPr>
            <w:tcW w:w="4944" w:type="dxa"/>
            <w:tcBorders>
              <w:bottom w:val="single" w:sz="4" w:space="0" w:color="auto"/>
              <w:right w:val="single" w:sz="4" w:space="0" w:color="auto"/>
            </w:tcBorders>
            <w:shd w:val="clear" w:color="auto" w:fill="auto"/>
          </w:tcPr>
          <w:p w14:paraId="4E9B929D" w14:textId="7FE2D4FC" w:rsidR="00B63598" w:rsidRPr="008D7032" w:rsidRDefault="00B63598" w:rsidP="008D7032">
            <w:pPr>
              <w:pStyle w:val="VCAAtablecondensed"/>
            </w:pPr>
            <w:r w:rsidRPr="008D7032">
              <w:t xml:space="preserve">Students explore the technical skills required </w:t>
            </w:r>
            <w:r w:rsidR="002A6DAA">
              <w:t>to</w:t>
            </w:r>
            <w:r w:rsidRPr="008D7032">
              <w:t xml:space="preserve"> produc</w:t>
            </w:r>
            <w:r w:rsidR="002A6DAA">
              <w:t>e</w:t>
            </w:r>
            <w:r w:rsidRPr="008D7032">
              <w:t xml:space="preserve"> an animation. They list the materials and equipment need</w:t>
            </w:r>
            <w:r w:rsidR="009819BA">
              <w:t>ed</w:t>
            </w:r>
            <w:r w:rsidRPr="008D7032">
              <w:t xml:space="preserve"> for production.</w:t>
            </w:r>
          </w:p>
          <w:p w14:paraId="4F4F5507" w14:textId="1E52AC98" w:rsidR="00B63598" w:rsidRPr="008D7032" w:rsidRDefault="00B63598" w:rsidP="008D7032">
            <w:pPr>
              <w:pStyle w:val="VCAAtablecondensed"/>
            </w:pPr>
            <w:r w:rsidRPr="008D7032">
              <w:rPr>
                <w:color w:val="auto"/>
              </w:rPr>
              <w:t>Students develop a</w:t>
            </w:r>
            <w:r w:rsidR="007E10C2" w:rsidRPr="008D7032">
              <w:rPr>
                <w:color w:val="auto"/>
              </w:rPr>
              <w:t xml:space="preserve">n intention, audience and narrative statement for </w:t>
            </w:r>
            <w:r w:rsidR="009819BA">
              <w:t xml:space="preserve">an </w:t>
            </w:r>
            <w:r w:rsidR="007E10C2" w:rsidRPr="008D7032">
              <w:rPr>
                <w:color w:val="auto"/>
              </w:rPr>
              <w:t>animation</w:t>
            </w:r>
            <w:r w:rsidR="009819BA">
              <w:t xml:space="preserve"> of their own</w:t>
            </w:r>
            <w:r w:rsidR="007E10C2" w:rsidRPr="008D7032">
              <w:rPr>
                <w:color w:val="auto"/>
              </w:rPr>
              <w:t xml:space="preserve">. They plan the animation using a storyboard and script. </w:t>
            </w:r>
          </w:p>
        </w:tc>
        <w:tc>
          <w:tcPr>
            <w:tcW w:w="4945" w:type="dxa"/>
            <w:tcBorders>
              <w:left w:val="single" w:sz="4" w:space="0" w:color="auto"/>
              <w:bottom w:val="single" w:sz="4" w:space="0" w:color="auto"/>
            </w:tcBorders>
            <w:shd w:val="clear" w:color="auto" w:fill="auto"/>
          </w:tcPr>
          <w:p w14:paraId="317DCBF4" w14:textId="6A001BEC" w:rsidR="00B63598" w:rsidRPr="008D7032" w:rsidRDefault="00B63598">
            <w:pPr>
              <w:pStyle w:val="VCAAtablecondensed"/>
            </w:pPr>
            <w:r w:rsidRPr="008D7032">
              <w:t>Teacher guides exploration into or reflection o</w:t>
            </w:r>
            <w:r w:rsidR="002D17A9">
              <w:t>f</w:t>
            </w:r>
            <w:r w:rsidRPr="008D7032">
              <w:t xml:space="preserve"> the specialist skills students will need to use the equipment. </w:t>
            </w:r>
            <w:r w:rsidR="007A67CA">
              <w:t>Students</w:t>
            </w:r>
            <w:r w:rsidR="007A67CA" w:rsidRPr="008D7032">
              <w:t xml:space="preserve"> </w:t>
            </w:r>
            <w:r w:rsidRPr="008D7032">
              <w:t xml:space="preserve">investigate </w:t>
            </w:r>
            <w:r w:rsidR="002D17A9">
              <w:t>the</w:t>
            </w:r>
            <w:r w:rsidRPr="008D7032">
              <w:t xml:space="preserve"> type of training need</w:t>
            </w:r>
            <w:r w:rsidR="008C3F36">
              <w:t>ed</w:t>
            </w:r>
            <w:r w:rsidRPr="008D7032">
              <w:t xml:space="preserve"> to acquire </w:t>
            </w:r>
            <w:r w:rsidR="007A67CA">
              <w:t xml:space="preserve">these </w:t>
            </w:r>
            <w:r w:rsidRPr="008D7032">
              <w:t>specialist skills. This continues throughout the activity, so that at all stages of the activity, students are considering the skills needed and how the</w:t>
            </w:r>
            <w:r w:rsidR="0017065A">
              <w:t>y</w:t>
            </w:r>
            <w:r w:rsidRPr="008D7032">
              <w:t xml:space="preserve"> can be acquired or developed</w:t>
            </w:r>
            <w:r w:rsidR="007A67CA">
              <w:t xml:space="preserve"> further</w:t>
            </w:r>
            <w:r w:rsidRPr="008D7032">
              <w:t>.</w:t>
            </w:r>
            <w:r w:rsidR="00714403" w:rsidRPr="008D7032">
              <w:t xml:space="preserve"> </w:t>
            </w:r>
          </w:p>
        </w:tc>
      </w:tr>
      <w:tr w:rsidR="00254888" w:rsidRPr="008C0A84" w14:paraId="3F7C9F0C" w14:textId="77777777" w:rsidTr="008D7032">
        <w:tc>
          <w:tcPr>
            <w:tcW w:w="4944" w:type="dxa"/>
            <w:tcBorders>
              <w:right w:val="single" w:sz="4" w:space="0" w:color="auto"/>
            </w:tcBorders>
            <w:shd w:val="clear" w:color="auto" w:fill="auto"/>
          </w:tcPr>
          <w:p w14:paraId="446FB8DB" w14:textId="1D9CBECE" w:rsidR="00254888" w:rsidRPr="004628EB" w:rsidRDefault="00EE273F" w:rsidP="008D7032">
            <w:pPr>
              <w:pStyle w:val="VCAAtablecondensed"/>
            </w:pPr>
            <w:r w:rsidRPr="004628EB">
              <w:t xml:space="preserve">Students film their animation using iMovie, iPhoto or another suitable software application. </w:t>
            </w:r>
            <w:r w:rsidR="0017065A">
              <w:t>After</w:t>
            </w:r>
            <w:r w:rsidRPr="004628EB">
              <w:t xml:space="preserve"> filming, they view the animation and edit the sequencing of the </w:t>
            </w:r>
            <w:proofErr w:type="gramStart"/>
            <w:r w:rsidRPr="004628EB">
              <w:t>images</w:t>
            </w:r>
            <w:r w:rsidR="007A67CA">
              <w:t>,</w:t>
            </w:r>
            <w:r w:rsidRPr="004628EB">
              <w:t xml:space="preserve"> </w:t>
            </w:r>
            <w:r w:rsidR="007A67CA">
              <w:t>and</w:t>
            </w:r>
            <w:proofErr w:type="gramEnd"/>
            <w:r w:rsidR="007A67CA" w:rsidRPr="004628EB">
              <w:t xml:space="preserve"> </w:t>
            </w:r>
            <w:r w:rsidRPr="004628EB">
              <w:t>apply filters to the lighting</w:t>
            </w:r>
            <w:r w:rsidR="007A67CA">
              <w:t xml:space="preserve"> if necessary</w:t>
            </w:r>
            <w:r w:rsidR="007E10C2" w:rsidRPr="004628EB">
              <w:t>.</w:t>
            </w:r>
          </w:p>
        </w:tc>
        <w:tc>
          <w:tcPr>
            <w:tcW w:w="4945" w:type="dxa"/>
            <w:tcBorders>
              <w:left w:val="single" w:sz="4" w:space="0" w:color="auto"/>
            </w:tcBorders>
            <w:shd w:val="clear" w:color="auto" w:fill="auto"/>
          </w:tcPr>
          <w:p w14:paraId="0D137BAF" w14:textId="5741E6E1" w:rsidR="007E10C2" w:rsidRPr="008D7032" w:rsidRDefault="003430CF">
            <w:pPr>
              <w:pStyle w:val="VCAAtablecondensed"/>
            </w:pPr>
            <w:r>
              <w:t>Existing activity runs unchanged.</w:t>
            </w:r>
          </w:p>
        </w:tc>
      </w:tr>
      <w:tr w:rsidR="007E10C2" w:rsidRPr="008C0A84" w14:paraId="3960D841" w14:textId="77777777" w:rsidTr="008D7032">
        <w:tc>
          <w:tcPr>
            <w:tcW w:w="4944" w:type="dxa"/>
            <w:tcBorders>
              <w:right w:val="single" w:sz="4" w:space="0" w:color="auto"/>
            </w:tcBorders>
            <w:shd w:val="clear" w:color="auto" w:fill="auto"/>
          </w:tcPr>
          <w:p w14:paraId="0152B270" w14:textId="43ACE268" w:rsidR="007E10C2" w:rsidRPr="004628EB" w:rsidRDefault="008623B4" w:rsidP="008D7032">
            <w:pPr>
              <w:pStyle w:val="VCAAtablecondensed"/>
            </w:pPr>
            <w:r>
              <w:lastRenderedPageBreak/>
              <w:t xml:space="preserve">The class watches each animation and provides feedback on the story, representation of ideas and </w:t>
            </w:r>
            <w:r w:rsidRPr="00D977D0">
              <w:t>the effective use of technical skills</w:t>
            </w:r>
            <w:r>
              <w:t>. S</w:t>
            </w:r>
            <w:r w:rsidR="007E10C2" w:rsidRPr="004628EB">
              <w:t xml:space="preserve">tudents </w:t>
            </w:r>
            <w:r>
              <w:t xml:space="preserve">use this feedback to </w:t>
            </w:r>
            <w:r w:rsidR="007E10C2" w:rsidRPr="004628EB">
              <w:t xml:space="preserve">evaluate their </w:t>
            </w:r>
            <w:r>
              <w:t>work</w:t>
            </w:r>
            <w:r w:rsidR="004628EB">
              <w:t xml:space="preserve"> </w:t>
            </w:r>
            <w:r w:rsidR="005C6656">
              <w:t>and</w:t>
            </w:r>
            <w:r w:rsidR="007E10C2" w:rsidRPr="004628EB">
              <w:t xml:space="preserve"> the</w:t>
            </w:r>
            <w:r w:rsidR="005C6656">
              <w:t>ir</w:t>
            </w:r>
            <w:r w:rsidR="007E10C2" w:rsidRPr="004628EB">
              <w:t xml:space="preserve"> use of technical skills.</w:t>
            </w:r>
          </w:p>
        </w:tc>
        <w:tc>
          <w:tcPr>
            <w:tcW w:w="4945" w:type="dxa"/>
            <w:tcBorders>
              <w:left w:val="single" w:sz="4" w:space="0" w:color="auto"/>
            </w:tcBorders>
            <w:shd w:val="clear" w:color="auto" w:fill="auto"/>
          </w:tcPr>
          <w:p w14:paraId="5C941E72" w14:textId="5A76869F" w:rsidR="0097377C" w:rsidRPr="008D7032" w:rsidRDefault="007E10C2">
            <w:pPr>
              <w:pStyle w:val="VCAAtablecondensed"/>
            </w:pPr>
            <w:r w:rsidRPr="008D7032">
              <w:t xml:space="preserve">By evaluating their animations, students are reviewing the strength of their skills. They investigate what they </w:t>
            </w:r>
            <w:r w:rsidR="003E5D5E">
              <w:t xml:space="preserve">can </w:t>
            </w:r>
            <w:r w:rsidRPr="008D7032">
              <w:t xml:space="preserve">do to improve their animations and what skills they </w:t>
            </w:r>
            <w:r w:rsidR="003E5D5E">
              <w:t xml:space="preserve">would </w:t>
            </w:r>
            <w:r w:rsidRPr="008D7032">
              <w:t>need to build</w:t>
            </w:r>
            <w:r w:rsidR="003E5D5E">
              <w:t xml:space="preserve"> to create more effective animations in the future</w:t>
            </w:r>
            <w:r w:rsidRPr="008D7032">
              <w:t>.</w:t>
            </w:r>
            <w:r w:rsidR="0097377C">
              <w:t xml:space="preserve"> Students identify other jobs where these skills might be useful.</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71D2CB77" w14:textId="5CFA1F58" w:rsidR="00CC2A07" w:rsidRDefault="00714403" w:rsidP="004628EB">
      <w:pPr>
        <w:pStyle w:val="VCAAbullet"/>
      </w:pPr>
      <w:r>
        <w:t>Whil</w:t>
      </w:r>
      <w:r w:rsidR="00F31A71">
        <w:t>e</w:t>
      </w:r>
      <w:r>
        <w:t xml:space="preserve"> students at these levels are not necessarily conducting active pathways research, this is the ideal age for them </w:t>
      </w:r>
      <w:r w:rsidRPr="00F31A71">
        <w:t xml:space="preserve">to be learning about the huge variety of different pathways available, especially in the creative industries. Teacher can </w:t>
      </w:r>
      <w:r w:rsidR="00220EB7">
        <w:t>help to develop</w:t>
      </w:r>
      <w:r w:rsidRPr="00F31A71">
        <w:t xml:space="preserve"> students’ awareness </w:t>
      </w:r>
      <w:r w:rsidR="00220EB7">
        <w:t>of this</w:t>
      </w:r>
      <w:r w:rsidRPr="00F31A71">
        <w:t xml:space="preserve"> by alerting them to information or information sources that highlight vocational and higher education opportunities, as well as exposing them to information about how various professionals in this field arrived at their current role. Where possible, guest speakers can be invited to share their career story, </w:t>
      </w:r>
      <w:r w:rsidR="00F31A71">
        <w:t xml:space="preserve">with a </w:t>
      </w:r>
      <w:r w:rsidRPr="00F31A71">
        <w:t xml:space="preserve">focus on their decision-making, opportunities that changed their trajectory, </w:t>
      </w:r>
      <w:r w:rsidR="00F31A71">
        <w:t>and</w:t>
      </w:r>
      <w:r w:rsidRPr="00F31A71">
        <w:t xml:space="preserve"> the highlights and challenges of their working life. </w:t>
      </w:r>
      <w:r w:rsidR="00CC2A07" w:rsidRPr="00B327BA">
        <w:rPr>
          <w:szCs w:val="20"/>
        </w:rPr>
        <w:t>School policy regarding excursions and school visits will need to be followed for this activity</w:t>
      </w:r>
      <w:r w:rsidR="00CC2A07">
        <w:rPr>
          <w:szCs w:val="20"/>
        </w:rPr>
        <w:t>.</w:t>
      </w:r>
    </w:p>
    <w:p w14:paraId="1C75F9F9" w14:textId="708678BD" w:rsidR="00714403" w:rsidRDefault="00714403" w:rsidP="004628EB">
      <w:pPr>
        <w:pStyle w:val="VCAAbullet"/>
      </w:pPr>
      <w:r w:rsidRPr="00F31A71">
        <w:t xml:space="preserve">Students will benefit most from this activity if they can explore the changing and unpredictable nature of the creative industries in a way that helps them </w:t>
      </w:r>
      <w:r w:rsidR="00E41772">
        <w:t xml:space="preserve">understand the need to be </w:t>
      </w:r>
      <w:r w:rsidRPr="00F31A71">
        <w:t xml:space="preserve">flexible and resilient. The school’s career practitioner </w:t>
      </w:r>
      <w:r w:rsidR="00E41772">
        <w:t>may be able to provide</w:t>
      </w:r>
      <w:r w:rsidRPr="00F31A71">
        <w:t xml:space="preserve"> insight, resources and connections to industry.</w:t>
      </w:r>
    </w:p>
    <w:p w14:paraId="7B8C7A50" w14:textId="1B986EBC" w:rsidR="008D57CA" w:rsidRPr="00DB533D" w:rsidRDefault="00BC11D7" w:rsidP="00A3097D">
      <w:pPr>
        <w:pStyle w:val="VCAAbullet"/>
      </w:pPr>
      <w:r w:rsidRPr="00F31A71">
        <w:t xml:space="preserve">Each </w:t>
      </w:r>
      <w:r w:rsidR="00CC2A07">
        <w:t>step</w:t>
      </w:r>
      <w:r w:rsidRPr="00F31A71">
        <w:t xml:space="preserve"> of the </w:t>
      </w:r>
      <w:r w:rsidR="00CC2A07">
        <w:t>process</w:t>
      </w:r>
      <w:r w:rsidRPr="00F31A71">
        <w:t xml:space="preserve"> can be adjusted to focus on the vocations associated with stop motion production and the skills required </w:t>
      </w:r>
      <w:r w:rsidR="00CC2A07">
        <w:t>to</w:t>
      </w:r>
      <w:r w:rsidRPr="00F31A71">
        <w:t xml:space="preserve"> use materials, techniques and processes. The steps can be illustrated with examples from</w:t>
      </w:r>
      <w:r w:rsidR="0031588D">
        <w:t xml:space="preserve"> the</w:t>
      </w:r>
      <w:r w:rsidRPr="00F31A71">
        <w:t xml:space="preserve"> industry</w:t>
      </w:r>
      <w:r>
        <w:t xml:space="preserve">. </w:t>
      </w:r>
    </w:p>
    <w:p w14:paraId="11F8A002" w14:textId="05B60D78" w:rsidR="00DB533D" w:rsidRDefault="00DB533D" w:rsidP="00DB533D">
      <w:pPr>
        <w:pStyle w:val="VCAAHeading4"/>
      </w:pPr>
      <w:r>
        <w:t xml:space="preserve">Additional resources to help when adapting the learning activity </w:t>
      </w:r>
    </w:p>
    <w:p w14:paraId="1D36527A" w14:textId="7CC64488" w:rsidR="00BC11D7" w:rsidRDefault="00B9538B" w:rsidP="008D7032">
      <w:pPr>
        <w:pStyle w:val="VCAAbullet"/>
      </w:pPr>
      <w:proofErr w:type="spellStart"/>
      <w:r>
        <w:t>yelldesign</w:t>
      </w:r>
      <w:proofErr w:type="spellEnd"/>
      <w:r>
        <w:t xml:space="preserve">, </w:t>
      </w:r>
      <w:hyperlink r:id="rId13" w:history="1">
        <w:r w:rsidRPr="00B9538B">
          <w:rPr>
            <w:rStyle w:val="Hyperlink"/>
          </w:rPr>
          <w:t>Proc</w:t>
        </w:r>
        <w:r w:rsidRPr="00B9538B">
          <w:rPr>
            <w:rStyle w:val="Hyperlink"/>
          </w:rPr>
          <w:t>e</w:t>
        </w:r>
        <w:r w:rsidRPr="00B9538B">
          <w:rPr>
            <w:rStyle w:val="Hyperlink"/>
          </w:rPr>
          <w:t>ss</w:t>
        </w:r>
      </w:hyperlink>
    </w:p>
    <w:p w14:paraId="342F5903" w14:textId="75378342" w:rsidR="00551B2E" w:rsidRDefault="00B9538B" w:rsidP="008D7032">
      <w:pPr>
        <w:pStyle w:val="VCAAbullet"/>
      </w:pPr>
      <w:hyperlink r:id="rId14" w:history="1">
        <w:r w:rsidR="005254DD" w:rsidRPr="00B9538B">
          <w:rPr>
            <w:rStyle w:val="Hyperlink"/>
          </w:rPr>
          <w:t>Moana: Be</w:t>
        </w:r>
        <w:r w:rsidR="005254DD" w:rsidRPr="00B9538B">
          <w:rPr>
            <w:rStyle w:val="Hyperlink"/>
          </w:rPr>
          <w:t>h</w:t>
        </w:r>
        <w:r w:rsidR="005254DD" w:rsidRPr="00B9538B">
          <w:rPr>
            <w:rStyle w:val="Hyperlink"/>
          </w:rPr>
          <w:t>i</w:t>
        </w:r>
        <w:r w:rsidR="005254DD" w:rsidRPr="00B9538B">
          <w:rPr>
            <w:rStyle w:val="Hyperlink"/>
          </w:rPr>
          <w:t>n</w:t>
        </w:r>
        <w:r w:rsidR="005254DD" w:rsidRPr="00B9538B">
          <w:rPr>
            <w:rStyle w:val="Hyperlink"/>
          </w:rPr>
          <w:t xml:space="preserve">d the </w:t>
        </w:r>
        <w:r w:rsidRPr="00B9538B">
          <w:rPr>
            <w:rStyle w:val="Hyperlink"/>
          </w:rPr>
          <w:t xml:space="preserve">scenes </w:t>
        </w:r>
        <w:r w:rsidR="005254DD" w:rsidRPr="00B9538B">
          <w:rPr>
            <w:rStyle w:val="Hyperlink"/>
          </w:rPr>
          <w:t xml:space="preserve">of the </w:t>
        </w:r>
        <w:r w:rsidRPr="00B9538B">
          <w:rPr>
            <w:rStyle w:val="Hyperlink"/>
          </w:rPr>
          <w:t>animation</w:t>
        </w:r>
      </w:hyperlink>
      <w:r w:rsidDel="00B9538B">
        <w:t xml:space="preserve"> </w:t>
      </w:r>
    </w:p>
    <w:p w14:paraId="6019E69F" w14:textId="1CEFBB29" w:rsidR="005254DD" w:rsidRDefault="00B9538B" w:rsidP="008D7032">
      <w:pPr>
        <w:pStyle w:val="VCAAbullet"/>
      </w:pPr>
      <w:r>
        <w:t xml:space="preserve">National Gallery of Victoria, </w:t>
      </w:r>
      <w:hyperlink r:id="rId15" w:history="1">
        <w:r w:rsidR="005254DD" w:rsidRPr="00B9538B">
          <w:rPr>
            <w:rStyle w:val="Hyperlink"/>
          </w:rPr>
          <w:t>Look and explore</w:t>
        </w:r>
        <w:r w:rsidR="005254DD" w:rsidRPr="00B9538B">
          <w:rPr>
            <w:rStyle w:val="Hyperlink"/>
          </w:rPr>
          <w:t xml:space="preserve"> </w:t>
        </w:r>
        <w:r w:rsidRPr="00B9538B">
          <w:rPr>
            <w:rStyle w:val="Hyperlink"/>
          </w:rPr>
          <w:t xml:space="preserve">the film </w:t>
        </w:r>
        <w:r w:rsidRPr="008D7032">
          <w:rPr>
            <w:rStyle w:val="Hyperlink"/>
            <w:i/>
            <w:iCs/>
          </w:rPr>
          <w:t>Ting*</w:t>
        </w:r>
        <w:r w:rsidRPr="00B9538B">
          <w:rPr>
            <w:rStyle w:val="Hyperlink"/>
          </w:rPr>
          <w:t xml:space="preserve"> 2008</w:t>
        </w:r>
      </w:hyperlink>
      <w:r>
        <w:t xml:space="preserve"> </w:t>
      </w:r>
    </w:p>
    <w:p w14:paraId="1BBA2E55" w14:textId="79F2BAA9" w:rsidR="005254DD" w:rsidRDefault="00B9538B" w:rsidP="008D7032">
      <w:pPr>
        <w:pStyle w:val="VCAAbullet"/>
      </w:pPr>
      <w:hyperlink r:id="rId16" w:history="1">
        <w:r w:rsidR="005254DD" w:rsidRPr="00B9538B">
          <w:rPr>
            <w:rStyle w:val="Hyperlink"/>
          </w:rPr>
          <w:t xml:space="preserve">How Pixar’s </w:t>
        </w:r>
        <w:r w:rsidRPr="00B9538B">
          <w:rPr>
            <w:rStyle w:val="Hyperlink"/>
          </w:rPr>
          <w:t>‘</w:t>
        </w:r>
        <w:r w:rsidR="005254DD" w:rsidRPr="00B9538B">
          <w:rPr>
            <w:rStyle w:val="Hyperlink"/>
          </w:rPr>
          <w:t>Toy Story</w:t>
        </w:r>
        <w:r w:rsidRPr="00B9538B">
          <w:rPr>
            <w:rStyle w:val="Hyperlink"/>
          </w:rPr>
          <w:t xml:space="preserve"> 4’</w:t>
        </w:r>
        <w:r w:rsidR="005254DD" w:rsidRPr="00B9538B">
          <w:rPr>
            <w:rStyle w:val="Hyperlink"/>
          </w:rPr>
          <w:t xml:space="preserve"> was a</w:t>
        </w:r>
        <w:r w:rsidR="005254DD" w:rsidRPr="00B9538B">
          <w:rPr>
            <w:rStyle w:val="Hyperlink"/>
          </w:rPr>
          <w:t>n</w:t>
        </w:r>
        <w:r w:rsidR="005254DD" w:rsidRPr="00B9538B">
          <w:rPr>
            <w:rStyle w:val="Hyperlink"/>
          </w:rPr>
          <w:t>imated</w:t>
        </w:r>
      </w:hyperlink>
      <w:r>
        <w:t xml:space="preserve"> </w:t>
      </w:r>
    </w:p>
    <w:p w14:paraId="799088AA" w14:textId="00B2B74A" w:rsidR="005254DD" w:rsidRPr="00551B2E" w:rsidRDefault="005254DD" w:rsidP="008D7032">
      <w:pPr>
        <w:pStyle w:val="VCAAbullet"/>
      </w:pPr>
      <w:r>
        <w:t xml:space="preserve">Australian Centre for the </w:t>
      </w:r>
      <w:r w:rsidR="00BC11D7">
        <w:t>Moving Image</w:t>
      </w:r>
      <w:r w:rsidR="00B9538B">
        <w:t xml:space="preserve">, </w:t>
      </w:r>
      <w:hyperlink r:id="rId17" w:history="1">
        <w:r w:rsidR="00B9538B" w:rsidRPr="00B9538B">
          <w:rPr>
            <w:rStyle w:val="Hyperlink"/>
          </w:rPr>
          <w:t>The ma</w:t>
        </w:r>
        <w:r w:rsidR="00B9538B" w:rsidRPr="00B9538B">
          <w:rPr>
            <w:rStyle w:val="Hyperlink"/>
          </w:rPr>
          <w:t>g</w:t>
        </w:r>
        <w:r w:rsidR="00B9538B" w:rsidRPr="00B9538B">
          <w:rPr>
            <w:rStyle w:val="Hyperlink"/>
          </w:rPr>
          <w:t>ic of</w:t>
        </w:r>
        <w:r w:rsidR="00BC11D7" w:rsidRPr="00B9538B">
          <w:rPr>
            <w:rStyle w:val="Hyperlink"/>
          </w:rPr>
          <w:t xml:space="preserve"> </w:t>
        </w:r>
        <w:proofErr w:type="spellStart"/>
        <w:r w:rsidRPr="00B9538B">
          <w:rPr>
            <w:rStyle w:val="Hyperlink"/>
          </w:rPr>
          <w:t>Aardman</w:t>
        </w:r>
        <w:proofErr w:type="spellEnd"/>
      </w:hyperlink>
      <w:r w:rsidR="00B9538B">
        <w:t xml:space="preserve"> </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7A1E8DD9" w:rsidR="00F01253" w:rsidRPr="00B63598" w:rsidRDefault="00B63598" w:rsidP="00F01253">
      <w:pPr>
        <w:pStyle w:val="VCAAbody"/>
        <w:rPr>
          <w:lang w:val="en-AU"/>
        </w:rPr>
      </w:pPr>
      <w:r>
        <w:rPr>
          <w:lang w:val="en-AU"/>
        </w:rPr>
        <w:t>Know y</w:t>
      </w:r>
      <w:r w:rsidR="006F633C" w:rsidRPr="00B63598">
        <w:rPr>
          <w:lang w:val="en-AU"/>
        </w:rPr>
        <w:t xml:space="preserve">ourself </w:t>
      </w:r>
      <w:r w:rsidR="00C70133">
        <w:rPr>
          <w:lang w:val="en-AU"/>
        </w:rPr>
        <w:t>-</w:t>
      </w:r>
      <w:r w:rsidR="00723E0D">
        <w:rPr>
          <w:lang w:val="en-AU"/>
        </w:rPr>
        <w:t xml:space="preserve"> </w:t>
      </w:r>
      <w:r>
        <w:rPr>
          <w:lang w:val="en-AU"/>
        </w:rPr>
        <w:t>s</w:t>
      </w:r>
      <w:r w:rsidR="00F01253" w:rsidRPr="00B63598">
        <w:rPr>
          <w:lang w:val="en-AU"/>
        </w:rPr>
        <w:t xml:space="preserve">elf-development: </w:t>
      </w:r>
    </w:p>
    <w:p w14:paraId="1CEA4A14" w14:textId="0F474AB8" w:rsidR="00BC11D7" w:rsidRDefault="00317C47" w:rsidP="00317C47">
      <w:pPr>
        <w:pStyle w:val="VCAAbullet"/>
      </w:pPr>
      <w:r>
        <w:t xml:space="preserve">Students </w:t>
      </w:r>
      <w:r w:rsidR="00E02180">
        <w:t>evaluate</w:t>
      </w:r>
      <w:r w:rsidR="00E02180" w:rsidRPr="00317C47">
        <w:t xml:space="preserve"> </w:t>
      </w:r>
      <w:r w:rsidR="00BC11D7" w:rsidRPr="00317C47">
        <w:t>their strengths</w:t>
      </w:r>
      <w:r w:rsidR="00C70133">
        <w:t xml:space="preserve"> and</w:t>
      </w:r>
      <w:r w:rsidR="004628EB">
        <w:t xml:space="preserve"> skills in the use of </w:t>
      </w:r>
      <w:r w:rsidR="00BC11D7" w:rsidRPr="00317C47">
        <w:t>materials and equipment</w:t>
      </w:r>
      <w:r w:rsidR="004628EB">
        <w:t xml:space="preserve"> </w:t>
      </w:r>
      <w:r w:rsidR="00C70133">
        <w:t>required to</w:t>
      </w:r>
      <w:r w:rsidR="00BC11D7" w:rsidRPr="00317C47">
        <w:t xml:space="preserve"> </w:t>
      </w:r>
      <w:r>
        <w:t>produc</w:t>
      </w:r>
      <w:r w:rsidR="00C70133">
        <w:t>e</w:t>
      </w:r>
      <w:r>
        <w:t xml:space="preserve"> </w:t>
      </w:r>
      <w:r w:rsidR="00BC11D7" w:rsidRPr="00317C47">
        <w:t xml:space="preserve">a stop motion animation. </w:t>
      </w:r>
    </w:p>
    <w:p w14:paraId="73C62FF5" w14:textId="0688D738" w:rsidR="005973CA" w:rsidRPr="008D7032" w:rsidRDefault="005973CA">
      <w:pPr>
        <w:pStyle w:val="VCAAbullet"/>
      </w:pPr>
      <w:r>
        <w:t>Students learn to use feedback effectively to produce a better product.</w:t>
      </w:r>
    </w:p>
    <w:p w14:paraId="52268854" w14:textId="5C043820" w:rsidR="003F4455" w:rsidRPr="00B63598" w:rsidRDefault="006F633C" w:rsidP="00F01253">
      <w:pPr>
        <w:pStyle w:val="VCAAbody"/>
        <w:rPr>
          <w:lang w:val="en-AU"/>
        </w:rPr>
      </w:pPr>
      <w:r w:rsidRPr="00B63598">
        <w:rPr>
          <w:lang w:val="en-AU"/>
        </w:rPr>
        <w:t xml:space="preserve">Know your world </w:t>
      </w:r>
      <w:r w:rsidR="00C70133">
        <w:rPr>
          <w:lang w:val="en-AU"/>
        </w:rPr>
        <w:t>-</w:t>
      </w:r>
      <w:r w:rsidR="00B63598">
        <w:rPr>
          <w:lang w:val="en-AU"/>
        </w:rPr>
        <w:t xml:space="preserve"> c</w:t>
      </w:r>
      <w:r w:rsidR="00F01253" w:rsidRPr="00B63598">
        <w:rPr>
          <w:lang w:val="en-AU"/>
        </w:rPr>
        <w:t>areer exploration:</w:t>
      </w:r>
    </w:p>
    <w:p w14:paraId="04DC349E" w14:textId="30D62AB8" w:rsidR="00317C47" w:rsidRDefault="00AE1EAA" w:rsidP="00723E0D">
      <w:pPr>
        <w:pStyle w:val="VCAAbullet"/>
      </w:pPr>
      <w:r w:rsidRPr="00723E0D">
        <w:t xml:space="preserve">By investigating a range of animations produced by different production companies such as </w:t>
      </w:r>
      <w:proofErr w:type="spellStart"/>
      <w:r w:rsidRPr="00723E0D">
        <w:t>Aardman</w:t>
      </w:r>
      <w:proofErr w:type="spellEnd"/>
      <w:r w:rsidRPr="00723E0D">
        <w:t>, Disney and Pixar</w:t>
      </w:r>
      <w:r>
        <w:t>, s</w:t>
      </w:r>
      <w:r w:rsidR="00317C47" w:rsidRPr="00B63598">
        <w:t xml:space="preserve">tudents </w:t>
      </w:r>
      <w:r>
        <w:t xml:space="preserve">gain an understanding of </w:t>
      </w:r>
      <w:r w:rsidR="00317C47" w:rsidRPr="00B63598">
        <w:t>the roles associated with production in the film industry and the skills required to perform th</w:t>
      </w:r>
      <w:r w:rsidR="00C70133">
        <w:t>os</w:t>
      </w:r>
      <w:r w:rsidR="00317C47" w:rsidRPr="00B63598">
        <w:t>e role</w:t>
      </w:r>
      <w:r w:rsidR="00C70133">
        <w:t>s</w:t>
      </w:r>
      <w:r w:rsidR="00317C47" w:rsidRPr="00B63598">
        <w:t xml:space="preserve">. </w:t>
      </w:r>
    </w:p>
    <w:p w14:paraId="15071F40" w14:textId="22F1517D" w:rsidR="00BC11D7" w:rsidRPr="00723E0D" w:rsidRDefault="00AE1EAA">
      <w:pPr>
        <w:pStyle w:val="VCAAbullet"/>
      </w:pPr>
      <w:r>
        <w:t>By undertaking roles required to produce a stop motion animation</w:t>
      </w:r>
      <w:r w:rsidR="00BC11D7" w:rsidRPr="00723E0D">
        <w:t>,</w:t>
      </w:r>
      <w:r>
        <w:t xml:space="preserve"> </w:t>
      </w:r>
      <w:r w:rsidR="00BC11D7" w:rsidRPr="00723E0D">
        <w:t xml:space="preserve">students </w:t>
      </w:r>
      <w:r w:rsidR="003544C2">
        <w:t>investigate</w:t>
      </w:r>
      <w:r w:rsidR="00903D7B">
        <w:t xml:space="preserve"> the labour market</w:t>
      </w:r>
      <w:r w:rsidR="00BC11D7" w:rsidRPr="00723E0D">
        <w:t xml:space="preserve">. </w:t>
      </w:r>
    </w:p>
    <w:p w14:paraId="5E11C16D" w14:textId="36C417CD" w:rsidR="00F01253" w:rsidRPr="00B63598" w:rsidRDefault="006F633C" w:rsidP="00F01253">
      <w:pPr>
        <w:pStyle w:val="VCAAbody"/>
        <w:rPr>
          <w:lang w:val="en-AU"/>
        </w:rPr>
      </w:pPr>
      <w:r w:rsidRPr="00B63598">
        <w:rPr>
          <w:lang w:val="en-AU"/>
        </w:rPr>
        <w:t xml:space="preserve">Manage your future </w:t>
      </w:r>
      <w:r w:rsidR="00C70133">
        <w:rPr>
          <w:lang w:val="en-AU"/>
        </w:rPr>
        <w:t>-</w:t>
      </w:r>
      <w:r w:rsidRPr="00B63598">
        <w:rPr>
          <w:lang w:val="en-AU"/>
        </w:rPr>
        <w:t xml:space="preserve"> be proactive</w:t>
      </w:r>
      <w:r w:rsidR="00723E0D">
        <w:rPr>
          <w:lang w:val="en-AU"/>
        </w:rPr>
        <w:t>:</w:t>
      </w:r>
      <w:r w:rsidR="00335D53" w:rsidRPr="00B63598">
        <w:rPr>
          <w:lang w:val="en-AU"/>
        </w:rPr>
        <w:t xml:space="preserve"> </w:t>
      </w:r>
    </w:p>
    <w:p w14:paraId="3E7BB43D" w14:textId="067AA608" w:rsidR="00BC11D7" w:rsidRDefault="00176C30" w:rsidP="00723E0D">
      <w:pPr>
        <w:pStyle w:val="VCAAbullet"/>
      </w:pPr>
      <w:r>
        <w:t>S</w:t>
      </w:r>
      <w:r w:rsidR="00BC11D7" w:rsidRPr="00B63598">
        <w:t xml:space="preserve">tudents investigate the transferability of skills </w:t>
      </w:r>
      <w:r w:rsidR="004628EB">
        <w:t xml:space="preserve">and learning at school </w:t>
      </w:r>
      <w:r w:rsidR="00BC11D7" w:rsidRPr="00B63598">
        <w:t xml:space="preserve">to other </w:t>
      </w:r>
      <w:r w:rsidR="0011464D">
        <w:t>careers</w:t>
      </w:r>
      <w:r w:rsidR="004628EB">
        <w:t>.</w:t>
      </w:r>
      <w:r w:rsidR="00BC11D7" w:rsidRPr="00B63598">
        <w:t xml:space="preserve"> </w:t>
      </w:r>
    </w:p>
    <w:p w14:paraId="52534367" w14:textId="7EF400DD" w:rsidR="006A0218" w:rsidRPr="00B63598" w:rsidRDefault="006A0218">
      <w:pPr>
        <w:pStyle w:val="VCAAbullet"/>
      </w:pPr>
      <w:r>
        <w:t xml:space="preserve">Students engage </w:t>
      </w:r>
      <w:r w:rsidR="003544C2">
        <w:t xml:space="preserve">in </w:t>
      </w:r>
      <w:r>
        <w:t>critical and creative thinking to create a stop motion animation from concept to final product.</w:t>
      </w:r>
    </w:p>
    <w:sectPr w:rsidR="006A0218" w:rsidRPr="00B63598" w:rsidSect="00B230DB">
      <w:headerReference w:type="default" r:id="rId18"/>
      <w:footerReference w:type="default" r:id="rId19"/>
      <w:headerReference w:type="first" r:id="rId20"/>
      <w:footerReference w:type="first" r:id="rId2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8045D" w14:textId="77777777" w:rsidR="009A3284" w:rsidRDefault="009A3284" w:rsidP="00304EA1">
      <w:pPr>
        <w:spacing w:after="0" w:line="240" w:lineRule="auto"/>
      </w:pPr>
      <w:r>
        <w:separator/>
      </w:r>
    </w:p>
  </w:endnote>
  <w:endnote w:type="continuationSeparator" w:id="0">
    <w:p w14:paraId="46CA8F2E" w14:textId="77777777" w:rsidR="009A3284" w:rsidRDefault="009A328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9A3284" w:rsidRPr="00D06414" w14:paraId="6474FD3B" w14:textId="77777777" w:rsidTr="00BB3BAB">
      <w:trPr>
        <w:trHeight w:val="476"/>
      </w:trPr>
      <w:tc>
        <w:tcPr>
          <w:tcW w:w="1667" w:type="pct"/>
          <w:tcMar>
            <w:left w:w="0" w:type="dxa"/>
            <w:right w:w="0" w:type="dxa"/>
          </w:tcMar>
        </w:tcPr>
        <w:p w14:paraId="0EC15F2D" w14:textId="77777777" w:rsidR="009A3284" w:rsidRPr="00D06414" w:rsidRDefault="009A328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9A3284" w:rsidRPr="00D06414" w:rsidRDefault="009A328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0883502" w:rsidR="009A3284" w:rsidRPr="00D06414" w:rsidRDefault="009A328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9A3284" w:rsidRPr="00D06414" w:rsidRDefault="009A328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9A3284" w:rsidRPr="00D06414" w14:paraId="36A4ADC1" w14:textId="77777777" w:rsidTr="000F5AAF">
      <w:tc>
        <w:tcPr>
          <w:tcW w:w="1459" w:type="pct"/>
          <w:tcMar>
            <w:left w:w="0" w:type="dxa"/>
            <w:right w:w="0" w:type="dxa"/>
          </w:tcMar>
        </w:tcPr>
        <w:p w14:paraId="74DB1FC2" w14:textId="77777777" w:rsidR="009A3284" w:rsidRPr="00D06414" w:rsidRDefault="009A328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9A3284" w:rsidRPr="00D06414" w:rsidRDefault="009A328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9A3284" w:rsidRPr="00D06414" w:rsidRDefault="009A328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9A3284" w:rsidRPr="00D06414" w:rsidRDefault="009A328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4F007" w14:textId="77777777" w:rsidR="009A3284" w:rsidRDefault="009A3284" w:rsidP="00304EA1">
      <w:pPr>
        <w:spacing w:after="0" w:line="240" w:lineRule="auto"/>
      </w:pPr>
      <w:r>
        <w:separator/>
      </w:r>
    </w:p>
  </w:footnote>
  <w:footnote w:type="continuationSeparator" w:id="0">
    <w:p w14:paraId="3B3EA273" w14:textId="77777777" w:rsidR="009A3284" w:rsidRDefault="009A328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7AE193E2" w:rsidR="009A3284" w:rsidRPr="0038622E" w:rsidRDefault="009A3284" w:rsidP="0038622E">
    <w:pPr>
      <w:pStyle w:val="VCAAbody"/>
      <w:rPr>
        <w:color w:val="0F7EB4"/>
      </w:rPr>
    </w:pPr>
    <w:r>
      <w:t xml:space="preserve">Embedding career education in the Victorian Curriculum F–10 – Media Arts, Levels 7 and 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9A3284" w:rsidRPr="009370BC" w:rsidRDefault="009A3284"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8928B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DCBF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BA8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BC92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E6A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FECF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5AFD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86BC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227F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5ADE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1DB617A8"/>
    <w:lvl w:ilvl="0" w:tplc="DC02DF5A">
      <w:start w:val="1"/>
      <w:numFmt w:val="bullet"/>
      <w:pStyle w:val="VCAA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6D50FE3C"/>
    <w:lvl w:ilvl="0" w:tplc="0F523D8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1"/>
  </w:num>
  <w:num w:numId="2">
    <w:abstractNumId w:val="17"/>
  </w:num>
  <w:num w:numId="3">
    <w:abstractNumId w:val="15"/>
  </w:num>
  <w:num w:numId="4">
    <w:abstractNumId w:val="11"/>
  </w:num>
  <w:num w:numId="5">
    <w:abstractNumId w:val="20"/>
  </w:num>
  <w:num w:numId="6">
    <w:abstractNumId w:val="14"/>
  </w:num>
  <w:num w:numId="7">
    <w:abstractNumId w:val="12"/>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3048"/>
    <w:rsid w:val="0005780E"/>
    <w:rsid w:val="00065CC6"/>
    <w:rsid w:val="000701C6"/>
    <w:rsid w:val="00072AF1"/>
    <w:rsid w:val="000739D4"/>
    <w:rsid w:val="00082C4E"/>
    <w:rsid w:val="00086CFC"/>
    <w:rsid w:val="0009208B"/>
    <w:rsid w:val="00097F58"/>
    <w:rsid w:val="000A71F7"/>
    <w:rsid w:val="000A783C"/>
    <w:rsid w:val="000B152F"/>
    <w:rsid w:val="000C0C56"/>
    <w:rsid w:val="000E00DE"/>
    <w:rsid w:val="000F09E4"/>
    <w:rsid w:val="000F16FD"/>
    <w:rsid w:val="000F5AAF"/>
    <w:rsid w:val="00102D6B"/>
    <w:rsid w:val="0011464D"/>
    <w:rsid w:val="0012374D"/>
    <w:rsid w:val="0012734C"/>
    <w:rsid w:val="00143520"/>
    <w:rsid w:val="00153AD2"/>
    <w:rsid w:val="00161373"/>
    <w:rsid w:val="00161D27"/>
    <w:rsid w:val="001624EC"/>
    <w:rsid w:val="0016771A"/>
    <w:rsid w:val="0017065A"/>
    <w:rsid w:val="00174518"/>
    <w:rsid w:val="00176C30"/>
    <w:rsid w:val="001779EA"/>
    <w:rsid w:val="001926FE"/>
    <w:rsid w:val="001A39A9"/>
    <w:rsid w:val="001D3246"/>
    <w:rsid w:val="001D3E23"/>
    <w:rsid w:val="001F481C"/>
    <w:rsid w:val="001F5D88"/>
    <w:rsid w:val="001F74E1"/>
    <w:rsid w:val="001F7F6A"/>
    <w:rsid w:val="00220EB7"/>
    <w:rsid w:val="00224C11"/>
    <w:rsid w:val="0022575D"/>
    <w:rsid w:val="002279BA"/>
    <w:rsid w:val="002329F3"/>
    <w:rsid w:val="002407FE"/>
    <w:rsid w:val="00241CEA"/>
    <w:rsid w:val="00243F0D"/>
    <w:rsid w:val="002461EB"/>
    <w:rsid w:val="00250AFA"/>
    <w:rsid w:val="00254888"/>
    <w:rsid w:val="00255852"/>
    <w:rsid w:val="002571A5"/>
    <w:rsid w:val="00260767"/>
    <w:rsid w:val="002647BB"/>
    <w:rsid w:val="00272914"/>
    <w:rsid w:val="002754C1"/>
    <w:rsid w:val="002841C8"/>
    <w:rsid w:val="00284879"/>
    <w:rsid w:val="0028516B"/>
    <w:rsid w:val="00287ACE"/>
    <w:rsid w:val="00290564"/>
    <w:rsid w:val="00291256"/>
    <w:rsid w:val="00297F90"/>
    <w:rsid w:val="002A6DAA"/>
    <w:rsid w:val="002B103A"/>
    <w:rsid w:val="002B1363"/>
    <w:rsid w:val="002C6F90"/>
    <w:rsid w:val="002D17A9"/>
    <w:rsid w:val="002D2BBD"/>
    <w:rsid w:val="002D63B8"/>
    <w:rsid w:val="002E4FB5"/>
    <w:rsid w:val="002F3054"/>
    <w:rsid w:val="00302FB8"/>
    <w:rsid w:val="00304EA1"/>
    <w:rsid w:val="00314D81"/>
    <w:rsid w:val="0031588D"/>
    <w:rsid w:val="00317C47"/>
    <w:rsid w:val="00322778"/>
    <w:rsid w:val="003229E7"/>
    <w:rsid w:val="00322D8C"/>
    <w:rsid w:val="00322FC6"/>
    <w:rsid w:val="003244EE"/>
    <w:rsid w:val="00335D53"/>
    <w:rsid w:val="003430CF"/>
    <w:rsid w:val="00344191"/>
    <w:rsid w:val="0035293F"/>
    <w:rsid w:val="003544C2"/>
    <w:rsid w:val="00362696"/>
    <w:rsid w:val="003631D8"/>
    <w:rsid w:val="003674D2"/>
    <w:rsid w:val="0038622E"/>
    <w:rsid w:val="00391986"/>
    <w:rsid w:val="00392864"/>
    <w:rsid w:val="003A00B4"/>
    <w:rsid w:val="003C0A8F"/>
    <w:rsid w:val="003C394F"/>
    <w:rsid w:val="003C5E71"/>
    <w:rsid w:val="003C6CDA"/>
    <w:rsid w:val="003D2900"/>
    <w:rsid w:val="003D3ED1"/>
    <w:rsid w:val="003E5D5E"/>
    <w:rsid w:val="003F12C2"/>
    <w:rsid w:val="003F4455"/>
    <w:rsid w:val="003F495D"/>
    <w:rsid w:val="003F7E60"/>
    <w:rsid w:val="004075AD"/>
    <w:rsid w:val="00411D26"/>
    <w:rsid w:val="00417AA3"/>
    <w:rsid w:val="00421DB1"/>
    <w:rsid w:val="00425014"/>
    <w:rsid w:val="00425DFE"/>
    <w:rsid w:val="00425FD1"/>
    <w:rsid w:val="00430195"/>
    <w:rsid w:val="00434EDB"/>
    <w:rsid w:val="00440B32"/>
    <w:rsid w:val="00457521"/>
    <w:rsid w:val="0046078D"/>
    <w:rsid w:val="004628EB"/>
    <w:rsid w:val="0047250D"/>
    <w:rsid w:val="00490BC6"/>
    <w:rsid w:val="00495C80"/>
    <w:rsid w:val="004A2ED8"/>
    <w:rsid w:val="004D70CD"/>
    <w:rsid w:val="004E630B"/>
    <w:rsid w:val="004E6CFC"/>
    <w:rsid w:val="004F31D9"/>
    <w:rsid w:val="004F5BDA"/>
    <w:rsid w:val="004F6886"/>
    <w:rsid w:val="004F6DE0"/>
    <w:rsid w:val="0051631E"/>
    <w:rsid w:val="00523A71"/>
    <w:rsid w:val="005254DD"/>
    <w:rsid w:val="00537A1F"/>
    <w:rsid w:val="00551B2E"/>
    <w:rsid w:val="00563E1D"/>
    <w:rsid w:val="00563FF6"/>
    <w:rsid w:val="00566029"/>
    <w:rsid w:val="00567972"/>
    <w:rsid w:val="00567FD3"/>
    <w:rsid w:val="0058547C"/>
    <w:rsid w:val="0059072B"/>
    <w:rsid w:val="005923CB"/>
    <w:rsid w:val="005973CA"/>
    <w:rsid w:val="005B391B"/>
    <w:rsid w:val="005C16E1"/>
    <w:rsid w:val="005C6656"/>
    <w:rsid w:val="005D3D78"/>
    <w:rsid w:val="005D7236"/>
    <w:rsid w:val="005E2EF0"/>
    <w:rsid w:val="005F2B91"/>
    <w:rsid w:val="005F4092"/>
    <w:rsid w:val="00610518"/>
    <w:rsid w:val="00611946"/>
    <w:rsid w:val="00646B25"/>
    <w:rsid w:val="00654F93"/>
    <w:rsid w:val="0066126C"/>
    <w:rsid w:val="00665BF9"/>
    <w:rsid w:val="0068471E"/>
    <w:rsid w:val="00684F98"/>
    <w:rsid w:val="0068757D"/>
    <w:rsid w:val="00693FFD"/>
    <w:rsid w:val="006A0218"/>
    <w:rsid w:val="006A2648"/>
    <w:rsid w:val="006A7533"/>
    <w:rsid w:val="006B0F11"/>
    <w:rsid w:val="006D2159"/>
    <w:rsid w:val="006E733B"/>
    <w:rsid w:val="006F1E8F"/>
    <w:rsid w:val="006F633C"/>
    <w:rsid w:val="006F787C"/>
    <w:rsid w:val="00702636"/>
    <w:rsid w:val="00706094"/>
    <w:rsid w:val="00714403"/>
    <w:rsid w:val="007177CB"/>
    <w:rsid w:val="00723E0D"/>
    <w:rsid w:val="00724507"/>
    <w:rsid w:val="00740A80"/>
    <w:rsid w:val="00746434"/>
    <w:rsid w:val="0075691F"/>
    <w:rsid w:val="0076009B"/>
    <w:rsid w:val="007623B9"/>
    <w:rsid w:val="00773D76"/>
    <w:rsid w:val="00773E6C"/>
    <w:rsid w:val="00781FB1"/>
    <w:rsid w:val="0079698E"/>
    <w:rsid w:val="007A0E4B"/>
    <w:rsid w:val="007A320C"/>
    <w:rsid w:val="007A67CA"/>
    <w:rsid w:val="007B180C"/>
    <w:rsid w:val="007C240C"/>
    <w:rsid w:val="007D1B6D"/>
    <w:rsid w:val="007E10C2"/>
    <w:rsid w:val="007E7D1F"/>
    <w:rsid w:val="007F1A43"/>
    <w:rsid w:val="00813C37"/>
    <w:rsid w:val="008154B5"/>
    <w:rsid w:val="00823962"/>
    <w:rsid w:val="00852719"/>
    <w:rsid w:val="00860115"/>
    <w:rsid w:val="008623B4"/>
    <w:rsid w:val="00880676"/>
    <w:rsid w:val="0088783C"/>
    <w:rsid w:val="008A6F27"/>
    <w:rsid w:val="008B1278"/>
    <w:rsid w:val="008B3310"/>
    <w:rsid w:val="008C0A84"/>
    <w:rsid w:val="008C3F36"/>
    <w:rsid w:val="008C5225"/>
    <w:rsid w:val="008C7E37"/>
    <w:rsid w:val="008D0ABF"/>
    <w:rsid w:val="008D57CA"/>
    <w:rsid w:val="008D7032"/>
    <w:rsid w:val="008E2EC5"/>
    <w:rsid w:val="00903D7B"/>
    <w:rsid w:val="00905484"/>
    <w:rsid w:val="0090676E"/>
    <w:rsid w:val="00926624"/>
    <w:rsid w:val="009370BC"/>
    <w:rsid w:val="0094223C"/>
    <w:rsid w:val="00951196"/>
    <w:rsid w:val="00970580"/>
    <w:rsid w:val="0097377C"/>
    <w:rsid w:val="0097562E"/>
    <w:rsid w:val="009819BA"/>
    <w:rsid w:val="0098739B"/>
    <w:rsid w:val="00994829"/>
    <w:rsid w:val="009A3284"/>
    <w:rsid w:val="009A3AA0"/>
    <w:rsid w:val="009B61E5"/>
    <w:rsid w:val="009C6B4C"/>
    <w:rsid w:val="009D1E89"/>
    <w:rsid w:val="009E5707"/>
    <w:rsid w:val="00A00F15"/>
    <w:rsid w:val="00A13223"/>
    <w:rsid w:val="00A17661"/>
    <w:rsid w:val="00A24B2D"/>
    <w:rsid w:val="00A27DCD"/>
    <w:rsid w:val="00A3097D"/>
    <w:rsid w:val="00A338B3"/>
    <w:rsid w:val="00A3510B"/>
    <w:rsid w:val="00A358BD"/>
    <w:rsid w:val="00A40966"/>
    <w:rsid w:val="00A50E81"/>
    <w:rsid w:val="00A56998"/>
    <w:rsid w:val="00A5798C"/>
    <w:rsid w:val="00A61B1C"/>
    <w:rsid w:val="00A70E10"/>
    <w:rsid w:val="00A72ECD"/>
    <w:rsid w:val="00A921E0"/>
    <w:rsid w:val="00A922F4"/>
    <w:rsid w:val="00AB3053"/>
    <w:rsid w:val="00AC7A3F"/>
    <w:rsid w:val="00AD59D5"/>
    <w:rsid w:val="00AE1EAA"/>
    <w:rsid w:val="00AE5526"/>
    <w:rsid w:val="00AF051B"/>
    <w:rsid w:val="00B00E31"/>
    <w:rsid w:val="00B01578"/>
    <w:rsid w:val="00B0738F"/>
    <w:rsid w:val="00B12B31"/>
    <w:rsid w:val="00B13D3B"/>
    <w:rsid w:val="00B230DB"/>
    <w:rsid w:val="00B26601"/>
    <w:rsid w:val="00B30E01"/>
    <w:rsid w:val="00B41951"/>
    <w:rsid w:val="00B433D8"/>
    <w:rsid w:val="00B51FA6"/>
    <w:rsid w:val="00B53229"/>
    <w:rsid w:val="00B62480"/>
    <w:rsid w:val="00B63598"/>
    <w:rsid w:val="00B74D78"/>
    <w:rsid w:val="00B76729"/>
    <w:rsid w:val="00B81B70"/>
    <w:rsid w:val="00B9538B"/>
    <w:rsid w:val="00BB3BAB"/>
    <w:rsid w:val="00BB7981"/>
    <w:rsid w:val="00BC11D7"/>
    <w:rsid w:val="00BC36A1"/>
    <w:rsid w:val="00BD0724"/>
    <w:rsid w:val="00BD1E79"/>
    <w:rsid w:val="00BD1FC0"/>
    <w:rsid w:val="00BD2B91"/>
    <w:rsid w:val="00BD527C"/>
    <w:rsid w:val="00BD5BE0"/>
    <w:rsid w:val="00BE5521"/>
    <w:rsid w:val="00BF6C23"/>
    <w:rsid w:val="00C15C89"/>
    <w:rsid w:val="00C2005D"/>
    <w:rsid w:val="00C53263"/>
    <w:rsid w:val="00C6415E"/>
    <w:rsid w:val="00C70133"/>
    <w:rsid w:val="00C75F1D"/>
    <w:rsid w:val="00C821CA"/>
    <w:rsid w:val="00C95156"/>
    <w:rsid w:val="00CA0DC2"/>
    <w:rsid w:val="00CB68E8"/>
    <w:rsid w:val="00CC2A07"/>
    <w:rsid w:val="00D04F01"/>
    <w:rsid w:val="00D06414"/>
    <w:rsid w:val="00D1107D"/>
    <w:rsid w:val="00D150A5"/>
    <w:rsid w:val="00D24563"/>
    <w:rsid w:val="00D24E5A"/>
    <w:rsid w:val="00D322BF"/>
    <w:rsid w:val="00D338E4"/>
    <w:rsid w:val="00D35D07"/>
    <w:rsid w:val="00D362D5"/>
    <w:rsid w:val="00D36FA7"/>
    <w:rsid w:val="00D4219A"/>
    <w:rsid w:val="00D4304F"/>
    <w:rsid w:val="00D51947"/>
    <w:rsid w:val="00D532F0"/>
    <w:rsid w:val="00D53DD4"/>
    <w:rsid w:val="00D65994"/>
    <w:rsid w:val="00D66FD9"/>
    <w:rsid w:val="00D77413"/>
    <w:rsid w:val="00D80DB0"/>
    <w:rsid w:val="00D81306"/>
    <w:rsid w:val="00D82759"/>
    <w:rsid w:val="00D86644"/>
    <w:rsid w:val="00D86DE4"/>
    <w:rsid w:val="00DA4BF5"/>
    <w:rsid w:val="00DB1460"/>
    <w:rsid w:val="00DB4079"/>
    <w:rsid w:val="00DB533D"/>
    <w:rsid w:val="00DE1909"/>
    <w:rsid w:val="00DE51DB"/>
    <w:rsid w:val="00E02180"/>
    <w:rsid w:val="00E171C1"/>
    <w:rsid w:val="00E23F1D"/>
    <w:rsid w:val="00E30E05"/>
    <w:rsid w:val="00E36361"/>
    <w:rsid w:val="00E41772"/>
    <w:rsid w:val="00E45C63"/>
    <w:rsid w:val="00E55AE9"/>
    <w:rsid w:val="00E56D1D"/>
    <w:rsid w:val="00E66260"/>
    <w:rsid w:val="00E9592C"/>
    <w:rsid w:val="00EA2830"/>
    <w:rsid w:val="00EB0C84"/>
    <w:rsid w:val="00EE273F"/>
    <w:rsid w:val="00EF1E25"/>
    <w:rsid w:val="00EF322B"/>
    <w:rsid w:val="00F01253"/>
    <w:rsid w:val="00F10A9B"/>
    <w:rsid w:val="00F17FDE"/>
    <w:rsid w:val="00F31A71"/>
    <w:rsid w:val="00F40D53"/>
    <w:rsid w:val="00F4525C"/>
    <w:rsid w:val="00F50D86"/>
    <w:rsid w:val="00F65E70"/>
    <w:rsid w:val="00F6610F"/>
    <w:rsid w:val="00F736C3"/>
    <w:rsid w:val="00F87EFA"/>
    <w:rsid w:val="00F942E0"/>
    <w:rsid w:val="00FB23F1"/>
    <w:rsid w:val="00FC06AB"/>
    <w:rsid w:val="00FC4839"/>
    <w:rsid w:val="00FD29D3"/>
    <w:rsid w:val="00FE068E"/>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E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17C47"/>
    <w:pPr>
      <w:numPr>
        <w:numId w:val="22"/>
      </w:numPr>
      <w:spacing w:before="60" w:after="60"/>
      <w:ind w:left="426" w:hanging="426"/>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3229E7"/>
    <w:rPr>
      <w:color w:val="8DB3E2" w:themeColor="followedHyperlink"/>
      <w:u w:val="single"/>
    </w:rPr>
  </w:style>
  <w:style w:type="character" w:customStyle="1" w:styleId="UnresolvedMention1">
    <w:name w:val="Unresolved Mention1"/>
    <w:basedOn w:val="DefaultParagraphFont"/>
    <w:uiPriority w:val="99"/>
    <w:semiHidden/>
    <w:unhideWhenUsed/>
    <w:rsid w:val="005254DD"/>
    <w:rPr>
      <w:color w:val="605E5C"/>
      <w:shd w:val="clear" w:color="auto" w:fill="E1DFDD"/>
    </w:rPr>
  </w:style>
  <w:style w:type="character" w:styleId="UnresolvedMention">
    <w:name w:val="Unresolved Mention"/>
    <w:basedOn w:val="DefaultParagraphFont"/>
    <w:uiPriority w:val="99"/>
    <w:semiHidden/>
    <w:unhideWhenUsed/>
    <w:rsid w:val="00760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elldesign.com/what-we-d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victoriancurriculum.vcaa.vic.edu.au/Curriculum/ContentDescription/VCAMAM035" TargetMode="External"/><Relationship Id="rId17" Type="http://schemas.openxmlformats.org/officeDocument/2006/relationships/hyperlink" Target="https://www.acmi.net.au/education/online-learning/magic-aardman-education-resources/" TargetMode="External"/><Relationship Id="rId2" Type="http://schemas.openxmlformats.org/officeDocument/2006/relationships/customXml" Target="../customXml/item2.xml"/><Relationship Id="rId16" Type="http://schemas.openxmlformats.org/officeDocument/2006/relationships/hyperlink" Target="https://www.youtube.com/watch?v=fT_LdcWFHk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AMAE033" TargetMode="External"/><Relationship Id="rId5" Type="http://schemas.openxmlformats.org/officeDocument/2006/relationships/numbering" Target="numbering.xml"/><Relationship Id="rId15" Type="http://schemas.openxmlformats.org/officeDocument/2006/relationships/hyperlink" Target="https://fusecontent.education.vic.gov.au/4e0daee8-6078-4a79-b483-add757cfd92d/Tromarama%20look%20and%20explore%20ting.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7EWLeynJ5_w"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7D5ED417-A51D-414D-BFBB-2927796ECF47}">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http://www.w3.org/XML/1998/namespace"/>
    <ds:schemaRef ds:uri="http://schemas.microsoft.com/office/2006/metadata/propertie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7312e006-3a46-4a17-974d-e5853b8832b5"/>
    <ds:schemaRef ds:uri="1fe43362-8010-4e8f-b6ea-08e9e729bbf3"/>
  </ds:schemaRefs>
</ds:datastoreItem>
</file>

<file path=customXml/itemProps4.xml><?xml version="1.0" encoding="utf-8"?>
<ds:datastoreItem xmlns:ds="http://schemas.openxmlformats.org/officeDocument/2006/customXml" ds:itemID="{1E97EFF7-FD2C-4AAC-B042-EA50D5D68301}"/>
</file>

<file path=docProps/app.xml><?xml version="1.0" encoding="utf-8"?>
<Properties xmlns="http://schemas.openxmlformats.org/officeDocument/2006/extended-properties" xmlns:vt="http://schemas.openxmlformats.org/officeDocument/2006/docPropsVTypes">
  <Template>Normal.dotm</Template>
  <TotalTime>1</TotalTime>
  <Pages>2</Pages>
  <Words>948</Words>
  <Characters>5324</Characters>
  <Application>Microsoft Office Word</Application>
  <DocSecurity>0</DocSecurity>
  <Lines>104</Lines>
  <Paragraphs>53</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Manager/>
  <Company/>
  <LinksUpToDate>false</LinksUpToDate>
  <CharactersWithSpaces>6219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subject/>
  <dc:creator/>
  <cp:keywords>career education, curriculum resources, Media Arts</cp:keywords>
  <dc:description/>
  <cp:lastModifiedBy/>
  <cp:revision>2</cp:revision>
  <cp:lastPrinted>2020-03-04T04:43:00Z</cp:lastPrinted>
  <dcterms:created xsi:type="dcterms:W3CDTF">2020-09-27T05:27:00Z</dcterms:created>
  <dcterms:modified xsi:type="dcterms:W3CDTF">2020-09-27T23:46:00Z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