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57948106" w:rsidR="00086CFC" w:rsidRDefault="00C2005D" w:rsidP="0076697B">
      <w:pPr>
        <w:pStyle w:val="VCAAHeading1"/>
      </w:pPr>
      <w:r>
        <w:t>E</w:t>
      </w:r>
      <w:r w:rsidR="00E56D1D">
        <w:t>m</w:t>
      </w:r>
      <w:r w:rsidR="007E7D1F">
        <w:t xml:space="preserve">bedding </w:t>
      </w:r>
      <w:r w:rsidR="00CC7388">
        <w:t>career education</w:t>
      </w:r>
      <w:r w:rsidR="007E7D1F">
        <w:t xml:space="preserve"> </w:t>
      </w:r>
      <w:r w:rsidR="007E7D1F" w:rsidRPr="006B7B53">
        <w:t>in</w:t>
      </w:r>
      <w:r w:rsidR="007E7D1F">
        <w:t xml:space="preserve"> </w:t>
      </w:r>
      <w:r w:rsidR="00E56D1D">
        <w:t>the Victorian Curriculum F–10</w:t>
      </w:r>
      <w:r w:rsidR="00086CFC">
        <w:t xml:space="preserve"> </w:t>
      </w:r>
    </w:p>
    <w:p w14:paraId="309AA2D5" w14:textId="7726ACC0" w:rsidR="004F6DE0" w:rsidRPr="008C0A84" w:rsidRDefault="00CC7388" w:rsidP="004F6DE0">
      <w:pPr>
        <w:pStyle w:val="VCAAHeading2"/>
        <w:rPr>
          <w:lang w:val="en-AU"/>
        </w:rPr>
      </w:pPr>
      <w:bookmarkStart w:id="0" w:name="TemplateOverview"/>
      <w:bookmarkEnd w:id="0"/>
      <w:r>
        <w:rPr>
          <w:lang w:val="en-AU"/>
        </w:rPr>
        <w:t>Personal and Social Capability</w:t>
      </w:r>
      <w:r w:rsidR="006F58F8">
        <w:rPr>
          <w:lang w:val="en-AU"/>
        </w:rPr>
        <w:t>, Levels 9</w:t>
      </w:r>
      <w:r w:rsidR="004F6DE0" w:rsidRPr="008C0A84">
        <w:rPr>
          <w:lang w:val="en-AU"/>
        </w:rPr>
        <w:t xml:space="preserve"> and </w:t>
      </w:r>
      <w:r w:rsidR="006F58F8">
        <w:rPr>
          <w:lang w:val="en-AU"/>
        </w:rPr>
        <w:t>10</w:t>
      </w:r>
      <w:bookmarkStart w:id="1" w:name="_GoBack"/>
      <w:bookmarkEnd w:id="1"/>
    </w:p>
    <w:p w14:paraId="2E354ED1" w14:textId="21BE3F55"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CC7388">
        <w:rPr>
          <w:lang w:val="en-AU"/>
        </w:rPr>
        <w:t>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1A9063D7" w:rsidR="008B1278" w:rsidRPr="008C0A84" w:rsidRDefault="008B1278" w:rsidP="0076697B">
      <w:pPr>
        <w:pStyle w:val="VCAAbody-withlargetabandhangingindent"/>
      </w:pPr>
      <w:r w:rsidRPr="008C0A84">
        <w:rPr>
          <w:b/>
        </w:rPr>
        <w:t>Curriculum area and levels:</w:t>
      </w:r>
      <w:r w:rsidRPr="008C0A84">
        <w:tab/>
      </w:r>
      <w:r w:rsidR="00CC7388">
        <w:t>Personal and Social Capability</w:t>
      </w:r>
      <w:r w:rsidRPr="008C0A84">
        <w:t xml:space="preserve">, Levels </w:t>
      </w:r>
      <w:r w:rsidR="006F58F8">
        <w:t>9</w:t>
      </w:r>
      <w:r w:rsidRPr="008C0A84">
        <w:t xml:space="preserve"> and </w:t>
      </w:r>
      <w:r w:rsidR="006F58F8">
        <w:t>10</w:t>
      </w:r>
    </w:p>
    <w:p w14:paraId="1FB5B60B" w14:textId="6CEB73AA" w:rsidR="008B1278" w:rsidRPr="008C0A84" w:rsidRDefault="00254888" w:rsidP="008B1278">
      <w:pPr>
        <w:pStyle w:val="VCAAbody-withlargetabandhangingindent"/>
      </w:pPr>
      <w:r w:rsidRPr="008C0A84">
        <w:rPr>
          <w:b/>
        </w:rPr>
        <w:t>Relevant c</w:t>
      </w:r>
      <w:r w:rsidR="008B1278" w:rsidRPr="008C0A84">
        <w:rPr>
          <w:b/>
        </w:rPr>
        <w:t>ontent description:</w:t>
      </w:r>
      <w:r w:rsidR="006F58F8">
        <w:tab/>
      </w:r>
      <w:r w:rsidR="00CC7388" w:rsidRPr="0076697B">
        <w:t>Acknowledge the importance of empathy and the acceptance of diversity for a cohesive community and reflect on the effectiveness of strategies for being respectful of diversity and human rights </w:t>
      </w:r>
      <w:hyperlink r:id="rId11" w:tooltip="View elaborations and additional details of VCPSCSO048" w:history="1">
        <w:r w:rsidR="00CC7388" w:rsidRPr="0076697B">
          <w:t>(</w:t>
        </w:r>
        <w:r w:rsidR="00CC7388" w:rsidRPr="0091501A">
          <w:rPr>
            <w:rStyle w:val="Hyperlink"/>
          </w:rPr>
          <w:t>VCPSCSO048</w:t>
        </w:r>
        <w:r w:rsidR="00CC7388" w:rsidRPr="0076697B">
          <w:t>)</w:t>
        </w:r>
      </w:hyperlink>
      <w:r w:rsidR="00CC7388">
        <w:t xml:space="preserve"> </w:t>
      </w:r>
    </w:p>
    <w:p w14:paraId="36A2C730" w14:textId="079F1C81"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475BD2">
        <w:t xml:space="preserve">Analysing how protest movements can be understood in the context of empathy and desire for diversity and/or human rights. </w:t>
      </w:r>
      <w:r w:rsidR="00D35D07">
        <w:t xml:space="preserve"> </w:t>
      </w:r>
    </w:p>
    <w:p w14:paraId="2364A01C" w14:textId="0A8019EE" w:rsidR="00421DB1" w:rsidRPr="0076697B" w:rsidRDefault="00421DB1" w:rsidP="00B51FA6">
      <w:pPr>
        <w:pStyle w:val="VCAAbody-withlargetabandhangingindent"/>
      </w:pPr>
      <w:r w:rsidRPr="0076697B">
        <w:rPr>
          <w:b/>
          <w:bCs/>
        </w:rPr>
        <w:t>Summary of adaptation, change, addition:</w:t>
      </w:r>
      <w:r>
        <w:tab/>
      </w:r>
      <w:r w:rsidR="00475BD2">
        <w:t>Considering how protests have impacted on diversity and empathy in a work setting, and strategies to improve empathy in the workplace.</w:t>
      </w:r>
      <w:r w:rsidR="00B87C2C" w:rsidRPr="0076697B">
        <w:t xml:space="preserve"> </w:t>
      </w:r>
    </w:p>
    <w:p w14:paraId="65DFB73F" w14:textId="7EE51780" w:rsidR="00254888" w:rsidRDefault="00254888" w:rsidP="0076697B">
      <w:pPr>
        <w:pStyle w:val="VCAAHeading3"/>
        <w:rPr>
          <w:lang w:val="en-AU"/>
        </w:rPr>
      </w:pPr>
      <w:r w:rsidRPr="008C0A84">
        <w:rPr>
          <w:lang w:val="en-AU"/>
        </w:rPr>
        <w:t xml:space="preserve">2. Adapt the learning activity to </w:t>
      </w:r>
      <w:r w:rsidR="00FF47DF" w:rsidRPr="008C0A84">
        <w:rPr>
          <w:lang w:val="en-AU"/>
        </w:rPr>
        <w:t>include</w:t>
      </w:r>
      <w:r w:rsidRPr="008C0A84">
        <w:rPr>
          <w:lang w:val="en-AU"/>
        </w:rPr>
        <w:t xml:space="preserve"> a </w:t>
      </w:r>
      <w:r w:rsidR="00CC7388">
        <w:rPr>
          <w:lang w:val="en-AU"/>
        </w:rPr>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390"/>
        <w:gridCol w:w="5499"/>
      </w:tblGrid>
      <w:tr w:rsidR="00254888" w:rsidRPr="008C0A84" w14:paraId="47FFE019" w14:textId="77777777" w:rsidTr="00B512A4">
        <w:trPr>
          <w:cnfStyle w:val="100000000000" w:firstRow="1" w:lastRow="0" w:firstColumn="0" w:lastColumn="0" w:oddVBand="0" w:evenVBand="0" w:oddHBand="0" w:evenHBand="0" w:firstRowFirstColumn="0" w:firstRowLastColumn="0" w:lastRowFirstColumn="0" w:lastRowLastColumn="0"/>
        </w:trPr>
        <w:tc>
          <w:tcPr>
            <w:tcW w:w="4390"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499"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B512A4">
        <w:tc>
          <w:tcPr>
            <w:tcW w:w="4390" w:type="dxa"/>
          </w:tcPr>
          <w:p w14:paraId="142B0173" w14:textId="226CBBB4" w:rsidR="00B87C2C" w:rsidRDefault="00862F22" w:rsidP="00B87C2C">
            <w:pPr>
              <w:pStyle w:val="VCAAtablecondensed"/>
              <w:rPr>
                <w:lang w:val="en-AU"/>
              </w:rPr>
            </w:pPr>
            <w:r>
              <w:rPr>
                <w:lang w:val="en-AU"/>
              </w:rPr>
              <w:t xml:space="preserve">Teacher </w:t>
            </w:r>
            <w:r w:rsidR="00495592">
              <w:rPr>
                <w:lang w:val="en-AU"/>
              </w:rPr>
              <w:t>provides several</w:t>
            </w:r>
            <w:r>
              <w:rPr>
                <w:lang w:val="en-AU"/>
              </w:rPr>
              <w:t xml:space="preserve"> visual representations of </w:t>
            </w:r>
            <w:r w:rsidR="007B5197">
              <w:rPr>
                <w:lang w:val="en-AU"/>
              </w:rPr>
              <w:t>protest</w:t>
            </w:r>
            <w:r>
              <w:rPr>
                <w:lang w:val="en-AU"/>
              </w:rPr>
              <w:t xml:space="preserve"> from both a present and past</w:t>
            </w:r>
            <w:r w:rsidR="007421B7">
              <w:rPr>
                <w:lang w:val="en-AU"/>
              </w:rPr>
              <w:t xml:space="preserve"> Australian</w:t>
            </w:r>
            <w:r>
              <w:rPr>
                <w:lang w:val="en-AU"/>
              </w:rPr>
              <w:t xml:space="preserve"> context.</w:t>
            </w:r>
          </w:p>
          <w:p w14:paraId="46A85701" w14:textId="263F35E7" w:rsidR="00254888" w:rsidRPr="008C0A84" w:rsidRDefault="007421B7" w:rsidP="00772D84">
            <w:pPr>
              <w:pStyle w:val="VCAAtablecondensed"/>
              <w:rPr>
                <w:lang w:val="en-AU"/>
              </w:rPr>
            </w:pPr>
            <w:r>
              <w:rPr>
                <w:lang w:val="en-AU"/>
              </w:rPr>
              <w:t>For example,</w:t>
            </w:r>
            <w:r w:rsidR="001662FA">
              <w:rPr>
                <w:lang w:val="en-AU"/>
              </w:rPr>
              <w:t xml:space="preserve"> </w:t>
            </w:r>
            <w:r w:rsidR="00772D84">
              <w:rPr>
                <w:lang w:val="en-AU"/>
              </w:rPr>
              <w:t>comparing</w:t>
            </w:r>
            <w:r w:rsidR="00B87C2C">
              <w:rPr>
                <w:lang w:val="en-AU"/>
              </w:rPr>
              <w:t xml:space="preserve"> </w:t>
            </w:r>
            <w:r>
              <w:rPr>
                <w:lang w:val="en-AU"/>
              </w:rPr>
              <w:t>a</w:t>
            </w:r>
            <w:r w:rsidR="00986B17">
              <w:rPr>
                <w:lang w:val="en-AU"/>
              </w:rPr>
              <w:t xml:space="preserve"> newspaper photograph of student protests from the 1970s</w:t>
            </w:r>
            <w:r w:rsidR="00623A56">
              <w:rPr>
                <w:lang w:val="en-AU"/>
              </w:rPr>
              <w:t xml:space="preserve"> about gender equality or access to higher education,</w:t>
            </w:r>
            <w:r w:rsidR="00986B17">
              <w:rPr>
                <w:lang w:val="en-AU"/>
              </w:rPr>
              <w:t xml:space="preserve"> with a photograph from recent </w:t>
            </w:r>
            <w:r w:rsidR="00CC7388">
              <w:rPr>
                <w:lang w:val="en-AU"/>
              </w:rPr>
              <w:t>protest about refugee rights</w:t>
            </w:r>
            <w:r w:rsidR="00986B17">
              <w:rPr>
                <w:lang w:val="en-AU"/>
              </w:rPr>
              <w:t>.</w:t>
            </w:r>
          </w:p>
        </w:tc>
        <w:tc>
          <w:tcPr>
            <w:tcW w:w="5499" w:type="dxa"/>
          </w:tcPr>
          <w:p w14:paraId="546E955E" w14:textId="447C7022" w:rsidR="00B87C2C" w:rsidRDefault="00F679CE" w:rsidP="00B87C2C">
            <w:pPr>
              <w:pStyle w:val="VCAAtablecondensed"/>
              <w:rPr>
                <w:lang w:val="en-AU"/>
              </w:rPr>
            </w:pPr>
            <w:r>
              <w:rPr>
                <w:lang w:val="en-AU"/>
              </w:rPr>
              <w:t>In addition, t</w:t>
            </w:r>
            <w:r w:rsidR="001662FA">
              <w:rPr>
                <w:lang w:val="en-AU"/>
              </w:rPr>
              <w:t xml:space="preserve">eacher </w:t>
            </w:r>
            <w:r>
              <w:rPr>
                <w:lang w:val="en-AU"/>
              </w:rPr>
              <w:t>highlights how</w:t>
            </w:r>
            <w:r w:rsidR="0020209C">
              <w:rPr>
                <w:lang w:val="en-AU"/>
              </w:rPr>
              <w:t xml:space="preserve"> </w:t>
            </w:r>
            <w:r w:rsidR="004A1885">
              <w:rPr>
                <w:lang w:val="en-AU"/>
              </w:rPr>
              <w:t>protests</w:t>
            </w:r>
            <w:r>
              <w:rPr>
                <w:lang w:val="en-AU"/>
              </w:rPr>
              <w:t xml:space="preserve"> </w:t>
            </w:r>
            <w:r w:rsidR="0070445A">
              <w:rPr>
                <w:lang w:val="en-AU"/>
              </w:rPr>
              <w:t xml:space="preserve">may </w:t>
            </w:r>
            <w:r>
              <w:rPr>
                <w:lang w:val="en-AU"/>
              </w:rPr>
              <w:t xml:space="preserve">have </w:t>
            </w:r>
            <w:r w:rsidR="00B75B9C">
              <w:rPr>
                <w:lang w:val="en-AU"/>
              </w:rPr>
              <w:t>affected career</w:t>
            </w:r>
            <w:r>
              <w:rPr>
                <w:lang w:val="en-AU"/>
              </w:rPr>
              <w:t xml:space="preserve"> pathways</w:t>
            </w:r>
            <w:r w:rsidR="007421B7">
              <w:rPr>
                <w:lang w:val="en-AU"/>
              </w:rPr>
              <w:t>.</w:t>
            </w:r>
            <w:r w:rsidR="006169F0">
              <w:rPr>
                <w:lang w:val="en-AU"/>
              </w:rPr>
              <w:t xml:space="preserve"> </w:t>
            </w:r>
          </w:p>
          <w:p w14:paraId="092660B4" w14:textId="7CA430D4" w:rsidR="00561A89" w:rsidRPr="008C0A84" w:rsidRDefault="006169F0" w:rsidP="00561A89">
            <w:pPr>
              <w:pStyle w:val="VCAAtablecondensed"/>
              <w:rPr>
                <w:lang w:val="en-AU"/>
              </w:rPr>
            </w:pPr>
            <w:r>
              <w:rPr>
                <w:lang w:val="en-AU"/>
              </w:rPr>
              <w:t>For example,</w:t>
            </w:r>
            <w:r w:rsidR="00F679CE">
              <w:rPr>
                <w:lang w:val="en-AU"/>
              </w:rPr>
              <w:t xml:space="preserve"> teacher could</w:t>
            </w:r>
            <w:r w:rsidR="001662FA">
              <w:rPr>
                <w:lang w:val="en-AU"/>
              </w:rPr>
              <w:t xml:space="preserve"> </w:t>
            </w:r>
            <w:r w:rsidR="00F679CE">
              <w:rPr>
                <w:lang w:val="en-AU"/>
              </w:rPr>
              <w:t>compare</w:t>
            </w:r>
            <w:r>
              <w:rPr>
                <w:lang w:val="en-AU"/>
              </w:rPr>
              <w:t xml:space="preserve"> advertisement</w:t>
            </w:r>
            <w:r w:rsidR="00F059DE">
              <w:rPr>
                <w:lang w:val="en-AU"/>
              </w:rPr>
              <w:t>s from a trade school in the 19</w:t>
            </w:r>
            <w:r w:rsidR="00E420B6">
              <w:rPr>
                <w:lang w:val="en-AU"/>
              </w:rPr>
              <w:t>8</w:t>
            </w:r>
            <w:r>
              <w:rPr>
                <w:lang w:val="en-AU"/>
              </w:rPr>
              <w:t xml:space="preserve">0s with recent materials </w:t>
            </w:r>
            <w:r w:rsidR="00E420B6">
              <w:rPr>
                <w:lang w:val="en-AU"/>
              </w:rPr>
              <w:t xml:space="preserve">relating to </w:t>
            </w:r>
            <w:r>
              <w:rPr>
                <w:lang w:val="en-AU"/>
              </w:rPr>
              <w:t>the same trade</w:t>
            </w:r>
            <w:r w:rsidR="00F679CE">
              <w:rPr>
                <w:lang w:val="en-AU"/>
              </w:rPr>
              <w:t xml:space="preserve"> to identify how campaigns for gender equality have increased th</w:t>
            </w:r>
            <w:r w:rsidR="00FC26E1">
              <w:rPr>
                <w:lang w:val="en-AU"/>
              </w:rPr>
              <w:t xml:space="preserve">e career pathways open to women. </w:t>
            </w:r>
            <w:r w:rsidR="00561A89">
              <w:rPr>
                <w:lang w:val="en-AU"/>
              </w:rPr>
              <w:t>O</w:t>
            </w:r>
            <w:r w:rsidR="00561A89">
              <w:t>n the other hand</w:t>
            </w:r>
            <w:r w:rsidR="00561A89">
              <w:t>,</w:t>
            </w:r>
            <w:r w:rsidR="00561A89">
              <w:t xml:space="preserve"> students could explore possible consequences of more students undertaking higher education, for example associated with increasing the diversity of the workforce in particular jobs</w:t>
            </w:r>
          </w:p>
        </w:tc>
      </w:tr>
      <w:tr w:rsidR="007421B7" w:rsidRPr="008C0A84" w14:paraId="47C09381" w14:textId="77777777" w:rsidTr="00B512A4">
        <w:tc>
          <w:tcPr>
            <w:tcW w:w="4390" w:type="dxa"/>
          </w:tcPr>
          <w:p w14:paraId="0D6F2B3F" w14:textId="7EDD3D7A" w:rsidR="00420458" w:rsidRDefault="002B6383" w:rsidP="00E243ED">
            <w:pPr>
              <w:pStyle w:val="VCAAtablecondensed"/>
              <w:rPr>
                <w:lang w:val="en-AU"/>
              </w:rPr>
            </w:pPr>
            <w:r>
              <w:rPr>
                <w:lang w:val="en-AU"/>
              </w:rPr>
              <w:t>Students work in pairs to identify</w:t>
            </w:r>
            <w:r w:rsidR="007421B7">
              <w:rPr>
                <w:lang w:val="en-AU"/>
              </w:rPr>
              <w:t xml:space="preserve"> </w:t>
            </w:r>
            <w:r w:rsidR="00360B1B">
              <w:rPr>
                <w:lang w:val="en-AU"/>
              </w:rPr>
              <w:t>differences and similarities in the demographics of protesters</w:t>
            </w:r>
            <w:r w:rsidR="007421B7">
              <w:rPr>
                <w:lang w:val="en-AU"/>
              </w:rPr>
              <w:t xml:space="preserve">. </w:t>
            </w:r>
            <w:r w:rsidR="00732943">
              <w:rPr>
                <w:lang w:val="en-AU"/>
              </w:rPr>
              <w:t>They consider</w:t>
            </w:r>
            <w:r w:rsidR="00B75B9C">
              <w:rPr>
                <w:lang w:val="en-AU"/>
              </w:rPr>
              <w:t xml:space="preserve"> </w:t>
            </w:r>
            <w:r w:rsidR="00732943">
              <w:rPr>
                <w:lang w:val="en-AU"/>
              </w:rPr>
              <w:t xml:space="preserve">who </w:t>
            </w:r>
            <w:r w:rsidR="00B75B9C">
              <w:rPr>
                <w:lang w:val="en-AU"/>
              </w:rPr>
              <w:t>is protesting, and why</w:t>
            </w:r>
            <w:r w:rsidR="00CC7388">
              <w:rPr>
                <w:lang w:val="en-AU"/>
              </w:rPr>
              <w:t xml:space="preserve">. Teacher should link discussion of ‘why’ people are protesting to empathy and diversity. </w:t>
            </w:r>
            <w:r w:rsidR="0076697B">
              <w:rPr>
                <w:lang w:val="en-AU"/>
              </w:rPr>
              <w:t>Consider how a lack of empathy</w:t>
            </w:r>
            <w:r w:rsidR="00AB73F1">
              <w:rPr>
                <w:lang w:val="en-AU"/>
              </w:rPr>
              <w:t xml:space="preserve"> may have</w:t>
            </w:r>
            <w:r w:rsidR="0076697B">
              <w:rPr>
                <w:lang w:val="en-AU"/>
              </w:rPr>
              <w:t xml:space="preserve"> led to the protest in the first place.</w:t>
            </w:r>
          </w:p>
          <w:p w14:paraId="123E135F" w14:textId="217FA952" w:rsidR="007421B7" w:rsidRPr="008C0A84" w:rsidRDefault="00360B1B" w:rsidP="008837D9">
            <w:pPr>
              <w:pStyle w:val="VCAAtablecondensed"/>
              <w:rPr>
                <w:lang w:val="en-AU"/>
              </w:rPr>
            </w:pPr>
            <w:r>
              <w:rPr>
                <w:lang w:val="en-AU"/>
              </w:rPr>
              <w:t xml:space="preserve">Teacher helps students to unpack how protests can be linked to empathy – i.e. By bringing awareness to an </w:t>
            </w:r>
            <w:r>
              <w:rPr>
                <w:lang w:val="en-AU"/>
              </w:rPr>
              <w:lastRenderedPageBreak/>
              <w:t>issue, are protesters hoping that more people will be concerned about an issue or want to help a group of people? Students then explore if/how the protest examples they have been given can be linked to empathy, diversity and human rights.</w:t>
            </w:r>
          </w:p>
        </w:tc>
        <w:tc>
          <w:tcPr>
            <w:tcW w:w="5499" w:type="dxa"/>
          </w:tcPr>
          <w:p w14:paraId="77CC0924" w14:textId="398F7DD7" w:rsidR="00F5778B" w:rsidRPr="0076697B" w:rsidRDefault="003C4AD7" w:rsidP="00F5778B">
            <w:pPr>
              <w:pStyle w:val="VCAAtablecondensed"/>
            </w:pPr>
            <w:r w:rsidRPr="0076697B">
              <w:lastRenderedPageBreak/>
              <w:t>In addition, t</w:t>
            </w:r>
            <w:r w:rsidR="00644C2D" w:rsidRPr="0076697B">
              <w:t>eacher</w:t>
            </w:r>
            <w:r w:rsidR="009E15CD" w:rsidRPr="0076697B">
              <w:t xml:space="preserve"> build</w:t>
            </w:r>
            <w:r w:rsidR="00644C2D" w:rsidRPr="0076697B">
              <w:t xml:space="preserve">s on student </w:t>
            </w:r>
            <w:r w:rsidR="009E15CD" w:rsidRPr="0076697B">
              <w:t>discussions by providing statistics about changes to work pathways available to young people</w:t>
            </w:r>
            <w:r w:rsidR="00DA137F" w:rsidRPr="0076697B">
              <w:t xml:space="preserve"> that have come after protest</w:t>
            </w:r>
            <w:r w:rsidR="002850D2" w:rsidRPr="0076697B">
              <w:t>,</w:t>
            </w:r>
            <w:r w:rsidR="00DA137F" w:rsidRPr="0076697B">
              <w:t xml:space="preserve"> for example, </w:t>
            </w:r>
            <w:r w:rsidR="002850D2" w:rsidRPr="0076697B">
              <w:t xml:space="preserve">improved access to a wider range of careers for women </w:t>
            </w:r>
            <w:r w:rsidR="00DA137F" w:rsidRPr="0076697B">
              <w:t>as a result of campaigns for gender equality</w:t>
            </w:r>
            <w:r w:rsidR="00420458" w:rsidRPr="0076697B">
              <w:t>.</w:t>
            </w:r>
            <w:r w:rsidR="009E15CD" w:rsidRPr="0076697B">
              <w:t xml:space="preserve"> </w:t>
            </w:r>
            <w:r w:rsidR="00CC7388">
              <w:t>Teacher leads a discussion on whether protests have led to an increase in empathy in workplace settings, and the impact this has on diversity in these environments.</w:t>
            </w:r>
          </w:p>
          <w:p w14:paraId="7279DA82" w14:textId="16FEA854" w:rsidR="007421B7" w:rsidRPr="00B74D78" w:rsidRDefault="00DE65E7" w:rsidP="00F5778B">
            <w:pPr>
              <w:pStyle w:val="VCAAtablecondensed"/>
              <w:rPr>
                <w:color w:val="auto"/>
                <w:lang w:val="en-AU"/>
              </w:rPr>
            </w:pPr>
            <w:r w:rsidRPr="0076697B">
              <w:lastRenderedPageBreak/>
              <w:t>S</w:t>
            </w:r>
            <w:r w:rsidR="009E15CD" w:rsidRPr="0076697B">
              <w:t xml:space="preserve">ee the </w:t>
            </w:r>
            <w:r w:rsidRPr="0076697B">
              <w:t>‘C</w:t>
            </w:r>
            <w:r w:rsidR="009E15CD" w:rsidRPr="0076697B">
              <w:t>onsiderations</w:t>
            </w:r>
            <w:r w:rsidRPr="0076697B">
              <w:t>…’ section on the following page</w:t>
            </w:r>
            <w:r w:rsidR="002850D2" w:rsidRPr="0076697B">
              <w:t xml:space="preserve"> for more information</w:t>
            </w:r>
            <w:r w:rsidR="009E15CD" w:rsidRPr="0076697B">
              <w:t xml:space="preserve">. </w:t>
            </w:r>
          </w:p>
        </w:tc>
      </w:tr>
      <w:tr w:rsidR="007421B7" w:rsidRPr="008C0A84" w14:paraId="63793E0F" w14:textId="77777777" w:rsidTr="00B512A4">
        <w:tc>
          <w:tcPr>
            <w:tcW w:w="4390" w:type="dxa"/>
          </w:tcPr>
          <w:p w14:paraId="294220B5" w14:textId="50DB6CC8" w:rsidR="003C4AD7" w:rsidRDefault="007421B7" w:rsidP="000114B0">
            <w:pPr>
              <w:pStyle w:val="VCAAtablecondensed"/>
              <w:rPr>
                <w:lang w:val="en-AU"/>
              </w:rPr>
            </w:pPr>
            <w:r>
              <w:rPr>
                <w:lang w:val="en-AU"/>
              </w:rPr>
              <w:lastRenderedPageBreak/>
              <w:t>Teacher sets</w:t>
            </w:r>
            <w:r w:rsidR="00B11329">
              <w:rPr>
                <w:lang w:val="en-AU"/>
              </w:rPr>
              <w:t xml:space="preserve"> a</w:t>
            </w:r>
            <w:r>
              <w:rPr>
                <w:lang w:val="en-AU"/>
              </w:rPr>
              <w:t xml:space="preserve"> short</w:t>
            </w:r>
            <w:r w:rsidR="00732943">
              <w:rPr>
                <w:lang w:val="en-AU"/>
              </w:rPr>
              <w:t>,</w:t>
            </w:r>
            <w:r>
              <w:rPr>
                <w:lang w:val="en-AU"/>
              </w:rPr>
              <w:t xml:space="preserve"> written task</w:t>
            </w:r>
            <w:r w:rsidR="000E3DA1">
              <w:rPr>
                <w:lang w:val="en-AU"/>
              </w:rPr>
              <w:t xml:space="preserve"> for individual students</w:t>
            </w:r>
            <w:r>
              <w:rPr>
                <w:lang w:val="en-AU"/>
              </w:rPr>
              <w:t xml:space="preserve"> in response to the</w:t>
            </w:r>
            <w:r w:rsidR="000E3DA1">
              <w:rPr>
                <w:lang w:val="en-AU"/>
              </w:rPr>
              <w:t xml:space="preserve"> following</w:t>
            </w:r>
            <w:r>
              <w:rPr>
                <w:lang w:val="en-AU"/>
              </w:rPr>
              <w:t xml:space="preserve"> question</w:t>
            </w:r>
            <w:r w:rsidR="00732943">
              <w:rPr>
                <w:lang w:val="en-AU"/>
              </w:rPr>
              <w:t>:</w:t>
            </w:r>
          </w:p>
          <w:p w14:paraId="7674DB26" w14:textId="374B365D" w:rsidR="007421B7" w:rsidRPr="008C0A84" w:rsidRDefault="00732943" w:rsidP="000E3DA1">
            <w:pPr>
              <w:pStyle w:val="VCAAtablecondensed"/>
              <w:rPr>
                <w:lang w:val="en-AU"/>
              </w:rPr>
            </w:pPr>
            <w:r>
              <w:rPr>
                <w:lang w:val="en-AU"/>
              </w:rPr>
              <w:t>‘</w:t>
            </w:r>
            <w:r w:rsidR="00CC7388">
              <w:rPr>
                <w:lang w:val="en-AU"/>
              </w:rPr>
              <w:t xml:space="preserve">Is protesting an effective strategy to garner respect for diversity and human rights? </w:t>
            </w:r>
            <w:r w:rsidR="000114B0" w:rsidRPr="000114B0">
              <w:rPr>
                <w:lang w:val="en-AU"/>
              </w:rPr>
              <w:t>In your answer,</w:t>
            </w:r>
            <w:r w:rsidR="000114B0">
              <w:rPr>
                <w:lang w:val="en-AU"/>
              </w:rPr>
              <w:t xml:space="preserve"> </w:t>
            </w:r>
            <w:r w:rsidR="003C4AD7">
              <w:rPr>
                <w:lang w:val="en-AU"/>
              </w:rPr>
              <w:t>discuss</w:t>
            </w:r>
            <w:r w:rsidR="000114B0">
              <w:rPr>
                <w:lang w:val="en-AU"/>
              </w:rPr>
              <w:t xml:space="preserve"> how perceptions of young people have changed over time.</w:t>
            </w:r>
            <w:r w:rsidR="000114B0" w:rsidRPr="000114B0">
              <w:rPr>
                <w:lang w:val="en-AU"/>
              </w:rPr>
              <w:t xml:space="preserve"> </w:t>
            </w:r>
            <w:r w:rsidR="000114B0">
              <w:rPr>
                <w:lang w:val="en-AU"/>
              </w:rPr>
              <w:t>C</w:t>
            </w:r>
            <w:r w:rsidR="000114B0" w:rsidRPr="000114B0">
              <w:rPr>
                <w:lang w:val="en-AU"/>
              </w:rPr>
              <w:t xml:space="preserve">onsider </w:t>
            </w:r>
            <w:r w:rsidR="00CC7388">
              <w:rPr>
                <w:lang w:val="en-AU"/>
              </w:rPr>
              <w:t xml:space="preserve">how community cohesion and diversity would change if everyone </w:t>
            </w:r>
            <w:r w:rsidR="00360B1B">
              <w:rPr>
                <w:lang w:val="en-AU"/>
              </w:rPr>
              <w:t>empathised with the protesters</w:t>
            </w:r>
            <w:r w:rsidR="000114B0" w:rsidRPr="000114B0">
              <w:rPr>
                <w:lang w:val="en-AU"/>
              </w:rPr>
              <w:t>.</w:t>
            </w:r>
            <w:r>
              <w:rPr>
                <w:lang w:val="en-AU"/>
              </w:rPr>
              <w:t>’</w:t>
            </w:r>
          </w:p>
        </w:tc>
        <w:tc>
          <w:tcPr>
            <w:tcW w:w="5499" w:type="dxa"/>
          </w:tcPr>
          <w:p w14:paraId="7C083F81" w14:textId="0022D7C9" w:rsidR="0020209C" w:rsidRPr="00B74D78" w:rsidRDefault="003C4AD7" w:rsidP="0076697B">
            <w:pPr>
              <w:pStyle w:val="VCAAtablecondensed"/>
              <w:rPr>
                <w:color w:val="auto"/>
                <w:lang w:val="en-AU"/>
              </w:rPr>
            </w:pPr>
            <w:r w:rsidRPr="0076697B">
              <w:t xml:space="preserve">The written task is adapted to </w:t>
            </w:r>
            <w:r w:rsidR="0072284A" w:rsidRPr="0076697B">
              <w:t xml:space="preserve">focus on </w:t>
            </w:r>
            <w:r w:rsidR="002850D2" w:rsidRPr="0076697B">
              <w:t>careers</w:t>
            </w:r>
            <w:r w:rsidR="000E3DA1" w:rsidRPr="0076697B">
              <w:t xml:space="preserve">. For example: </w:t>
            </w:r>
            <w:r w:rsidR="002850D2" w:rsidRPr="0076697B">
              <w:t>‘</w:t>
            </w:r>
            <w:r w:rsidR="0076697B">
              <w:t>What strategies can workplaces use to improve empathy and diversity? If a parallel to protesting in the workplace is a strike – which is often seen as a last resort – what strategies could be used prior to striking?’</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7B8C7A50" w14:textId="7ADED843" w:rsidR="008D57CA" w:rsidRPr="0076697B" w:rsidRDefault="00923F03" w:rsidP="00B34E1E">
      <w:pPr>
        <w:pStyle w:val="VCAAbullet"/>
      </w:pPr>
      <w:r w:rsidRPr="0076697B">
        <w:t>Teachers can p</w:t>
      </w:r>
      <w:r w:rsidR="00FE169B" w:rsidRPr="0076697B">
        <w:t>rovide student</w:t>
      </w:r>
      <w:r w:rsidRPr="0076697B">
        <w:t>s</w:t>
      </w:r>
      <w:r w:rsidR="00FE169B" w:rsidRPr="0076697B">
        <w:t xml:space="preserve"> with</w:t>
      </w:r>
      <w:r w:rsidR="00944DA8" w:rsidRPr="0076697B">
        <w:t xml:space="preserve"> relevant</w:t>
      </w:r>
      <w:r w:rsidR="00FE169B" w:rsidRPr="0076697B">
        <w:t xml:space="preserve"> information about changes to Australian society over the past few decades</w:t>
      </w:r>
      <w:r w:rsidR="00807D46" w:rsidRPr="0076697B">
        <w:t>, where it fits with the examples</w:t>
      </w:r>
      <w:r w:rsidRPr="0076697B">
        <w:t xml:space="preserve"> of protest</w:t>
      </w:r>
      <w:r w:rsidR="00807D46" w:rsidRPr="0076697B">
        <w:t xml:space="preserve"> used at the beginning of the activity</w:t>
      </w:r>
      <w:r w:rsidR="00944DA8" w:rsidRPr="0076697B">
        <w:t>.</w:t>
      </w:r>
      <w:r w:rsidR="008B4B3B" w:rsidRPr="0076697B">
        <w:t xml:space="preserve"> </w:t>
      </w:r>
      <w:r w:rsidR="00FE169B" w:rsidRPr="0076697B">
        <w:t>See ‘Additional resources…</w:t>
      </w:r>
      <w:r w:rsidR="008B4B3B" w:rsidRPr="0076697B">
        <w:t>’ for some suggest</w:t>
      </w:r>
      <w:r w:rsidR="00D06E6C" w:rsidRPr="0076697B">
        <w:t>ed resources</w:t>
      </w:r>
      <w:r w:rsidR="00FE169B" w:rsidRPr="0076697B">
        <w:t>.</w:t>
      </w:r>
      <w:r w:rsidR="00C81CEC" w:rsidRPr="00734BE6">
        <w:t xml:space="preserve"> </w:t>
      </w:r>
      <w:r w:rsidR="00F059DE" w:rsidRPr="00734BE6">
        <w:t xml:space="preserve"> </w:t>
      </w:r>
    </w:p>
    <w:p w14:paraId="3E954469" w14:textId="3242B6B8" w:rsidR="0020209C" w:rsidRPr="0020209C" w:rsidRDefault="0020209C" w:rsidP="00A5332A">
      <w:pPr>
        <w:pStyle w:val="VCAAbullet"/>
        <w:rPr>
          <w:lang w:val="en-AU" w:eastAsia="en-AU"/>
        </w:rPr>
      </w:pPr>
      <w:r w:rsidRPr="0020209C">
        <w:t>This activity lends itself to student reflection on beliefs they have about themselves in relation to their future potential study and work opportunities. Teachers should consider how they will both encourage and support this type of reflection to ensure it enriches their students’ capacity to act on any insight gained through the activity.</w:t>
      </w:r>
    </w:p>
    <w:p w14:paraId="3C0C291B" w14:textId="77777777" w:rsidR="00F059DE" w:rsidRDefault="00DB533D" w:rsidP="00F059DE">
      <w:pPr>
        <w:pStyle w:val="VCAAHeading4"/>
        <w:rPr>
          <w:lang w:val="en-AU"/>
        </w:rPr>
      </w:pPr>
      <w:r>
        <w:t>Additional resources to help when adapting the learning</w:t>
      </w:r>
      <w:r w:rsidR="00F059DE" w:rsidRPr="008C0A84">
        <w:rPr>
          <w:lang w:val="en-AU"/>
        </w:rPr>
        <w:t xml:space="preserve"> activity</w:t>
      </w:r>
    </w:p>
    <w:p w14:paraId="619BF164" w14:textId="42D2FDA7" w:rsidR="00BF7C76" w:rsidRPr="00734BE6" w:rsidRDefault="00BF7C76" w:rsidP="00BF7C76">
      <w:pPr>
        <w:pStyle w:val="VCAAbullet"/>
      </w:pPr>
      <w:r w:rsidRPr="00734BE6">
        <w:t xml:space="preserve">Young people today are more likely to complete further study after school, </w:t>
      </w:r>
      <w:hyperlink r:id="rId12" w:history="1">
        <w:r w:rsidRPr="00832FAB">
          <w:rPr>
            <w:rStyle w:val="Hyperlink"/>
          </w:rPr>
          <w:t>with more women in particular pursuing further study and work pathways</w:t>
        </w:r>
      </w:hyperlink>
      <w:r w:rsidR="00832FAB" w:rsidRPr="00734BE6">
        <w:t>.</w:t>
      </w:r>
    </w:p>
    <w:p w14:paraId="1914F34D" w14:textId="5B71660D" w:rsidR="00FE169B" w:rsidRDefault="004C5717" w:rsidP="00FE169B">
      <w:pPr>
        <w:pStyle w:val="VCAAbullet"/>
      </w:pPr>
      <w:r w:rsidRPr="0076697B">
        <w:t xml:space="preserve">Young people in Australia today are </w:t>
      </w:r>
      <w:hyperlink r:id="rId13" w:history="1">
        <w:r w:rsidRPr="00832FAB">
          <w:rPr>
            <w:rStyle w:val="Hyperlink"/>
            <w:lang w:val="en-AU" w:eastAsia="en-AU"/>
          </w:rPr>
          <w:t>less likely to have permanent or full-time</w:t>
        </w:r>
      </w:hyperlink>
      <w:r w:rsidRPr="0076697B">
        <w:t xml:space="preserve"> work than in the past</w:t>
      </w:r>
      <w:r w:rsidR="001464B0" w:rsidRPr="0076697B">
        <w:t>, which can be seen as a consequence of</w:t>
      </w:r>
      <w:r w:rsidR="00BC4BA8" w:rsidRPr="0076697B">
        <w:t xml:space="preserve"> having</w:t>
      </w:r>
      <w:r w:rsidR="001464B0" w:rsidRPr="0076697B">
        <w:t xml:space="preserve"> more competition for skilled work</w:t>
      </w:r>
      <w:r w:rsidR="00832FAB" w:rsidRPr="0076697B">
        <w:t>.</w:t>
      </w:r>
      <w:r w:rsidR="00FE169B" w:rsidRPr="0076697B">
        <w:t xml:space="preserve"> </w:t>
      </w:r>
    </w:p>
    <w:p w14:paraId="2864D984" w14:textId="69F0E443" w:rsidR="0091501A" w:rsidRPr="0076697B" w:rsidRDefault="00561A89" w:rsidP="00FE169B">
      <w:pPr>
        <w:pStyle w:val="VCAAbullet"/>
      </w:pPr>
      <w:hyperlink r:id="rId14" w:history="1">
        <w:r w:rsidR="0091501A" w:rsidRPr="0091501A">
          <w:rPr>
            <w:rStyle w:val="Hyperlink"/>
          </w:rPr>
          <w:t>Young Workers Centre</w:t>
        </w:r>
      </w:hyperlink>
    </w:p>
    <w:p w14:paraId="28608637" w14:textId="409B486C" w:rsidR="00F51B93" w:rsidRDefault="00905484" w:rsidP="00F51B93">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0D86CB08" w14:textId="5AC6032A" w:rsidR="00360B1B" w:rsidRPr="0076697B" w:rsidRDefault="00360B1B" w:rsidP="00F01253">
      <w:pPr>
        <w:pStyle w:val="VCAAbody"/>
      </w:pPr>
      <w:r w:rsidRPr="00360B1B">
        <w:t>Know yourself – self-development</w:t>
      </w:r>
      <w:r>
        <w:rPr>
          <w:rFonts w:eastAsia="Times New Roman"/>
          <w:kern w:val="22"/>
          <w:lang w:eastAsia="ja-JP"/>
        </w:rPr>
        <w:t>:</w:t>
      </w:r>
    </w:p>
    <w:p w14:paraId="11035B00" w14:textId="328EEBFF" w:rsidR="0032343B" w:rsidRPr="00734BE6" w:rsidRDefault="0032343B" w:rsidP="0032343B">
      <w:pPr>
        <w:pStyle w:val="VCAAbullet"/>
      </w:pPr>
      <w:r>
        <w:t>As they learn more about current and past protest movements, y</w:t>
      </w:r>
      <w:r w:rsidR="00320FEC" w:rsidRPr="00734BE6">
        <w:t>oung people can explor</w:t>
      </w:r>
      <w:r>
        <w:t>e their own beliefs and interests, developing their self-awareness.</w:t>
      </w:r>
    </w:p>
    <w:p w14:paraId="66FA02DD" w14:textId="797457AB" w:rsidR="00F01253" w:rsidRPr="008A7860" w:rsidRDefault="00360B1B" w:rsidP="0076697B">
      <w:pPr>
        <w:pStyle w:val="VCAAbody"/>
        <w:rPr>
          <w:lang w:val="en-AU"/>
        </w:rPr>
      </w:pPr>
      <w:r w:rsidRPr="00360B1B">
        <w:rPr>
          <w:lang w:val="en-AU"/>
        </w:rPr>
        <w:t>Know your world – career exploration</w:t>
      </w:r>
      <w:r w:rsidR="00F01253" w:rsidRPr="008A7860">
        <w:rPr>
          <w:lang w:val="en-AU"/>
        </w:rPr>
        <w:t xml:space="preserve">: </w:t>
      </w:r>
    </w:p>
    <w:p w14:paraId="235EE798" w14:textId="3CA36A04" w:rsidR="00DB533D" w:rsidRPr="00734BE6" w:rsidRDefault="008A7860" w:rsidP="00A5332A">
      <w:pPr>
        <w:pStyle w:val="VCAAbullet"/>
      </w:pPr>
      <w:r w:rsidRPr="00734BE6">
        <w:t>Students gain a better appreciation of the work pathways</w:t>
      </w:r>
      <w:r w:rsidR="002917F1" w:rsidRPr="00734BE6">
        <w:t xml:space="preserve"> that might be</w:t>
      </w:r>
      <w:r w:rsidRPr="00734BE6">
        <w:t xml:space="preserve"> open to them by identifying the influence of bro</w:t>
      </w:r>
      <w:r w:rsidR="0020209C" w:rsidRPr="00734BE6">
        <w:t xml:space="preserve">ader social and economic </w:t>
      </w:r>
      <w:r w:rsidR="002917F1" w:rsidRPr="00734BE6">
        <w:t>social disruptions</w:t>
      </w:r>
      <w:r w:rsidR="0020209C" w:rsidRPr="00734BE6">
        <w:t>.</w:t>
      </w:r>
      <w:r w:rsidRPr="00734BE6">
        <w:t xml:space="preserve"> </w:t>
      </w:r>
    </w:p>
    <w:p w14:paraId="5E11C16D" w14:textId="7F542D29" w:rsidR="00F01253" w:rsidRPr="0076697B" w:rsidRDefault="00AF29D9" w:rsidP="00F01253">
      <w:pPr>
        <w:pStyle w:val="VCAAbody"/>
      </w:pPr>
      <w:r>
        <w:t>Manage your future – be proactive:</w:t>
      </w:r>
      <w:r w:rsidR="00F01253" w:rsidRPr="0076697B">
        <w:t xml:space="preserve"> </w:t>
      </w:r>
    </w:p>
    <w:p w14:paraId="7F460856" w14:textId="2C5D352F" w:rsidR="00DB533D" w:rsidRPr="00734BE6" w:rsidRDefault="008A7860" w:rsidP="00A5332A">
      <w:pPr>
        <w:pStyle w:val="VCAAbullet"/>
      </w:pPr>
      <w:r w:rsidRPr="00734BE6">
        <w:t>Identifying how the world has changed is importan</w:t>
      </w:r>
      <w:r w:rsidR="00FA4180" w:rsidRPr="00734BE6">
        <w:t xml:space="preserve">t for students when planning their career: past representations of work can lead to misconceptions about careers in the present. This knowledge can help them make </w:t>
      </w:r>
      <w:r w:rsidR="00FA4180" w:rsidRPr="0076697B">
        <w:rPr>
          <w:bCs/>
        </w:rPr>
        <w:t>informed decisions</w:t>
      </w:r>
      <w:r w:rsidR="00FA4180" w:rsidRPr="00A5332A">
        <w:rPr>
          <w:b/>
        </w:rPr>
        <w:t xml:space="preserve"> </w:t>
      </w:r>
      <w:r w:rsidR="00FA4180" w:rsidRPr="00734BE6">
        <w:t>about their future plans.</w:t>
      </w:r>
    </w:p>
    <w:p w14:paraId="5DD6FFBA" w14:textId="0AED46FB" w:rsidR="00F01253" w:rsidRPr="00734BE6" w:rsidRDefault="00FA4180" w:rsidP="00F01253">
      <w:pPr>
        <w:pStyle w:val="VCAAbullet"/>
      </w:pPr>
      <w:r w:rsidRPr="00734BE6">
        <w:t>Understanding these changes also helps students to understand the changing role that work may play within an individual’s broader life.</w:t>
      </w:r>
    </w:p>
    <w:sectPr w:rsidR="00F01253" w:rsidRPr="00734BE6"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7F8975" w16cid:durableId="231D847A"/>
  <w16cid:commentId w16cid:paraId="301B94AC" w16cid:durableId="231DD08A"/>
  <w16cid:commentId w16cid:paraId="7803936A" w16cid:durableId="231DD0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AB73F1" w:rsidRDefault="00AB73F1" w:rsidP="00304EA1">
      <w:pPr>
        <w:spacing w:after="0" w:line="240" w:lineRule="auto"/>
      </w:pPr>
      <w:r>
        <w:separator/>
      </w:r>
    </w:p>
  </w:endnote>
  <w:endnote w:type="continuationSeparator" w:id="0">
    <w:p w14:paraId="3270DF94" w14:textId="77777777" w:rsidR="00AB73F1" w:rsidRDefault="00AB73F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AB73F1" w:rsidRPr="00D06414" w14:paraId="6474FD3B" w14:textId="77777777" w:rsidTr="00BB3BAB">
      <w:trPr>
        <w:trHeight w:val="476"/>
      </w:trPr>
      <w:tc>
        <w:tcPr>
          <w:tcW w:w="1667" w:type="pct"/>
          <w:tcMar>
            <w:left w:w="0" w:type="dxa"/>
            <w:right w:w="0" w:type="dxa"/>
          </w:tcMar>
        </w:tcPr>
        <w:p w14:paraId="0EC15F2D" w14:textId="77777777" w:rsidR="00AB73F1" w:rsidRPr="00D06414" w:rsidRDefault="00AB73F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AB73F1" w:rsidRPr="00D06414" w:rsidRDefault="00AB73F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51EECC6" w:rsidR="00AB73F1" w:rsidRPr="00D06414" w:rsidRDefault="00AB73F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561A89">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AB73F1" w:rsidRPr="00D06414" w:rsidRDefault="00AB73F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AB73F1" w:rsidRPr="00D06414" w14:paraId="36A4ADC1" w14:textId="77777777" w:rsidTr="000F5AAF">
      <w:tc>
        <w:tcPr>
          <w:tcW w:w="1459" w:type="pct"/>
          <w:tcMar>
            <w:left w:w="0" w:type="dxa"/>
            <w:right w:w="0" w:type="dxa"/>
          </w:tcMar>
        </w:tcPr>
        <w:p w14:paraId="74DB1FC2" w14:textId="77777777" w:rsidR="00AB73F1" w:rsidRPr="00D06414" w:rsidRDefault="00AB73F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AB73F1" w:rsidRPr="00D06414" w:rsidRDefault="00AB73F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AB73F1" w:rsidRPr="00D06414" w:rsidRDefault="00AB73F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AB73F1" w:rsidRPr="00D06414" w:rsidRDefault="00AB73F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AB73F1" w:rsidRDefault="00AB73F1" w:rsidP="00304EA1">
      <w:pPr>
        <w:spacing w:after="0" w:line="240" w:lineRule="auto"/>
      </w:pPr>
      <w:r>
        <w:separator/>
      </w:r>
    </w:p>
  </w:footnote>
  <w:footnote w:type="continuationSeparator" w:id="0">
    <w:p w14:paraId="13540A36" w14:textId="77777777" w:rsidR="00AB73F1" w:rsidRDefault="00AB73F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76B9FA85" w:rsidR="00AB73F1" w:rsidRDefault="00AB73F1" w:rsidP="0038622E">
    <w:pPr>
      <w:pStyle w:val="VCAAbody"/>
    </w:pPr>
    <w:r>
      <w:t>Embedding career education in the Victorian Curriculum F–10 – Personal and Social Capability, Levels 9 and 10</w:t>
    </w:r>
  </w:p>
  <w:p w14:paraId="0F4EB06A" w14:textId="77777777" w:rsidR="00AB73F1" w:rsidRPr="0038622E" w:rsidRDefault="00AB73F1" w:rsidP="0038622E">
    <w:pPr>
      <w:pStyle w:val="VCAAbody"/>
      <w:rPr>
        <w:color w:val="0F7EB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AB73F1" w:rsidRPr="009370BC" w:rsidRDefault="00AB73F1"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2AA8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3A3B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209E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0859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2470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293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E07D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3246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E6C4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8860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A24CC2"/>
    <w:multiLevelType w:val="hybridMultilevel"/>
    <w:tmpl w:val="ED5A5762"/>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2872B6C"/>
    <w:multiLevelType w:val="hybridMultilevel"/>
    <w:tmpl w:val="DDC804D8"/>
    <w:lvl w:ilvl="0" w:tplc="525CF5E6">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2"/>
  </w:num>
  <w:num w:numId="2">
    <w:abstractNumId w:val="18"/>
  </w:num>
  <w:num w:numId="3">
    <w:abstractNumId w:val="16"/>
  </w:num>
  <w:num w:numId="4">
    <w:abstractNumId w:val="11"/>
  </w:num>
  <w:num w:numId="5">
    <w:abstractNumId w:val="21"/>
  </w:num>
  <w:num w:numId="6">
    <w:abstractNumId w:val="14"/>
  </w:num>
  <w:num w:numId="7">
    <w:abstractNumId w:val="12"/>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3"/>
  </w:num>
  <w:num w:numId="21">
    <w:abstractNumId w:val="19"/>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76B1"/>
    <w:rsid w:val="000114B0"/>
    <w:rsid w:val="00033048"/>
    <w:rsid w:val="00050D0D"/>
    <w:rsid w:val="000534CB"/>
    <w:rsid w:val="0005780E"/>
    <w:rsid w:val="00065CC6"/>
    <w:rsid w:val="00072AF1"/>
    <w:rsid w:val="00086CFC"/>
    <w:rsid w:val="00097F58"/>
    <w:rsid w:val="000A71F7"/>
    <w:rsid w:val="000B152F"/>
    <w:rsid w:val="000B2DD9"/>
    <w:rsid w:val="000D2A9F"/>
    <w:rsid w:val="000E28B8"/>
    <w:rsid w:val="000E3DA1"/>
    <w:rsid w:val="000F09E4"/>
    <w:rsid w:val="000F16FD"/>
    <w:rsid w:val="000F5AAF"/>
    <w:rsid w:val="0011697B"/>
    <w:rsid w:val="0012374D"/>
    <w:rsid w:val="00143520"/>
    <w:rsid w:val="001464B0"/>
    <w:rsid w:val="00147E0D"/>
    <w:rsid w:val="00153AD2"/>
    <w:rsid w:val="00156EF8"/>
    <w:rsid w:val="001662FA"/>
    <w:rsid w:val="001779EA"/>
    <w:rsid w:val="0019056A"/>
    <w:rsid w:val="001926FE"/>
    <w:rsid w:val="001A39A9"/>
    <w:rsid w:val="001B3BE5"/>
    <w:rsid w:val="001B5841"/>
    <w:rsid w:val="001D3246"/>
    <w:rsid w:val="001F5045"/>
    <w:rsid w:val="001F5D88"/>
    <w:rsid w:val="0020209C"/>
    <w:rsid w:val="002279BA"/>
    <w:rsid w:val="002329F3"/>
    <w:rsid w:val="00235922"/>
    <w:rsid w:val="00243F0D"/>
    <w:rsid w:val="00244302"/>
    <w:rsid w:val="00246A57"/>
    <w:rsid w:val="00254888"/>
    <w:rsid w:val="00255852"/>
    <w:rsid w:val="00260767"/>
    <w:rsid w:val="002647BB"/>
    <w:rsid w:val="002754C1"/>
    <w:rsid w:val="002841C8"/>
    <w:rsid w:val="002850D2"/>
    <w:rsid w:val="0028516B"/>
    <w:rsid w:val="002917F1"/>
    <w:rsid w:val="002B103A"/>
    <w:rsid w:val="002B6383"/>
    <w:rsid w:val="002C6F90"/>
    <w:rsid w:val="002E4FB5"/>
    <w:rsid w:val="00302FB8"/>
    <w:rsid w:val="00304EA1"/>
    <w:rsid w:val="00314D81"/>
    <w:rsid w:val="00320FEC"/>
    <w:rsid w:val="00322FC6"/>
    <w:rsid w:val="0032343B"/>
    <w:rsid w:val="003451DD"/>
    <w:rsid w:val="0035293F"/>
    <w:rsid w:val="00360B1B"/>
    <w:rsid w:val="003726F0"/>
    <w:rsid w:val="0038622E"/>
    <w:rsid w:val="00391986"/>
    <w:rsid w:val="00392864"/>
    <w:rsid w:val="003A00B4"/>
    <w:rsid w:val="003C394F"/>
    <w:rsid w:val="003C4AD7"/>
    <w:rsid w:val="003C5E71"/>
    <w:rsid w:val="003E256F"/>
    <w:rsid w:val="003F5844"/>
    <w:rsid w:val="00411D26"/>
    <w:rsid w:val="00413F3D"/>
    <w:rsid w:val="00417AA3"/>
    <w:rsid w:val="00420458"/>
    <w:rsid w:val="00421DB1"/>
    <w:rsid w:val="00425DFE"/>
    <w:rsid w:val="00425FD1"/>
    <w:rsid w:val="00434EDB"/>
    <w:rsid w:val="00435D92"/>
    <w:rsid w:val="00440B32"/>
    <w:rsid w:val="00457521"/>
    <w:rsid w:val="004606D2"/>
    <w:rsid w:val="0046078D"/>
    <w:rsid w:val="00475BD2"/>
    <w:rsid w:val="0048438A"/>
    <w:rsid w:val="00495592"/>
    <w:rsid w:val="00495C80"/>
    <w:rsid w:val="004A1885"/>
    <w:rsid w:val="004A2ED8"/>
    <w:rsid w:val="004C5717"/>
    <w:rsid w:val="004D70CD"/>
    <w:rsid w:val="004F5BDA"/>
    <w:rsid w:val="004F6DE0"/>
    <w:rsid w:val="0051631E"/>
    <w:rsid w:val="0052649B"/>
    <w:rsid w:val="00537A1F"/>
    <w:rsid w:val="005468A7"/>
    <w:rsid w:val="0055104C"/>
    <w:rsid w:val="00561A89"/>
    <w:rsid w:val="00563E1D"/>
    <w:rsid w:val="00564689"/>
    <w:rsid w:val="00566029"/>
    <w:rsid w:val="00567977"/>
    <w:rsid w:val="00567FD3"/>
    <w:rsid w:val="005923CB"/>
    <w:rsid w:val="0059366B"/>
    <w:rsid w:val="005A2442"/>
    <w:rsid w:val="005B391B"/>
    <w:rsid w:val="005B4535"/>
    <w:rsid w:val="005D3D78"/>
    <w:rsid w:val="005D7236"/>
    <w:rsid w:val="005E2EF0"/>
    <w:rsid w:val="005F4092"/>
    <w:rsid w:val="00610518"/>
    <w:rsid w:val="006169F0"/>
    <w:rsid w:val="00623A56"/>
    <w:rsid w:val="00644C2D"/>
    <w:rsid w:val="00667D41"/>
    <w:rsid w:val="0068471E"/>
    <w:rsid w:val="00684F98"/>
    <w:rsid w:val="006938AB"/>
    <w:rsid w:val="00693FFD"/>
    <w:rsid w:val="006B7B53"/>
    <w:rsid w:val="006C0972"/>
    <w:rsid w:val="006C583F"/>
    <w:rsid w:val="006D2159"/>
    <w:rsid w:val="006E3151"/>
    <w:rsid w:val="006F1684"/>
    <w:rsid w:val="006F2449"/>
    <w:rsid w:val="006F58F8"/>
    <w:rsid w:val="006F787C"/>
    <w:rsid w:val="00702636"/>
    <w:rsid w:val="0070445A"/>
    <w:rsid w:val="0072284A"/>
    <w:rsid w:val="00724507"/>
    <w:rsid w:val="00732943"/>
    <w:rsid w:val="00734BE6"/>
    <w:rsid w:val="0073694B"/>
    <w:rsid w:val="007421B7"/>
    <w:rsid w:val="00756689"/>
    <w:rsid w:val="007623B9"/>
    <w:rsid w:val="0076697B"/>
    <w:rsid w:val="00772D84"/>
    <w:rsid w:val="00773E6C"/>
    <w:rsid w:val="00781FB1"/>
    <w:rsid w:val="007A0E4B"/>
    <w:rsid w:val="007B3BC8"/>
    <w:rsid w:val="007B5197"/>
    <w:rsid w:val="007C47A8"/>
    <w:rsid w:val="007D1B6D"/>
    <w:rsid w:val="007D6335"/>
    <w:rsid w:val="007E1D11"/>
    <w:rsid w:val="007E7D1F"/>
    <w:rsid w:val="00807D46"/>
    <w:rsid w:val="00813C37"/>
    <w:rsid w:val="008154B5"/>
    <w:rsid w:val="00823962"/>
    <w:rsid w:val="00832FAB"/>
    <w:rsid w:val="008418FA"/>
    <w:rsid w:val="00852719"/>
    <w:rsid w:val="00860115"/>
    <w:rsid w:val="00862F22"/>
    <w:rsid w:val="00867F61"/>
    <w:rsid w:val="008837D9"/>
    <w:rsid w:val="0088783C"/>
    <w:rsid w:val="008A7860"/>
    <w:rsid w:val="008B1278"/>
    <w:rsid w:val="008B4B3B"/>
    <w:rsid w:val="008C0A84"/>
    <w:rsid w:val="008D0ABF"/>
    <w:rsid w:val="008D57CA"/>
    <w:rsid w:val="008F090A"/>
    <w:rsid w:val="008F4CFE"/>
    <w:rsid w:val="00905484"/>
    <w:rsid w:val="0091501A"/>
    <w:rsid w:val="00923F03"/>
    <w:rsid w:val="009370BC"/>
    <w:rsid w:val="00944DA8"/>
    <w:rsid w:val="00957333"/>
    <w:rsid w:val="009607D4"/>
    <w:rsid w:val="009651AF"/>
    <w:rsid w:val="00970580"/>
    <w:rsid w:val="00986B17"/>
    <w:rsid w:val="0098739B"/>
    <w:rsid w:val="009B5086"/>
    <w:rsid w:val="009B61E5"/>
    <w:rsid w:val="009D1E89"/>
    <w:rsid w:val="009E15CD"/>
    <w:rsid w:val="009E55CB"/>
    <w:rsid w:val="009E5707"/>
    <w:rsid w:val="00A13223"/>
    <w:rsid w:val="00A17661"/>
    <w:rsid w:val="00A24A99"/>
    <w:rsid w:val="00A24B2D"/>
    <w:rsid w:val="00A27DCD"/>
    <w:rsid w:val="00A40966"/>
    <w:rsid w:val="00A42685"/>
    <w:rsid w:val="00A50E81"/>
    <w:rsid w:val="00A5332A"/>
    <w:rsid w:val="00A73855"/>
    <w:rsid w:val="00A83F67"/>
    <w:rsid w:val="00A921E0"/>
    <w:rsid w:val="00A922F4"/>
    <w:rsid w:val="00AA4F02"/>
    <w:rsid w:val="00AB73F1"/>
    <w:rsid w:val="00AD59D5"/>
    <w:rsid w:val="00AE5526"/>
    <w:rsid w:val="00AF051B"/>
    <w:rsid w:val="00AF29D9"/>
    <w:rsid w:val="00AF6F6A"/>
    <w:rsid w:val="00B01578"/>
    <w:rsid w:val="00B02910"/>
    <w:rsid w:val="00B0738F"/>
    <w:rsid w:val="00B11329"/>
    <w:rsid w:val="00B13D3B"/>
    <w:rsid w:val="00B230DB"/>
    <w:rsid w:val="00B26601"/>
    <w:rsid w:val="00B30E01"/>
    <w:rsid w:val="00B34E1E"/>
    <w:rsid w:val="00B41951"/>
    <w:rsid w:val="00B42C9F"/>
    <w:rsid w:val="00B512A4"/>
    <w:rsid w:val="00B51FA6"/>
    <w:rsid w:val="00B53229"/>
    <w:rsid w:val="00B62480"/>
    <w:rsid w:val="00B74D78"/>
    <w:rsid w:val="00B75B9C"/>
    <w:rsid w:val="00B81B70"/>
    <w:rsid w:val="00B87C2C"/>
    <w:rsid w:val="00B93C8C"/>
    <w:rsid w:val="00BA1BFB"/>
    <w:rsid w:val="00BB3BAB"/>
    <w:rsid w:val="00BB6632"/>
    <w:rsid w:val="00BC3D67"/>
    <w:rsid w:val="00BC4BA8"/>
    <w:rsid w:val="00BD0724"/>
    <w:rsid w:val="00BD2B91"/>
    <w:rsid w:val="00BE5521"/>
    <w:rsid w:val="00BF6C23"/>
    <w:rsid w:val="00BF7C76"/>
    <w:rsid w:val="00C2005D"/>
    <w:rsid w:val="00C53263"/>
    <w:rsid w:val="00C53F8A"/>
    <w:rsid w:val="00C6415E"/>
    <w:rsid w:val="00C71336"/>
    <w:rsid w:val="00C75549"/>
    <w:rsid w:val="00C75F1D"/>
    <w:rsid w:val="00C81CEC"/>
    <w:rsid w:val="00C95156"/>
    <w:rsid w:val="00CA0DC2"/>
    <w:rsid w:val="00CB68E8"/>
    <w:rsid w:val="00CB74C6"/>
    <w:rsid w:val="00CC6830"/>
    <w:rsid w:val="00CC7388"/>
    <w:rsid w:val="00CD1837"/>
    <w:rsid w:val="00CD3D23"/>
    <w:rsid w:val="00CD5155"/>
    <w:rsid w:val="00CD73E3"/>
    <w:rsid w:val="00D04E7C"/>
    <w:rsid w:val="00D04F01"/>
    <w:rsid w:val="00D055A2"/>
    <w:rsid w:val="00D06414"/>
    <w:rsid w:val="00D06E6C"/>
    <w:rsid w:val="00D24E5A"/>
    <w:rsid w:val="00D338E4"/>
    <w:rsid w:val="00D35D07"/>
    <w:rsid w:val="00D36FA7"/>
    <w:rsid w:val="00D4304F"/>
    <w:rsid w:val="00D51947"/>
    <w:rsid w:val="00D532F0"/>
    <w:rsid w:val="00D77413"/>
    <w:rsid w:val="00D82759"/>
    <w:rsid w:val="00D86DE4"/>
    <w:rsid w:val="00DA137F"/>
    <w:rsid w:val="00DB12B0"/>
    <w:rsid w:val="00DB533D"/>
    <w:rsid w:val="00DC4E9B"/>
    <w:rsid w:val="00DD07B5"/>
    <w:rsid w:val="00DD6FD3"/>
    <w:rsid w:val="00DE1909"/>
    <w:rsid w:val="00DE51DB"/>
    <w:rsid w:val="00DE65E7"/>
    <w:rsid w:val="00DF2228"/>
    <w:rsid w:val="00E009FC"/>
    <w:rsid w:val="00E124B7"/>
    <w:rsid w:val="00E23F1D"/>
    <w:rsid w:val="00E243ED"/>
    <w:rsid w:val="00E30E05"/>
    <w:rsid w:val="00E36361"/>
    <w:rsid w:val="00E420B6"/>
    <w:rsid w:val="00E55AE9"/>
    <w:rsid w:val="00E56D1D"/>
    <w:rsid w:val="00E9592C"/>
    <w:rsid w:val="00EA2830"/>
    <w:rsid w:val="00EB0C84"/>
    <w:rsid w:val="00EB1888"/>
    <w:rsid w:val="00EB3334"/>
    <w:rsid w:val="00ED78BC"/>
    <w:rsid w:val="00EF1E25"/>
    <w:rsid w:val="00F01253"/>
    <w:rsid w:val="00F059DE"/>
    <w:rsid w:val="00F130B7"/>
    <w:rsid w:val="00F16098"/>
    <w:rsid w:val="00F17FDE"/>
    <w:rsid w:val="00F40D53"/>
    <w:rsid w:val="00F41863"/>
    <w:rsid w:val="00F4525C"/>
    <w:rsid w:val="00F476EB"/>
    <w:rsid w:val="00F50D86"/>
    <w:rsid w:val="00F51B93"/>
    <w:rsid w:val="00F5778B"/>
    <w:rsid w:val="00F57CB5"/>
    <w:rsid w:val="00F6610F"/>
    <w:rsid w:val="00F679CE"/>
    <w:rsid w:val="00FA4180"/>
    <w:rsid w:val="00FB23F1"/>
    <w:rsid w:val="00FC26E1"/>
    <w:rsid w:val="00FD29D3"/>
    <w:rsid w:val="00FE169B"/>
    <w:rsid w:val="00FE2873"/>
    <w:rsid w:val="00FE39F3"/>
    <w:rsid w:val="00FE3F0B"/>
    <w:rsid w:val="00FF47DF"/>
    <w:rsid w:val="00FF62B2"/>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15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734BE6"/>
    <w:pPr>
      <w:numPr>
        <w:numId w:val="1"/>
      </w:numPr>
      <w:tabs>
        <w:tab w:val="left" w:pos="425"/>
      </w:tabs>
      <w:spacing w:before="60" w:after="60"/>
      <w:ind w:left="425" w:hanging="425"/>
      <w:contextualSpacing/>
    </w:pPr>
    <w:rPr>
      <w:rFonts w:eastAsia="Times New Roman"/>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FE169B"/>
    <w:rPr>
      <w:color w:val="8DB3E2" w:themeColor="followedHyperlink"/>
      <w:u w:val="single"/>
    </w:rPr>
  </w:style>
  <w:style w:type="character" w:customStyle="1" w:styleId="UnresolvedMention1">
    <w:name w:val="Unresolved Mention1"/>
    <w:basedOn w:val="DefaultParagraphFont"/>
    <w:uiPriority w:val="99"/>
    <w:semiHidden/>
    <w:unhideWhenUsed/>
    <w:rsid w:val="00732943"/>
    <w:rPr>
      <w:color w:val="605E5C"/>
      <w:shd w:val="clear" w:color="auto" w:fill="E1DFDD"/>
    </w:rPr>
  </w:style>
  <w:style w:type="character" w:customStyle="1" w:styleId="UnresolvedMention">
    <w:name w:val="Unresolved Mention"/>
    <w:basedOn w:val="DefaultParagraphFont"/>
    <w:uiPriority w:val="99"/>
    <w:semiHidden/>
    <w:unhideWhenUsed/>
    <w:rsid w:val="00915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44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c.net.au/news/2018-06-07/full-time-job-rate-hits-new-low-as-casual-work-takes-over-report/9840064"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bs.gov.au/ausstats/abs@.nsf/Latestproducts/6227.0Main%20Features1May%20201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PSCSO048"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ngworkers.org.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28132-58CD-457A-9541-59FD96AC8C35}"/>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9F2CB12-27F8-417C-9564-6D9F0D8D0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personal and social capability</cp:keywords>
  <cp:lastModifiedBy>Witt, Kylie I</cp:lastModifiedBy>
  <cp:revision>6</cp:revision>
  <cp:lastPrinted>2020-03-04T04:43:00Z</cp:lastPrinted>
  <dcterms:created xsi:type="dcterms:W3CDTF">2020-09-29T05:00:00Z</dcterms:created>
  <dcterms:modified xsi:type="dcterms:W3CDTF">2020-09-30T05:46:00Z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