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CE9BB93"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0DBD4C3F" w:rsidR="004F6DE0" w:rsidRPr="008C0A84" w:rsidRDefault="000739D4" w:rsidP="004F6DE0">
      <w:pPr>
        <w:pStyle w:val="VCAAHeading2"/>
        <w:rPr>
          <w:lang w:val="en-AU"/>
        </w:rPr>
      </w:pPr>
      <w:bookmarkStart w:id="0" w:name="TemplateOverview"/>
      <w:bookmarkEnd w:id="0"/>
      <w:r>
        <w:rPr>
          <w:lang w:val="en-AU"/>
        </w:rPr>
        <w:t>Visual Art</w:t>
      </w:r>
      <w:r w:rsidR="0036514D">
        <w:rPr>
          <w:lang w:val="en-AU"/>
        </w:rPr>
        <w:t xml:space="preserve">/Visual Communication Design, </w:t>
      </w:r>
      <w:r>
        <w:rPr>
          <w:lang w:val="en-AU"/>
        </w:rPr>
        <w:t>Levels 7 and 8</w:t>
      </w:r>
    </w:p>
    <w:p w14:paraId="2E354ED1" w14:textId="1DCDB90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468AB4D" w:rsidR="008B1278" w:rsidRPr="00CC2756" w:rsidRDefault="008B1278" w:rsidP="003E3A28">
      <w:pPr>
        <w:pStyle w:val="VCAAbody-withlargetabandhangingindent"/>
      </w:pPr>
      <w:r w:rsidRPr="003E3A28">
        <w:rPr>
          <w:b/>
          <w:bCs/>
        </w:rPr>
        <w:t>Curriculum area and levels:</w:t>
      </w:r>
      <w:r w:rsidRPr="00CC2756">
        <w:tab/>
      </w:r>
      <w:r w:rsidR="000739D4" w:rsidRPr="00CC2756">
        <w:t>Visual Art</w:t>
      </w:r>
      <w:r w:rsidR="00CC2756" w:rsidRPr="00CC2756">
        <w:t>/</w:t>
      </w:r>
      <w:r w:rsidR="00294708" w:rsidRPr="00CC2756">
        <w:t>Visual Communication Design</w:t>
      </w:r>
      <w:r w:rsidR="00CC2756" w:rsidRPr="00CC2756">
        <w:t>,</w:t>
      </w:r>
      <w:r w:rsidR="000739D4" w:rsidRPr="00CC2756">
        <w:t xml:space="preserve"> Levels 7 and 8</w:t>
      </w:r>
    </w:p>
    <w:p w14:paraId="787E0D9E" w14:textId="67451EB5" w:rsidR="006173AB" w:rsidRPr="00CC2756" w:rsidRDefault="00254888">
      <w:pPr>
        <w:pStyle w:val="VCAAbody-withlargetabandhangingindent"/>
        <w:rPr>
          <w:rStyle w:val="Hyperlink"/>
          <w:color w:val="000000" w:themeColor="text1"/>
          <w:u w:val="none"/>
        </w:rPr>
      </w:pPr>
      <w:r w:rsidRPr="003E3A28">
        <w:rPr>
          <w:b/>
          <w:bCs/>
        </w:rPr>
        <w:t>Relevant c</w:t>
      </w:r>
      <w:r w:rsidR="008B1278" w:rsidRPr="003E3A28">
        <w:rPr>
          <w:b/>
          <w:bCs/>
        </w:rPr>
        <w:t>ontent description:</w:t>
      </w:r>
      <w:r w:rsidR="008B1278" w:rsidRPr="00CC2756">
        <w:tab/>
      </w:r>
      <w:r w:rsidR="006173AB" w:rsidRPr="00CC2756">
        <w:t xml:space="preserve">Create and display artworks, describing how ideas are expressed to an </w:t>
      </w:r>
      <w:r w:rsidR="00CC2756" w:rsidRPr="00CC2756">
        <w:t xml:space="preserve">audience </w:t>
      </w:r>
      <w:hyperlink r:id="rId11" w:history="1">
        <w:r w:rsidR="00076E68">
          <w:rPr>
            <w:rStyle w:val="Hyperlink"/>
          </w:rPr>
          <w:t>(VC</w:t>
        </w:r>
        <w:r w:rsidR="00CC2756" w:rsidRPr="003E3A28">
          <w:rPr>
            <w:rStyle w:val="Hyperlink"/>
          </w:rPr>
          <w:t>CAVAP03</w:t>
        </w:r>
        <w:r w:rsidR="00076E68">
          <w:rPr>
            <w:rStyle w:val="Hyperlink"/>
          </w:rPr>
          <w:t>7)</w:t>
        </w:r>
      </w:hyperlink>
    </w:p>
    <w:p w14:paraId="5E4B1F7A" w14:textId="1A9628FA" w:rsidR="00544224" w:rsidRPr="00CC2756" w:rsidRDefault="006173AB">
      <w:pPr>
        <w:pStyle w:val="VCAAbody-withlargetabandhangingindent"/>
        <w:rPr>
          <w:rStyle w:val="Hyperlink"/>
          <w:color w:val="000000" w:themeColor="text1"/>
          <w:u w:val="none"/>
        </w:rPr>
      </w:pPr>
      <w:r w:rsidRPr="003E3A28">
        <w:tab/>
      </w:r>
      <w:r w:rsidR="00E17495" w:rsidRPr="00CC2756">
        <w:t xml:space="preserve">Develop and present visual communications for different purposes, audiences and in response to specific needs </w:t>
      </w:r>
      <w:hyperlink r:id="rId12" w:history="1">
        <w:r w:rsidR="00076E68">
          <w:rPr>
            <w:rStyle w:val="Hyperlink"/>
          </w:rPr>
          <w:t>(V</w:t>
        </w:r>
        <w:r w:rsidR="00CC2756" w:rsidRPr="003E3A28">
          <w:rPr>
            <w:rStyle w:val="Hyperlink"/>
          </w:rPr>
          <w:t>CAVCDP00</w:t>
        </w:r>
        <w:r w:rsidR="00076E68">
          <w:rPr>
            <w:rStyle w:val="Hyperlink"/>
          </w:rPr>
          <w:t>3)</w:t>
        </w:r>
      </w:hyperlink>
    </w:p>
    <w:p w14:paraId="36A2C730" w14:textId="2793956C" w:rsidR="007E7D1F" w:rsidRPr="00CC2756" w:rsidRDefault="00B51FA6">
      <w:pPr>
        <w:pStyle w:val="VCAAbody-withlargetabandhangingindent"/>
      </w:pPr>
      <w:r w:rsidRPr="003E3A28">
        <w:rPr>
          <w:b/>
          <w:bCs/>
        </w:rPr>
        <w:t>Existing a</w:t>
      </w:r>
      <w:r w:rsidR="00254888" w:rsidRPr="003E3A28">
        <w:rPr>
          <w:b/>
          <w:bCs/>
        </w:rPr>
        <w:t>ctivity</w:t>
      </w:r>
      <w:r w:rsidR="00097F58" w:rsidRPr="003E3A28">
        <w:rPr>
          <w:b/>
          <w:bCs/>
        </w:rPr>
        <w:t>:</w:t>
      </w:r>
      <w:r w:rsidR="00254888" w:rsidRPr="00CC2756">
        <w:tab/>
      </w:r>
      <w:r w:rsidR="00E510B0">
        <w:t>P</w:t>
      </w:r>
      <w:r w:rsidR="00E17495" w:rsidRPr="00CC2756">
        <w:t>lan</w:t>
      </w:r>
      <w:r w:rsidR="00E510B0">
        <w:t>ning</w:t>
      </w:r>
      <w:r w:rsidR="00E17495" w:rsidRPr="00CC2756">
        <w:t xml:space="preserve"> the presentation or exhibition of artwork</w:t>
      </w:r>
      <w:r w:rsidR="00076E68">
        <w:t>s</w:t>
      </w:r>
      <w:r w:rsidR="00E17495" w:rsidRPr="00CC2756">
        <w:t xml:space="preserve"> or final presentations. </w:t>
      </w:r>
    </w:p>
    <w:p w14:paraId="65DFB73F" w14:textId="46145921" w:rsidR="00254888" w:rsidRPr="003E3A28" w:rsidRDefault="00421DB1" w:rsidP="003E3A28">
      <w:pPr>
        <w:pStyle w:val="VCAAbody-withlargetabandhangingindent"/>
      </w:pPr>
      <w:r w:rsidRPr="003E3A28">
        <w:rPr>
          <w:b/>
          <w:bCs/>
        </w:rPr>
        <w:t>Summary of adaptation, change, addition:</w:t>
      </w:r>
      <w:r w:rsidR="0075783C" w:rsidRPr="003E3A28">
        <w:tab/>
      </w:r>
      <w:r w:rsidR="00E510B0">
        <w:t>R</w:t>
      </w:r>
      <w:r w:rsidR="006C6325" w:rsidRPr="003E3A28">
        <w:t>esearch</w:t>
      </w:r>
      <w:r w:rsidR="00E510B0">
        <w:t>ing</w:t>
      </w:r>
      <w:r w:rsidR="006C6325" w:rsidRPr="003E3A28">
        <w:t xml:space="preserve"> existing exhibitions and presentations of artworks</w:t>
      </w:r>
      <w:r w:rsidR="00731123" w:rsidRPr="003E3A28">
        <w:t xml:space="preserve">, </w:t>
      </w:r>
      <w:r w:rsidR="00E510B0">
        <w:t xml:space="preserve">and </w:t>
      </w:r>
      <w:r w:rsidR="00731123" w:rsidRPr="003E3A28">
        <w:t xml:space="preserve">exploring the various roles involved in successfully mounting an exhibition. </w:t>
      </w:r>
    </w:p>
    <w:p w14:paraId="4ACF798A" w14:textId="1E2FB440" w:rsidR="0075783C" w:rsidRDefault="00976133" w:rsidP="00076E68">
      <w:pPr>
        <w:pStyle w:val="VCAAHeading3"/>
        <w:spacing w:after="240"/>
        <w:rPr>
          <w:lang w:val="en-AU"/>
        </w:rPr>
      </w:pPr>
      <w:r w:rsidRPr="00E153D3">
        <w:rPr>
          <w:lang w:val="en-AU"/>
        </w:rPr>
        <w:t>2. Adapt the learning activity to include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681"/>
        <w:gridCol w:w="6208"/>
      </w:tblGrid>
      <w:tr w:rsidR="000F291B" w:rsidRPr="008C0A84" w14:paraId="47FFE019" w14:textId="77777777" w:rsidTr="00360950">
        <w:trPr>
          <w:cnfStyle w:val="100000000000" w:firstRow="1" w:lastRow="0" w:firstColumn="0" w:lastColumn="0" w:oddVBand="0" w:evenVBand="0" w:oddHBand="0" w:evenHBand="0" w:firstRowFirstColumn="0" w:firstRowLastColumn="0" w:lastRowFirstColumn="0" w:lastRowLastColumn="0"/>
        </w:trPr>
        <w:tc>
          <w:tcPr>
            <w:tcW w:w="3681" w:type="dxa"/>
            <w:tcBorders>
              <w:bottom w:val="single" w:sz="4" w:space="0" w:color="auto"/>
              <w:right w:val="none" w:sz="0" w:space="0" w:color="auto"/>
            </w:tcBorders>
          </w:tcPr>
          <w:p w14:paraId="3D273835" w14:textId="15727C89" w:rsidR="000F291B" w:rsidRPr="008C0A84" w:rsidRDefault="000F291B" w:rsidP="000F291B">
            <w:pPr>
              <w:pStyle w:val="VCAAtablecondensedheading"/>
              <w:rPr>
                <w:lang w:val="en-AU"/>
              </w:rPr>
            </w:pPr>
            <w:r w:rsidRPr="008C0A84">
              <w:rPr>
                <w:lang w:val="en-AU"/>
              </w:rPr>
              <w:t>Existing learning activity</w:t>
            </w:r>
          </w:p>
        </w:tc>
        <w:tc>
          <w:tcPr>
            <w:tcW w:w="6208" w:type="dxa"/>
            <w:tcBorders>
              <w:left w:val="none" w:sz="0" w:space="0" w:color="auto"/>
              <w:bottom w:val="single" w:sz="4" w:space="0" w:color="auto"/>
            </w:tcBorders>
          </w:tcPr>
          <w:p w14:paraId="24A423D8" w14:textId="65D04674" w:rsidR="000F291B" w:rsidRPr="008C0A84" w:rsidRDefault="000F291B" w:rsidP="000F291B">
            <w:pPr>
              <w:pStyle w:val="VCAAtablecondensedheading"/>
              <w:rPr>
                <w:lang w:val="en-AU"/>
              </w:rPr>
            </w:pPr>
            <w:r>
              <w:rPr>
                <w:lang w:val="en-AU"/>
              </w:rPr>
              <w:t>Adaptations, changes or extensions that can be made</w:t>
            </w:r>
          </w:p>
        </w:tc>
      </w:tr>
      <w:tr w:rsidR="000F291B" w:rsidRPr="008C0A84" w14:paraId="560CBCE7" w14:textId="77777777" w:rsidTr="00360950">
        <w:tc>
          <w:tcPr>
            <w:tcW w:w="3681" w:type="dxa"/>
          </w:tcPr>
          <w:p w14:paraId="606F9D8A" w14:textId="77777777" w:rsidR="006E3CD1" w:rsidRDefault="006E3CD1" w:rsidP="000F291B">
            <w:pPr>
              <w:pStyle w:val="VCAAtablecondensed"/>
              <w:rPr>
                <w:lang w:val="en-AU"/>
              </w:rPr>
            </w:pPr>
            <w:r>
              <w:rPr>
                <w:lang w:val="en-AU"/>
              </w:rPr>
              <w:t xml:space="preserve">Students research the presentation of exhibitions either in the art or design industry. They discuss the purpose of exhibitions and the people involved in the planning and construction of an exhibition. </w:t>
            </w:r>
          </w:p>
          <w:p w14:paraId="0B6D57C4" w14:textId="46C8124F" w:rsidR="00731123" w:rsidRPr="008C0A84" w:rsidRDefault="00E17495" w:rsidP="00360950">
            <w:pPr>
              <w:pStyle w:val="VCAAtablecondensed"/>
              <w:rPr>
                <w:lang w:val="en-AU"/>
              </w:rPr>
            </w:pPr>
            <w:r>
              <w:rPr>
                <w:lang w:val="en-AU"/>
              </w:rPr>
              <w:t>Students plan and present an exhibition of their work. They consider the</w:t>
            </w:r>
            <w:r w:rsidR="006C6325">
              <w:rPr>
                <w:lang w:val="en-AU"/>
              </w:rPr>
              <w:t xml:space="preserve"> physical context of the exhibition and the information they will provide about </w:t>
            </w:r>
            <w:r w:rsidR="006E3CD1">
              <w:rPr>
                <w:lang w:val="en-AU"/>
              </w:rPr>
              <w:t>each</w:t>
            </w:r>
            <w:r w:rsidR="006C6325">
              <w:rPr>
                <w:lang w:val="en-AU"/>
              </w:rPr>
              <w:t xml:space="preserve"> </w:t>
            </w:r>
            <w:r w:rsidR="006E3CD1">
              <w:rPr>
                <w:lang w:val="en-AU"/>
              </w:rPr>
              <w:t>art</w:t>
            </w:r>
            <w:r w:rsidR="006C6325">
              <w:rPr>
                <w:lang w:val="en-AU"/>
              </w:rPr>
              <w:t>work.</w:t>
            </w:r>
            <w:r w:rsidR="00360950">
              <w:rPr>
                <w:lang w:val="en-AU"/>
              </w:rPr>
              <w:t xml:space="preserve"> </w:t>
            </w:r>
            <w:r w:rsidR="006C6325">
              <w:rPr>
                <w:lang w:val="en-AU"/>
              </w:rPr>
              <w:t>The exhibition may be a physical exhibition in the school or community or an online exhibition.</w:t>
            </w:r>
          </w:p>
        </w:tc>
        <w:tc>
          <w:tcPr>
            <w:tcW w:w="6208" w:type="dxa"/>
          </w:tcPr>
          <w:p w14:paraId="7B868CC7" w14:textId="10D3BFA3" w:rsidR="00731123" w:rsidRDefault="00731123" w:rsidP="000F291B">
            <w:pPr>
              <w:pStyle w:val="VCAAtablecondensed"/>
              <w:rPr>
                <w:lang w:val="en-AU"/>
              </w:rPr>
            </w:pPr>
            <w:r>
              <w:rPr>
                <w:lang w:val="en-AU"/>
              </w:rPr>
              <w:t>Students visit a selection of exhibitions, either physically or virtually. Teacher guides a reflection on the various aspects of a sample exhibition to draw attention to all the issues that need to be addressed when planning an effective display, which may or may not also include an event such as an opening or launch.</w:t>
            </w:r>
          </w:p>
          <w:p w14:paraId="266B965A" w14:textId="31B58D17" w:rsidR="007C51F3" w:rsidRDefault="00615720" w:rsidP="000F291B">
            <w:pPr>
              <w:pStyle w:val="VCAAtablecondensed"/>
              <w:rPr>
                <w:lang w:val="en-AU"/>
              </w:rPr>
            </w:pPr>
            <w:r>
              <w:rPr>
                <w:lang w:val="en-AU"/>
              </w:rPr>
              <w:t>S</w:t>
            </w:r>
            <w:r w:rsidR="007C51F3">
              <w:rPr>
                <w:lang w:val="en-AU"/>
              </w:rPr>
              <w:t>tudents can also discuss the jobs of people working in galleries</w:t>
            </w:r>
            <w:r w:rsidR="00730D94">
              <w:rPr>
                <w:lang w:val="en-AU"/>
              </w:rPr>
              <w:t>,</w:t>
            </w:r>
            <w:r w:rsidR="007C51F3">
              <w:rPr>
                <w:lang w:val="en-AU"/>
              </w:rPr>
              <w:t xml:space="preserve"> such as the curator, exhibition designer, marketing</w:t>
            </w:r>
            <w:r>
              <w:rPr>
                <w:lang w:val="en-AU"/>
              </w:rPr>
              <w:t xml:space="preserve"> team</w:t>
            </w:r>
            <w:r w:rsidR="007C51F3">
              <w:rPr>
                <w:lang w:val="en-AU"/>
              </w:rPr>
              <w:t xml:space="preserve"> and public programs</w:t>
            </w:r>
            <w:r w:rsidR="00730D94">
              <w:rPr>
                <w:lang w:val="en-AU"/>
              </w:rPr>
              <w:t xml:space="preserve"> manager</w:t>
            </w:r>
            <w:r>
              <w:rPr>
                <w:lang w:val="en-AU"/>
              </w:rPr>
              <w:t>, and what these roles entail.</w:t>
            </w:r>
          </w:p>
          <w:p w14:paraId="281499ED" w14:textId="7E224CF1" w:rsidR="00731123" w:rsidRDefault="00731123" w:rsidP="000F291B">
            <w:pPr>
              <w:pStyle w:val="VCAAtablecondensed"/>
              <w:rPr>
                <w:lang w:val="en-AU"/>
              </w:rPr>
            </w:pPr>
            <w:r>
              <w:rPr>
                <w:lang w:val="en-AU"/>
              </w:rPr>
              <w:t>Teacher support</w:t>
            </w:r>
            <w:r w:rsidR="006252CE">
              <w:rPr>
                <w:lang w:val="en-AU"/>
              </w:rPr>
              <w:t>s</w:t>
            </w:r>
            <w:r>
              <w:rPr>
                <w:lang w:val="en-AU"/>
              </w:rPr>
              <w:t xml:space="preserve"> students to record their findings so they can add insight to </w:t>
            </w:r>
            <w:r w:rsidR="006252CE">
              <w:rPr>
                <w:lang w:val="en-AU"/>
              </w:rPr>
              <w:t xml:space="preserve">the </w:t>
            </w:r>
            <w:r>
              <w:rPr>
                <w:lang w:val="en-AU"/>
              </w:rPr>
              <w:t xml:space="preserve">list of </w:t>
            </w:r>
            <w:r w:rsidR="006252CE">
              <w:rPr>
                <w:lang w:val="en-AU"/>
              </w:rPr>
              <w:t xml:space="preserve">tasks </w:t>
            </w:r>
            <w:r>
              <w:rPr>
                <w:lang w:val="en-AU"/>
              </w:rPr>
              <w:t>that need to happen during the planning and preparation phase</w:t>
            </w:r>
            <w:r w:rsidR="006252CE">
              <w:rPr>
                <w:lang w:val="en-AU"/>
              </w:rPr>
              <w:t>. S</w:t>
            </w:r>
            <w:r>
              <w:rPr>
                <w:lang w:val="en-AU"/>
              </w:rPr>
              <w:t xml:space="preserve">tudents </w:t>
            </w:r>
            <w:r w:rsidR="006252CE">
              <w:rPr>
                <w:lang w:val="en-AU"/>
              </w:rPr>
              <w:t xml:space="preserve">should </w:t>
            </w:r>
            <w:r>
              <w:rPr>
                <w:lang w:val="en-AU"/>
              </w:rPr>
              <w:t xml:space="preserve">add information on </w:t>
            </w:r>
            <w:r w:rsidR="006252CE">
              <w:rPr>
                <w:lang w:val="en-AU"/>
              </w:rPr>
              <w:t xml:space="preserve">who </w:t>
            </w:r>
            <w:r>
              <w:rPr>
                <w:lang w:val="en-AU"/>
              </w:rPr>
              <w:t xml:space="preserve">would be involved in each of these </w:t>
            </w:r>
            <w:r w:rsidR="006252CE">
              <w:rPr>
                <w:lang w:val="en-AU"/>
              </w:rPr>
              <w:t>tasks</w:t>
            </w:r>
            <w:r>
              <w:rPr>
                <w:lang w:val="en-AU"/>
              </w:rPr>
              <w:t>.</w:t>
            </w:r>
          </w:p>
          <w:p w14:paraId="7CCCC0C8" w14:textId="50648B80" w:rsidR="000F291B" w:rsidRPr="00B74D78" w:rsidRDefault="006252CE" w:rsidP="00360950">
            <w:pPr>
              <w:pStyle w:val="VCAAtablecondensed"/>
              <w:rPr>
                <w:lang w:val="en-AU"/>
              </w:rPr>
            </w:pPr>
            <w:r>
              <w:rPr>
                <w:lang w:val="en-AU"/>
              </w:rPr>
              <w:t>T</w:t>
            </w:r>
            <w:r w:rsidR="009E707D">
              <w:rPr>
                <w:lang w:val="en-AU"/>
              </w:rPr>
              <w:t>eacher</w:t>
            </w:r>
            <w:r w:rsidR="00731123">
              <w:rPr>
                <w:lang w:val="en-AU"/>
              </w:rPr>
              <w:t xml:space="preserve"> leads an exploration that</w:t>
            </w:r>
            <w:r w:rsidR="009E707D">
              <w:rPr>
                <w:lang w:val="en-AU"/>
              </w:rPr>
              <w:t xml:space="preserve"> </w:t>
            </w:r>
            <w:r>
              <w:rPr>
                <w:lang w:val="en-AU"/>
              </w:rPr>
              <w:t xml:space="preserve">emphasises </w:t>
            </w:r>
            <w:r w:rsidR="00001A84">
              <w:rPr>
                <w:lang w:val="en-AU"/>
              </w:rPr>
              <w:t xml:space="preserve">the </w:t>
            </w:r>
            <w:r w:rsidR="009E707D">
              <w:rPr>
                <w:lang w:val="en-AU"/>
              </w:rPr>
              <w:t>valuable skills</w:t>
            </w:r>
            <w:r w:rsidR="00001A84">
              <w:rPr>
                <w:lang w:val="en-AU"/>
              </w:rPr>
              <w:t>,</w:t>
            </w:r>
            <w:r w:rsidR="009E707D">
              <w:rPr>
                <w:lang w:val="en-AU"/>
              </w:rPr>
              <w:t xml:space="preserve"> such as research, analysis, evaluation and critical reflection </w:t>
            </w:r>
            <w:r w:rsidR="00730D94">
              <w:rPr>
                <w:lang w:val="en-AU"/>
              </w:rPr>
              <w:t xml:space="preserve">that </w:t>
            </w:r>
            <w:r w:rsidR="009E707D">
              <w:rPr>
                <w:lang w:val="en-AU"/>
              </w:rPr>
              <w:t>students have used throughout the</w:t>
            </w:r>
            <w:r w:rsidR="006C6325">
              <w:rPr>
                <w:lang w:val="en-AU"/>
              </w:rPr>
              <w:t>ir art</w:t>
            </w:r>
            <w:r w:rsidR="00001A84">
              <w:rPr>
                <w:lang w:val="en-AU"/>
              </w:rPr>
              <w:t>-</w:t>
            </w:r>
            <w:r w:rsidR="006C6325">
              <w:rPr>
                <w:lang w:val="en-AU"/>
              </w:rPr>
              <w:t>making</w:t>
            </w:r>
            <w:r w:rsidR="00360950">
              <w:rPr>
                <w:lang w:val="en-AU"/>
              </w:rPr>
              <w:t xml:space="preserve"> and the decisions made during the process of planning and mounting an exhibition</w:t>
            </w:r>
            <w:r w:rsidR="006C6325">
              <w:rPr>
                <w:lang w:val="en-AU"/>
              </w:rPr>
              <w:t>.</w:t>
            </w:r>
            <w:r w:rsidR="008379D7">
              <w:rPr>
                <w:lang w:val="en-AU"/>
              </w:rPr>
              <w:t xml:space="preserve"> </w:t>
            </w:r>
            <w:r w:rsidR="005235E9">
              <w:rPr>
                <w:lang w:val="en-AU"/>
              </w:rPr>
              <w:t>S</w:t>
            </w:r>
            <w:r w:rsidR="008379D7">
              <w:rPr>
                <w:lang w:val="en-AU"/>
              </w:rPr>
              <w:t>tudents work in groups</w:t>
            </w:r>
            <w:r w:rsidR="005235E9">
              <w:rPr>
                <w:lang w:val="en-AU"/>
              </w:rPr>
              <w:t xml:space="preserve"> and teacher highlights</w:t>
            </w:r>
            <w:r w:rsidR="008379D7">
              <w:rPr>
                <w:lang w:val="en-AU"/>
              </w:rPr>
              <w:t xml:space="preserve"> </w:t>
            </w:r>
            <w:r w:rsidR="005235E9">
              <w:rPr>
                <w:lang w:val="en-AU"/>
              </w:rPr>
              <w:t xml:space="preserve">the benefits </w:t>
            </w:r>
            <w:r w:rsidR="008379D7">
              <w:rPr>
                <w:lang w:val="en-AU"/>
              </w:rPr>
              <w:t>of working with each other and sharing roles and responsibilities</w:t>
            </w:r>
            <w:r w:rsidR="009E568F">
              <w:rPr>
                <w:lang w:val="en-AU"/>
              </w:rPr>
              <w:t>, while making clear that many art and design jobs require collaborative working</w:t>
            </w:r>
            <w:r w:rsidR="008379D7">
              <w:rPr>
                <w:lang w:val="en-AU"/>
              </w:rPr>
              <w:t xml:space="preserve">. </w:t>
            </w:r>
          </w:p>
        </w:tc>
      </w:tr>
    </w:tbl>
    <w:p w14:paraId="2EA00678" w14:textId="77777777" w:rsidR="001A4B8E" w:rsidRDefault="001A4B8E">
      <w:pPr>
        <w:rPr>
          <w:rFonts w:ascii="Arial" w:hAnsi="Arial" w:cs="Arial"/>
          <w:color w:val="0F7EB4"/>
          <w:sz w:val="24"/>
          <w:lang w:val="en-AU" w:eastAsia="en-AU"/>
        </w:rPr>
      </w:pPr>
      <w:r>
        <w:rPr>
          <w:lang w:val="en-AU"/>
        </w:rPr>
        <w:br w:type="page"/>
      </w:r>
    </w:p>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22E6E40F" w14:textId="3E984B42" w:rsidR="0075783C" w:rsidRDefault="0075783C" w:rsidP="00730D94">
      <w:pPr>
        <w:pStyle w:val="VCAAbullet"/>
      </w:pPr>
      <w:r>
        <w:t xml:space="preserve">This activity </w:t>
      </w:r>
      <w:r w:rsidR="00FD1B81">
        <w:t xml:space="preserve">can </w:t>
      </w:r>
      <w:r>
        <w:t xml:space="preserve">be considered </w:t>
      </w:r>
      <w:r w:rsidR="00FD1B81">
        <w:t xml:space="preserve">for </w:t>
      </w:r>
      <w:r>
        <w:t xml:space="preserve">the end of any Visual Arts or Visual Communication Design </w:t>
      </w:r>
      <w:r w:rsidR="00FD1B81">
        <w:t xml:space="preserve">unit </w:t>
      </w:r>
      <w:r>
        <w:t xml:space="preserve">when students are planning how to exhibit and present their work. </w:t>
      </w:r>
    </w:p>
    <w:p w14:paraId="205A717E" w14:textId="24FEA3C2" w:rsidR="0075783C" w:rsidRDefault="00FD1B81" w:rsidP="00730D94">
      <w:pPr>
        <w:pStyle w:val="VCAAbullet"/>
      </w:pPr>
      <w:r>
        <w:t xml:space="preserve">This </w:t>
      </w:r>
      <w:r w:rsidR="0075783C">
        <w:t xml:space="preserve">activity </w:t>
      </w:r>
      <w:r>
        <w:t xml:space="preserve">can </w:t>
      </w:r>
      <w:r w:rsidR="006C6325">
        <w:t>be considered in conjunction with the</w:t>
      </w:r>
      <w:r w:rsidR="00187E3B">
        <w:t xml:space="preserve"> other activities</w:t>
      </w:r>
      <w:r w:rsidR="006C6325">
        <w:t xml:space="preserve"> for Level 7 and 8</w:t>
      </w:r>
      <w:r w:rsidR="00187E3B">
        <w:t xml:space="preserve"> on the VCAA Career Education Curriculum Resources page for Visual Arts</w:t>
      </w:r>
      <w:r>
        <w:t>.</w:t>
      </w:r>
    </w:p>
    <w:p w14:paraId="11F8A002" w14:textId="686F6295" w:rsidR="00DB533D" w:rsidRDefault="00DB533D" w:rsidP="00DB533D">
      <w:pPr>
        <w:pStyle w:val="VCAAHeading4"/>
      </w:pPr>
      <w:r>
        <w:t xml:space="preserve">Additional resources to help when adapting the learning activity </w:t>
      </w:r>
    </w:p>
    <w:p w14:paraId="7B2E41E9" w14:textId="7C665960" w:rsidR="003B430C" w:rsidRDefault="003C42DD" w:rsidP="003E3A28">
      <w:pPr>
        <w:pStyle w:val="VCAAbullet"/>
      </w:pPr>
      <w:r>
        <w:t xml:space="preserve">Resources </w:t>
      </w:r>
      <w:r w:rsidR="00E06A22">
        <w:t>for</w:t>
      </w:r>
      <w:r>
        <w:t xml:space="preserve"> </w:t>
      </w:r>
      <w:r w:rsidR="006C6325">
        <w:t>visits to art galleries and exhibitions, and online exhibitions</w:t>
      </w:r>
      <w:r w:rsidR="00E06A22">
        <w:t>:</w:t>
      </w:r>
      <w:r w:rsidR="006C6325">
        <w:t xml:space="preserve"> </w:t>
      </w:r>
    </w:p>
    <w:p w14:paraId="758FA70B" w14:textId="293B5834" w:rsidR="00731123" w:rsidRDefault="000F2D0B" w:rsidP="003E3A28">
      <w:pPr>
        <w:pStyle w:val="VCAAbulletlevel2"/>
      </w:pPr>
      <w:hyperlink r:id="rId13" w:history="1">
        <w:r w:rsidR="00731123" w:rsidRPr="006A5576">
          <w:rPr>
            <w:rStyle w:val="Hyperlink"/>
          </w:rPr>
          <w:t>Monash Gallery of Art</w:t>
        </w:r>
      </w:hyperlink>
    </w:p>
    <w:p w14:paraId="23083D58" w14:textId="5501781C" w:rsidR="00731123" w:rsidRDefault="000F2D0B" w:rsidP="003E3A28">
      <w:pPr>
        <w:pStyle w:val="VCAAbulletlevel2"/>
      </w:pPr>
      <w:hyperlink r:id="rId14" w:history="1">
        <w:r w:rsidR="00731123" w:rsidRPr="006A5576">
          <w:rPr>
            <w:rStyle w:val="Hyperlink"/>
          </w:rPr>
          <w:t>Heide Museum of Modern Art</w:t>
        </w:r>
      </w:hyperlink>
    </w:p>
    <w:p w14:paraId="0E2625A0" w14:textId="14D0F08E" w:rsidR="00731123" w:rsidRDefault="000F2D0B" w:rsidP="003E3A28">
      <w:pPr>
        <w:pStyle w:val="VCAAbulletlevel2"/>
      </w:pPr>
      <w:hyperlink r:id="rId15" w:history="1">
        <w:r w:rsidR="00731123" w:rsidRPr="006A5576">
          <w:rPr>
            <w:rStyle w:val="Hyperlink"/>
          </w:rPr>
          <w:t>Bendigo Art Gallery</w:t>
        </w:r>
      </w:hyperlink>
    </w:p>
    <w:p w14:paraId="4874A2F1" w14:textId="2EE55701" w:rsidR="00731123" w:rsidRDefault="00731123" w:rsidP="003E3A28">
      <w:pPr>
        <w:pStyle w:val="VCAAbulletlevel2"/>
      </w:pPr>
      <w:r>
        <w:t>Monash University Museum of Art</w:t>
      </w:r>
      <w:r w:rsidR="006A5576">
        <w:t xml:space="preserve">, </w:t>
      </w:r>
      <w:r w:rsidR="00730D94">
        <w:t>‘</w:t>
      </w:r>
      <w:hyperlink r:id="rId16" w:history="1">
        <w:r w:rsidRPr="006A5576">
          <w:rPr>
            <w:rStyle w:val="Hyperlink"/>
          </w:rPr>
          <w:t xml:space="preserve">Education </w:t>
        </w:r>
        <w:r w:rsidR="006A5576">
          <w:rPr>
            <w:rStyle w:val="Hyperlink"/>
          </w:rPr>
          <w:t>r</w:t>
        </w:r>
        <w:r w:rsidRPr="006A5576">
          <w:rPr>
            <w:rStyle w:val="Hyperlink"/>
          </w:rPr>
          <w:t>esource</w:t>
        </w:r>
        <w:r w:rsidR="006A5576" w:rsidRPr="006A5576">
          <w:rPr>
            <w:rStyle w:val="Hyperlink"/>
          </w:rPr>
          <w:t xml:space="preserve">: </w:t>
        </w:r>
        <w:r w:rsidRPr="006A5576">
          <w:rPr>
            <w:rStyle w:val="Hyperlink"/>
          </w:rPr>
          <w:t xml:space="preserve">Exhibition </w:t>
        </w:r>
        <w:r w:rsidR="006A5576">
          <w:rPr>
            <w:rStyle w:val="Hyperlink"/>
          </w:rPr>
          <w:t>c</w:t>
        </w:r>
        <w:r w:rsidRPr="006A5576">
          <w:rPr>
            <w:rStyle w:val="Hyperlink"/>
          </w:rPr>
          <w:t xml:space="preserve">ase </w:t>
        </w:r>
        <w:r w:rsidR="006A5576">
          <w:rPr>
            <w:rStyle w:val="Hyperlink"/>
          </w:rPr>
          <w:t>s</w:t>
        </w:r>
        <w:r w:rsidRPr="006A5576">
          <w:rPr>
            <w:rStyle w:val="Hyperlink"/>
          </w:rPr>
          <w:t xml:space="preserve">tudy – Agatha </w:t>
        </w:r>
        <w:proofErr w:type="spellStart"/>
        <w:r w:rsidRPr="006A5576">
          <w:rPr>
            <w:rStyle w:val="Hyperlink"/>
          </w:rPr>
          <w:t>Gothe</w:t>
        </w:r>
        <w:proofErr w:type="spellEnd"/>
        <w:r w:rsidRPr="006A5576">
          <w:rPr>
            <w:rStyle w:val="Hyperlink"/>
          </w:rPr>
          <w:t xml:space="preserve">-Snape: The </w:t>
        </w:r>
        <w:r w:rsidR="006A5576">
          <w:rPr>
            <w:rStyle w:val="Hyperlink"/>
          </w:rPr>
          <w:t>o</w:t>
        </w:r>
        <w:r w:rsidRPr="006A5576">
          <w:rPr>
            <w:rStyle w:val="Hyperlink"/>
          </w:rPr>
          <w:t xml:space="preserve">utcome is </w:t>
        </w:r>
        <w:r w:rsidR="006A5576">
          <w:rPr>
            <w:rStyle w:val="Hyperlink"/>
          </w:rPr>
          <w:t>c</w:t>
        </w:r>
        <w:r w:rsidRPr="006A5576">
          <w:rPr>
            <w:rStyle w:val="Hyperlink"/>
          </w:rPr>
          <w:t>ertain</w:t>
        </w:r>
      </w:hyperlink>
      <w:r w:rsidR="00730D94">
        <w:rPr>
          <w:rStyle w:val="Hyperlink"/>
        </w:rPr>
        <w:t>’</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EADBCA6" w:rsidR="00F01253" w:rsidRPr="003E3A28" w:rsidRDefault="00C56201">
      <w:pPr>
        <w:pStyle w:val="VCAAbody"/>
      </w:pPr>
      <w:r w:rsidRPr="003E3A28">
        <w:t xml:space="preserve">Know </w:t>
      </w:r>
      <w:r w:rsidR="008B66C2" w:rsidRPr="003E3A28">
        <w:t xml:space="preserve">yourself – </w:t>
      </w:r>
      <w:r w:rsidRPr="003E3A28">
        <w:t>s</w:t>
      </w:r>
      <w:r w:rsidR="00F01253" w:rsidRPr="003E3A28">
        <w:t xml:space="preserve">elf-development: </w:t>
      </w:r>
    </w:p>
    <w:p w14:paraId="6A8A3FA4" w14:textId="510651E5" w:rsidR="001103FF" w:rsidRDefault="003016A8" w:rsidP="00CC2756">
      <w:pPr>
        <w:pStyle w:val="VCAAbullet"/>
      </w:pPr>
      <w:r>
        <w:t>S</w:t>
      </w:r>
      <w:r w:rsidR="0075783C" w:rsidRPr="00CC2756">
        <w:t xml:space="preserve">tudents understand </w:t>
      </w:r>
      <w:r>
        <w:t xml:space="preserve">that </w:t>
      </w:r>
      <w:r w:rsidR="0075783C" w:rsidRPr="00CC2756">
        <w:t xml:space="preserve">many careers in the art and design </w:t>
      </w:r>
      <w:r w:rsidRPr="00CC2756">
        <w:t>industr</w:t>
      </w:r>
      <w:r>
        <w:t>ies</w:t>
      </w:r>
      <w:r w:rsidRPr="00CC2756">
        <w:t xml:space="preserve"> </w:t>
      </w:r>
      <w:r w:rsidR="0075783C" w:rsidRPr="00CC2756">
        <w:t xml:space="preserve">involve collaboration and consideration of the views of others. </w:t>
      </w:r>
    </w:p>
    <w:p w14:paraId="69B781CD" w14:textId="3679FEB5" w:rsidR="0097562E" w:rsidRPr="00CC2756" w:rsidRDefault="001103FF" w:rsidP="003E3A28">
      <w:pPr>
        <w:pStyle w:val="VCAAbullet"/>
      </w:pPr>
      <w:r>
        <w:t>S</w:t>
      </w:r>
      <w:r w:rsidR="0097562E" w:rsidRPr="00CC2756">
        <w:t xml:space="preserve">tudents receive feedback </w:t>
      </w:r>
      <w:r w:rsidR="00082C4E" w:rsidRPr="00CC2756">
        <w:t>from their peers and teacher, helping to build confidence</w:t>
      </w:r>
      <w:r w:rsidR="005821EB" w:rsidRPr="00CC2756">
        <w:t xml:space="preserve"> and </w:t>
      </w:r>
      <w:r w:rsidR="00685108" w:rsidRPr="00CC2756">
        <w:t>re</w:t>
      </w:r>
      <w:r w:rsidR="000F2D0B">
        <w:t>silience</w:t>
      </w:r>
      <w:bookmarkStart w:id="1" w:name="_GoBack"/>
      <w:bookmarkEnd w:id="1"/>
      <w:r w:rsidR="00F47458">
        <w:t>:</w:t>
      </w:r>
      <w:r w:rsidR="00685108" w:rsidRPr="00CC2756">
        <w:t xml:space="preserve"> two important qualities when seeking employment</w:t>
      </w:r>
      <w:r w:rsidR="00082C4E" w:rsidRPr="00CC2756">
        <w:t>.</w:t>
      </w:r>
    </w:p>
    <w:p w14:paraId="52268854" w14:textId="7F787461" w:rsidR="003F4455" w:rsidRDefault="00C56201" w:rsidP="00F01253">
      <w:pPr>
        <w:pStyle w:val="VCAAbody"/>
        <w:rPr>
          <w:lang w:val="en-AU"/>
        </w:rPr>
      </w:pPr>
      <w:r>
        <w:rPr>
          <w:lang w:val="en-AU"/>
        </w:rPr>
        <w:t xml:space="preserve">Know your world </w:t>
      </w:r>
      <w:r w:rsidR="008B66C2">
        <w:rPr>
          <w:lang w:val="en-AU"/>
        </w:rPr>
        <w:t xml:space="preserve">– </w:t>
      </w:r>
      <w:r>
        <w:rPr>
          <w:lang w:val="en-AU"/>
        </w:rPr>
        <w:t>c</w:t>
      </w:r>
      <w:r w:rsidR="00F01253" w:rsidRPr="008C0A84">
        <w:rPr>
          <w:lang w:val="en-AU"/>
        </w:rPr>
        <w:t>areer exploration:</w:t>
      </w:r>
    </w:p>
    <w:p w14:paraId="5386D548" w14:textId="398E3146" w:rsidR="005D5BC5" w:rsidRDefault="003F4455" w:rsidP="00CC2756">
      <w:pPr>
        <w:pStyle w:val="VCAAbullet"/>
      </w:pPr>
      <w:r>
        <w:t xml:space="preserve">Students develop an understanding of the range of careers </w:t>
      </w:r>
      <w:r w:rsidR="001103FF">
        <w:t xml:space="preserve">involved in </w:t>
      </w:r>
      <w:r w:rsidR="006C6325">
        <w:t xml:space="preserve">exhibition planning and design. </w:t>
      </w:r>
    </w:p>
    <w:p w14:paraId="2456BE9C" w14:textId="5B44B7C9" w:rsidR="001103FF" w:rsidRDefault="001103FF" w:rsidP="003E3A28">
      <w:pPr>
        <w:pStyle w:val="VCAAbullet"/>
      </w:pPr>
      <w:r>
        <w:t>Students experience the world of work by taking on roles associated with putting on an exhibition.</w:t>
      </w:r>
    </w:p>
    <w:p w14:paraId="2D7E0AAB" w14:textId="04562F4D" w:rsidR="00255145" w:rsidRDefault="00255145" w:rsidP="003E3A28">
      <w:pPr>
        <w:pStyle w:val="VCAAbody"/>
      </w:pPr>
      <w:r>
        <w:t>Manage my future – be proactive</w:t>
      </w:r>
      <w:r w:rsidR="00AA3EEF">
        <w:t>:</w:t>
      </w:r>
    </w:p>
    <w:p w14:paraId="26587E7F" w14:textId="0C515B0D" w:rsidR="00255145" w:rsidRPr="008C0A84" w:rsidRDefault="00360950">
      <w:pPr>
        <w:pStyle w:val="VCAAbullet"/>
      </w:pPr>
      <w:r>
        <w:t>Through exploring a wider range of career opportunities related to working in the visual arts field, students broaden the scope of potential careers they can explore later</w:t>
      </w:r>
      <w:r w:rsidR="00255145">
        <w:t>.</w:t>
      </w:r>
      <w:r w:rsidR="008379D7">
        <w:t xml:space="preserve"> </w:t>
      </w:r>
    </w:p>
    <w:sectPr w:rsidR="00255145" w:rsidRPr="008C0A84"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6348" w14:textId="77777777" w:rsidR="00730D94" w:rsidRDefault="00730D94" w:rsidP="00304EA1">
      <w:pPr>
        <w:spacing w:after="0" w:line="240" w:lineRule="auto"/>
      </w:pPr>
      <w:r>
        <w:separator/>
      </w:r>
    </w:p>
  </w:endnote>
  <w:endnote w:type="continuationSeparator" w:id="0">
    <w:p w14:paraId="12783574" w14:textId="77777777" w:rsidR="00730D94" w:rsidRDefault="00730D9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730D94" w:rsidRPr="00D06414" w14:paraId="6474FD3B" w14:textId="77777777" w:rsidTr="00BB3BAB">
      <w:trPr>
        <w:trHeight w:val="476"/>
      </w:trPr>
      <w:tc>
        <w:tcPr>
          <w:tcW w:w="1667" w:type="pct"/>
          <w:tcMar>
            <w:left w:w="0" w:type="dxa"/>
            <w:right w:w="0" w:type="dxa"/>
          </w:tcMar>
        </w:tcPr>
        <w:p w14:paraId="0EC15F2D" w14:textId="77777777" w:rsidR="00730D94" w:rsidRPr="00D06414" w:rsidRDefault="00730D9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30D94" w:rsidRPr="00D06414" w:rsidRDefault="00730D9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F6E1FD" w:rsidR="00730D94" w:rsidRPr="00D06414" w:rsidRDefault="00730D9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6095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730D94" w:rsidRPr="00D06414" w:rsidRDefault="00730D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730D94" w:rsidRPr="00D06414" w14:paraId="36A4ADC1" w14:textId="77777777" w:rsidTr="000F5AAF">
      <w:tc>
        <w:tcPr>
          <w:tcW w:w="1459" w:type="pct"/>
          <w:tcMar>
            <w:left w:w="0" w:type="dxa"/>
            <w:right w:w="0" w:type="dxa"/>
          </w:tcMar>
        </w:tcPr>
        <w:p w14:paraId="74DB1FC2" w14:textId="77777777" w:rsidR="00730D94" w:rsidRPr="00D06414" w:rsidRDefault="00730D9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30D94" w:rsidRPr="00D06414" w:rsidRDefault="00730D9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30D94" w:rsidRPr="00D06414" w:rsidRDefault="00730D9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30D94" w:rsidRPr="00D06414" w:rsidRDefault="00730D9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301D" w14:textId="77777777" w:rsidR="00730D94" w:rsidRDefault="00730D94" w:rsidP="00304EA1">
      <w:pPr>
        <w:spacing w:after="0" w:line="240" w:lineRule="auto"/>
      </w:pPr>
      <w:r>
        <w:separator/>
      </w:r>
    </w:p>
  </w:footnote>
  <w:footnote w:type="continuationSeparator" w:id="0">
    <w:p w14:paraId="05E05A61" w14:textId="77777777" w:rsidR="00730D94" w:rsidRDefault="00730D9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3EE91AC9" w:rsidR="00730D94" w:rsidRPr="0038622E" w:rsidRDefault="00730D94" w:rsidP="003E3A28">
    <w:pPr>
      <w:pStyle w:val="VCAAbody"/>
      <w:rPr>
        <w:color w:val="0F7EB4"/>
      </w:rPr>
    </w:pPr>
    <w:r>
      <w:t>Embedding career education in the Victorian Curriculum F–10 – Visual Arts/Visual Communication Design,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730D94" w:rsidRPr="009370BC" w:rsidRDefault="00730D9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ACA9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E1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664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7685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E0C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4CDD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C7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02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DC9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8C8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83001"/>
    <w:multiLevelType w:val="hybridMultilevel"/>
    <w:tmpl w:val="BD3A076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1" w15:restartNumberingAfterBreak="0">
    <w:nsid w:val="18327A6F"/>
    <w:multiLevelType w:val="hybridMultilevel"/>
    <w:tmpl w:val="6F42C8FC"/>
    <w:lvl w:ilvl="0" w:tplc="28989FA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3148E8E4"/>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4566C1"/>
    <w:multiLevelType w:val="hybridMultilevel"/>
    <w:tmpl w:val="6B5A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8324F6"/>
    <w:multiLevelType w:val="hybridMultilevel"/>
    <w:tmpl w:val="37B8DA50"/>
    <w:lvl w:ilvl="0" w:tplc="FFEC8B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C0FAC90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49D7B8C"/>
    <w:multiLevelType w:val="hybridMultilevel"/>
    <w:tmpl w:val="91804B34"/>
    <w:lvl w:ilvl="0" w:tplc="FFEC8BA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9CE0E87A"/>
    <w:lvl w:ilvl="0" w:tplc="2146EEEA">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1B1A1696"/>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E275A29"/>
    <w:multiLevelType w:val="hybridMultilevel"/>
    <w:tmpl w:val="365267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6"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7C25BAE"/>
    <w:multiLevelType w:val="hybridMultilevel"/>
    <w:tmpl w:val="E7C4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A6EDE"/>
    <w:multiLevelType w:val="hybridMultilevel"/>
    <w:tmpl w:val="16AE80A8"/>
    <w:lvl w:ilvl="0" w:tplc="FFEC8B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2612A"/>
    <w:multiLevelType w:val="hybridMultilevel"/>
    <w:tmpl w:val="9188815C"/>
    <w:lvl w:ilvl="0" w:tplc="FFEC8BAA">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6"/>
  </w:num>
  <w:num w:numId="2">
    <w:abstractNumId w:val="21"/>
  </w:num>
  <w:num w:numId="3">
    <w:abstractNumId w:val="18"/>
  </w:num>
  <w:num w:numId="4">
    <w:abstractNumId w:val="12"/>
  </w:num>
  <w:num w:numId="5">
    <w:abstractNumId w:val="24"/>
  </w:num>
  <w:num w:numId="6">
    <w:abstractNumId w:val="16"/>
  </w:num>
  <w:num w:numId="7">
    <w:abstractNumId w:val="14"/>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5"/>
  </w:num>
  <w:num w:numId="21">
    <w:abstractNumId w:val="22"/>
  </w:num>
  <w:num w:numId="22">
    <w:abstractNumId w:val="11"/>
  </w:num>
  <w:num w:numId="23">
    <w:abstractNumId w:val="29"/>
  </w:num>
  <w:num w:numId="24">
    <w:abstractNumId w:val="25"/>
  </w:num>
  <w:num w:numId="25">
    <w:abstractNumId w:val="27"/>
  </w:num>
  <w:num w:numId="26">
    <w:abstractNumId w:val="10"/>
  </w:num>
  <w:num w:numId="27">
    <w:abstractNumId w:val="19"/>
  </w:num>
  <w:num w:numId="28">
    <w:abstractNumId w:val="28"/>
  </w:num>
  <w:num w:numId="29">
    <w:abstractNumId w:val="17"/>
  </w:num>
  <w:num w:numId="30">
    <w:abstractNumId w:val="13"/>
  </w:num>
  <w:num w:numId="31">
    <w:abstractNumId w:val="11"/>
  </w:num>
  <w:num w:numId="32">
    <w:abstractNumId w:val="21"/>
  </w:num>
  <w:num w:numId="33">
    <w:abstractNumId w:val="18"/>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A84"/>
    <w:rsid w:val="00003885"/>
    <w:rsid w:val="00014B42"/>
    <w:rsid w:val="00033048"/>
    <w:rsid w:val="0005780E"/>
    <w:rsid w:val="00065CC6"/>
    <w:rsid w:val="00072AF1"/>
    <w:rsid w:val="000739D4"/>
    <w:rsid w:val="00076E68"/>
    <w:rsid w:val="00082C4E"/>
    <w:rsid w:val="00086CFC"/>
    <w:rsid w:val="00091676"/>
    <w:rsid w:val="0009208B"/>
    <w:rsid w:val="00097F58"/>
    <w:rsid w:val="000A71F7"/>
    <w:rsid w:val="000B152F"/>
    <w:rsid w:val="000C4C05"/>
    <w:rsid w:val="000E00DE"/>
    <w:rsid w:val="000F09E4"/>
    <w:rsid w:val="000F16FD"/>
    <w:rsid w:val="000F291B"/>
    <w:rsid w:val="000F2D0B"/>
    <w:rsid w:val="000F5AAF"/>
    <w:rsid w:val="00102D6B"/>
    <w:rsid w:val="001103FF"/>
    <w:rsid w:val="0012374D"/>
    <w:rsid w:val="00141F66"/>
    <w:rsid w:val="00143520"/>
    <w:rsid w:val="00153AD2"/>
    <w:rsid w:val="00161373"/>
    <w:rsid w:val="00161D27"/>
    <w:rsid w:val="001622E0"/>
    <w:rsid w:val="0017407F"/>
    <w:rsid w:val="001779EA"/>
    <w:rsid w:val="00187E3B"/>
    <w:rsid w:val="001926FE"/>
    <w:rsid w:val="001A39A9"/>
    <w:rsid w:val="001A4B8E"/>
    <w:rsid w:val="001A61D6"/>
    <w:rsid w:val="001C0F79"/>
    <w:rsid w:val="001D3246"/>
    <w:rsid w:val="001F5D88"/>
    <w:rsid w:val="001F74E1"/>
    <w:rsid w:val="00202FA7"/>
    <w:rsid w:val="00211362"/>
    <w:rsid w:val="002279BA"/>
    <w:rsid w:val="002329F3"/>
    <w:rsid w:val="002407FE"/>
    <w:rsid w:val="00243F0D"/>
    <w:rsid w:val="002547F1"/>
    <w:rsid w:val="00254888"/>
    <w:rsid w:val="00255145"/>
    <w:rsid w:val="00255852"/>
    <w:rsid w:val="00260767"/>
    <w:rsid w:val="002647BB"/>
    <w:rsid w:val="002754C1"/>
    <w:rsid w:val="0028365E"/>
    <w:rsid w:val="002841C8"/>
    <w:rsid w:val="00284879"/>
    <w:rsid w:val="0028516B"/>
    <w:rsid w:val="00287ACE"/>
    <w:rsid w:val="00291256"/>
    <w:rsid w:val="00294708"/>
    <w:rsid w:val="002B103A"/>
    <w:rsid w:val="002C0C45"/>
    <w:rsid w:val="002C6F90"/>
    <w:rsid w:val="002D2BBD"/>
    <w:rsid w:val="002E4FB5"/>
    <w:rsid w:val="003016A8"/>
    <w:rsid w:val="00302FB8"/>
    <w:rsid w:val="00304EA1"/>
    <w:rsid w:val="00313B29"/>
    <w:rsid w:val="00314D81"/>
    <w:rsid w:val="00322D8C"/>
    <w:rsid w:val="00322FC6"/>
    <w:rsid w:val="0035293F"/>
    <w:rsid w:val="003561E5"/>
    <w:rsid w:val="00360950"/>
    <w:rsid w:val="00364E62"/>
    <w:rsid w:val="0036514D"/>
    <w:rsid w:val="0038622E"/>
    <w:rsid w:val="00391986"/>
    <w:rsid w:val="00392864"/>
    <w:rsid w:val="0039595E"/>
    <w:rsid w:val="003A00B4"/>
    <w:rsid w:val="003B430C"/>
    <w:rsid w:val="003C394F"/>
    <w:rsid w:val="003C42DD"/>
    <w:rsid w:val="003C5E71"/>
    <w:rsid w:val="003E3A28"/>
    <w:rsid w:val="003F12C2"/>
    <w:rsid w:val="003F4455"/>
    <w:rsid w:val="00411D26"/>
    <w:rsid w:val="00417AA3"/>
    <w:rsid w:val="00421DB1"/>
    <w:rsid w:val="00425014"/>
    <w:rsid w:val="00425DFE"/>
    <w:rsid w:val="00425FD1"/>
    <w:rsid w:val="00434EDB"/>
    <w:rsid w:val="00440B32"/>
    <w:rsid w:val="0044792B"/>
    <w:rsid w:val="00457521"/>
    <w:rsid w:val="0046078D"/>
    <w:rsid w:val="00482B79"/>
    <w:rsid w:val="00495C80"/>
    <w:rsid w:val="004A2ED8"/>
    <w:rsid w:val="004D70CD"/>
    <w:rsid w:val="004E6728"/>
    <w:rsid w:val="004F5BDA"/>
    <w:rsid w:val="004F6DE0"/>
    <w:rsid w:val="0051631E"/>
    <w:rsid w:val="005235E9"/>
    <w:rsid w:val="00537A1F"/>
    <w:rsid w:val="00544224"/>
    <w:rsid w:val="00563E1D"/>
    <w:rsid w:val="00566029"/>
    <w:rsid w:val="00567972"/>
    <w:rsid w:val="00567FD3"/>
    <w:rsid w:val="005821EB"/>
    <w:rsid w:val="005923CB"/>
    <w:rsid w:val="005B0768"/>
    <w:rsid w:val="005B391B"/>
    <w:rsid w:val="005D3D78"/>
    <w:rsid w:val="005D5BC5"/>
    <w:rsid w:val="005D5E72"/>
    <w:rsid w:val="005D7236"/>
    <w:rsid w:val="005E2EF0"/>
    <w:rsid w:val="005F4092"/>
    <w:rsid w:val="005F62F5"/>
    <w:rsid w:val="00610518"/>
    <w:rsid w:val="00615720"/>
    <w:rsid w:val="006173AB"/>
    <w:rsid w:val="006252CE"/>
    <w:rsid w:val="0063738D"/>
    <w:rsid w:val="00654F93"/>
    <w:rsid w:val="00665BF9"/>
    <w:rsid w:val="006828C0"/>
    <w:rsid w:val="0068471E"/>
    <w:rsid w:val="00684F98"/>
    <w:rsid w:val="00685108"/>
    <w:rsid w:val="00693FFD"/>
    <w:rsid w:val="006A5576"/>
    <w:rsid w:val="006A7533"/>
    <w:rsid w:val="006C6325"/>
    <w:rsid w:val="006D2159"/>
    <w:rsid w:val="006E3CD1"/>
    <w:rsid w:val="006F787C"/>
    <w:rsid w:val="00702636"/>
    <w:rsid w:val="00716C0C"/>
    <w:rsid w:val="007177CB"/>
    <w:rsid w:val="00724507"/>
    <w:rsid w:val="00730D94"/>
    <w:rsid w:val="00731123"/>
    <w:rsid w:val="00740A80"/>
    <w:rsid w:val="007572DD"/>
    <w:rsid w:val="0075783C"/>
    <w:rsid w:val="007623B9"/>
    <w:rsid w:val="00773E6C"/>
    <w:rsid w:val="00781FB1"/>
    <w:rsid w:val="007A0E4B"/>
    <w:rsid w:val="007A60D8"/>
    <w:rsid w:val="007B180C"/>
    <w:rsid w:val="007C51F3"/>
    <w:rsid w:val="007D1B6D"/>
    <w:rsid w:val="007E7A73"/>
    <w:rsid w:val="007E7D1F"/>
    <w:rsid w:val="007F1A43"/>
    <w:rsid w:val="00813C37"/>
    <w:rsid w:val="008154B5"/>
    <w:rsid w:val="00816F92"/>
    <w:rsid w:val="00823962"/>
    <w:rsid w:val="008379D7"/>
    <w:rsid w:val="00852719"/>
    <w:rsid w:val="00860115"/>
    <w:rsid w:val="00880676"/>
    <w:rsid w:val="0088783C"/>
    <w:rsid w:val="008B1278"/>
    <w:rsid w:val="008B3310"/>
    <w:rsid w:val="008B66C2"/>
    <w:rsid w:val="008C0A84"/>
    <w:rsid w:val="008D0ABF"/>
    <w:rsid w:val="008D57CA"/>
    <w:rsid w:val="00905484"/>
    <w:rsid w:val="009370BC"/>
    <w:rsid w:val="00940018"/>
    <w:rsid w:val="00954D1A"/>
    <w:rsid w:val="00970580"/>
    <w:rsid w:val="009711DC"/>
    <w:rsid w:val="0097562E"/>
    <w:rsid w:val="00976133"/>
    <w:rsid w:val="00982621"/>
    <w:rsid w:val="0098739B"/>
    <w:rsid w:val="009A3AA0"/>
    <w:rsid w:val="009B61E5"/>
    <w:rsid w:val="009C0D11"/>
    <w:rsid w:val="009C6B4C"/>
    <w:rsid w:val="009D1E89"/>
    <w:rsid w:val="009E568F"/>
    <w:rsid w:val="009E5707"/>
    <w:rsid w:val="009E707D"/>
    <w:rsid w:val="00A00F15"/>
    <w:rsid w:val="00A04F23"/>
    <w:rsid w:val="00A13223"/>
    <w:rsid w:val="00A1354F"/>
    <w:rsid w:val="00A17661"/>
    <w:rsid w:val="00A20918"/>
    <w:rsid w:val="00A24B2D"/>
    <w:rsid w:val="00A27DCD"/>
    <w:rsid w:val="00A358BD"/>
    <w:rsid w:val="00A40966"/>
    <w:rsid w:val="00A50E81"/>
    <w:rsid w:val="00A670B2"/>
    <w:rsid w:val="00A75D1D"/>
    <w:rsid w:val="00A921E0"/>
    <w:rsid w:val="00A922F4"/>
    <w:rsid w:val="00A978D0"/>
    <w:rsid w:val="00AA3EEF"/>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87003"/>
    <w:rsid w:val="00BA22EC"/>
    <w:rsid w:val="00BB3BAB"/>
    <w:rsid w:val="00BC2C46"/>
    <w:rsid w:val="00BD0724"/>
    <w:rsid w:val="00BD2B91"/>
    <w:rsid w:val="00BD527C"/>
    <w:rsid w:val="00BE5521"/>
    <w:rsid w:val="00BF110A"/>
    <w:rsid w:val="00BF6C23"/>
    <w:rsid w:val="00C2005D"/>
    <w:rsid w:val="00C53263"/>
    <w:rsid w:val="00C56201"/>
    <w:rsid w:val="00C6415E"/>
    <w:rsid w:val="00C75F1D"/>
    <w:rsid w:val="00C95156"/>
    <w:rsid w:val="00C96444"/>
    <w:rsid w:val="00CA0DC2"/>
    <w:rsid w:val="00CB68E8"/>
    <w:rsid w:val="00CC2756"/>
    <w:rsid w:val="00CE1990"/>
    <w:rsid w:val="00D04F01"/>
    <w:rsid w:val="00D06414"/>
    <w:rsid w:val="00D10614"/>
    <w:rsid w:val="00D15D48"/>
    <w:rsid w:val="00D20023"/>
    <w:rsid w:val="00D24563"/>
    <w:rsid w:val="00D24E5A"/>
    <w:rsid w:val="00D338E4"/>
    <w:rsid w:val="00D35D07"/>
    <w:rsid w:val="00D36FA7"/>
    <w:rsid w:val="00D4304F"/>
    <w:rsid w:val="00D51947"/>
    <w:rsid w:val="00D532F0"/>
    <w:rsid w:val="00D65994"/>
    <w:rsid w:val="00D6795D"/>
    <w:rsid w:val="00D77413"/>
    <w:rsid w:val="00D82759"/>
    <w:rsid w:val="00D86DE4"/>
    <w:rsid w:val="00DA784C"/>
    <w:rsid w:val="00DB1460"/>
    <w:rsid w:val="00DB533D"/>
    <w:rsid w:val="00DD1FF0"/>
    <w:rsid w:val="00DD26B6"/>
    <w:rsid w:val="00DE01DD"/>
    <w:rsid w:val="00DE1909"/>
    <w:rsid w:val="00DE51DB"/>
    <w:rsid w:val="00E06A22"/>
    <w:rsid w:val="00E17495"/>
    <w:rsid w:val="00E23F1D"/>
    <w:rsid w:val="00E30E05"/>
    <w:rsid w:val="00E36361"/>
    <w:rsid w:val="00E45C63"/>
    <w:rsid w:val="00E510B0"/>
    <w:rsid w:val="00E535DD"/>
    <w:rsid w:val="00E55AE9"/>
    <w:rsid w:val="00E56D1D"/>
    <w:rsid w:val="00E56F21"/>
    <w:rsid w:val="00E9592C"/>
    <w:rsid w:val="00EA2830"/>
    <w:rsid w:val="00EB0C84"/>
    <w:rsid w:val="00EF1E25"/>
    <w:rsid w:val="00F01253"/>
    <w:rsid w:val="00F10A9B"/>
    <w:rsid w:val="00F17FDE"/>
    <w:rsid w:val="00F40D53"/>
    <w:rsid w:val="00F4525C"/>
    <w:rsid w:val="00F47458"/>
    <w:rsid w:val="00F50D86"/>
    <w:rsid w:val="00F60591"/>
    <w:rsid w:val="00F61E27"/>
    <w:rsid w:val="00F6610F"/>
    <w:rsid w:val="00F87EFA"/>
    <w:rsid w:val="00FA6C04"/>
    <w:rsid w:val="00FB23F1"/>
    <w:rsid w:val="00FB754E"/>
    <w:rsid w:val="00FC4839"/>
    <w:rsid w:val="00FD1B81"/>
    <w:rsid w:val="00FD29D3"/>
    <w:rsid w:val="00FE2873"/>
    <w:rsid w:val="00FE3F0B"/>
    <w:rsid w:val="00FF324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C27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CC2756"/>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CC2756"/>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CC2756"/>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CC2756"/>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CC2756"/>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C2756"/>
    <w:rPr>
      <w:color w:val="FFFFFF" w:themeColor="background1"/>
    </w:rPr>
  </w:style>
  <w:style w:type="paragraph" w:customStyle="1" w:styleId="VCAAbullet">
    <w:name w:val="VCAA bullet"/>
    <w:basedOn w:val="VCAAbody"/>
    <w:autoRedefine/>
    <w:qFormat/>
    <w:rsid w:val="00CC2756"/>
    <w:pPr>
      <w:numPr>
        <w:numId w:val="31"/>
      </w:numPr>
      <w:spacing w:before="60" w:after="60"/>
      <w:ind w:left="426" w:hanging="426"/>
      <w:contextualSpacing/>
    </w:pPr>
    <w:rPr>
      <w:rFonts w:eastAsia="Times New Roman"/>
      <w:kern w:val="22"/>
      <w:lang w:val="en-GB" w:eastAsia="ja-JP"/>
    </w:rPr>
  </w:style>
  <w:style w:type="paragraph" w:customStyle="1" w:styleId="VCAAbulletlevel2">
    <w:name w:val="VCAA bullet level 2"/>
    <w:basedOn w:val="VCAAbullet"/>
    <w:qFormat/>
    <w:rsid w:val="007A60D8"/>
    <w:pPr>
      <w:numPr>
        <w:numId w:val="32"/>
      </w:numPr>
      <w:ind w:left="851" w:hanging="425"/>
    </w:pPr>
  </w:style>
  <w:style w:type="paragraph" w:customStyle="1" w:styleId="VCAAnumbers">
    <w:name w:val="VCAA numbers"/>
    <w:basedOn w:val="VCAAbullet"/>
    <w:qFormat/>
    <w:rsid w:val="00CC2756"/>
    <w:pPr>
      <w:numPr>
        <w:numId w:val="33"/>
      </w:numPr>
    </w:pPr>
    <w:rPr>
      <w:lang w:val="en-US"/>
    </w:rPr>
  </w:style>
  <w:style w:type="paragraph" w:customStyle="1" w:styleId="VCAAtablecondensedbullet">
    <w:name w:val="VCAA table condensed bullet"/>
    <w:basedOn w:val="Normal"/>
    <w:qFormat/>
    <w:rsid w:val="00CC2756"/>
    <w:pPr>
      <w:numPr>
        <w:numId w:val="3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C2756"/>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CC2756"/>
    <w:pPr>
      <w:spacing w:after="360"/>
    </w:pPr>
    <w:rPr>
      <w:sz w:val="18"/>
      <w:szCs w:val="18"/>
    </w:rPr>
  </w:style>
  <w:style w:type="paragraph" w:customStyle="1" w:styleId="VCAAHeading5">
    <w:name w:val="VCAA Heading 5"/>
    <w:next w:val="VCAAbody"/>
    <w:qFormat/>
    <w:rsid w:val="00CC2756"/>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CC2756"/>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CC275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CC2756"/>
    <w:pPr>
      <w:numPr>
        <w:numId w:val="35"/>
      </w:numPr>
    </w:pPr>
    <w:rPr>
      <w:color w:val="000000" w:themeColor="text1"/>
    </w:rPr>
  </w:style>
  <w:style w:type="table" w:customStyle="1" w:styleId="VCAATableClosed">
    <w:name w:val="VCAA Table Closed"/>
    <w:basedOn w:val="VCAATable"/>
    <w:uiPriority w:val="99"/>
    <w:rsid w:val="00CC275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CC2756"/>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CC2756"/>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CC2756"/>
    <w:pPr>
      <w:spacing w:line="240" w:lineRule="auto"/>
      <w:jc w:val="center"/>
    </w:pPr>
    <w:rPr>
      <w:noProof/>
    </w:rPr>
  </w:style>
  <w:style w:type="character" w:customStyle="1" w:styleId="VCAAbodyChar">
    <w:name w:val="VCAA body Char"/>
    <w:basedOn w:val="DefaultParagraphFont"/>
    <w:link w:val="VCAAbody"/>
    <w:rsid w:val="00CC2756"/>
    <w:rPr>
      <w:rFonts w:ascii="Arial" w:hAnsi="Arial" w:cs="Arial"/>
      <w:color w:val="000000" w:themeColor="text1"/>
      <w:sz w:val="20"/>
    </w:rPr>
  </w:style>
  <w:style w:type="character" w:customStyle="1" w:styleId="VCAAfiguresChar">
    <w:name w:val="VCAA figures Char"/>
    <w:basedOn w:val="VCAAbodyChar"/>
    <w:link w:val="VCAAfigures"/>
    <w:rsid w:val="00CC2756"/>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CC275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CC2756"/>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DA784C"/>
    <w:rPr>
      <w:color w:val="8DB3E2" w:themeColor="followedHyperlink"/>
      <w:u w:val="single"/>
    </w:rPr>
  </w:style>
  <w:style w:type="character" w:customStyle="1" w:styleId="UnresolvedMention1">
    <w:name w:val="Unresolved Mention1"/>
    <w:basedOn w:val="DefaultParagraphFont"/>
    <w:uiPriority w:val="99"/>
    <w:semiHidden/>
    <w:unhideWhenUsed/>
    <w:rsid w:val="0028365E"/>
    <w:rPr>
      <w:color w:val="605E5C"/>
      <w:shd w:val="clear" w:color="auto" w:fill="E1DFDD"/>
    </w:rPr>
  </w:style>
  <w:style w:type="character" w:customStyle="1" w:styleId="UnresolvedMention2">
    <w:name w:val="Unresolved Mention2"/>
    <w:basedOn w:val="DefaultParagraphFont"/>
    <w:uiPriority w:val="99"/>
    <w:semiHidden/>
    <w:unhideWhenUsed/>
    <w:rsid w:val="008379D7"/>
    <w:rPr>
      <w:color w:val="605E5C"/>
      <w:shd w:val="clear" w:color="auto" w:fill="E1DFDD"/>
    </w:rPr>
  </w:style>
  <w:style w:type="character" w:customStyle="1" w:styleId="UnresolvedMention3">
    <w:name w:val="Unresolved Mention3"/>
    <w:basedOn w:val="DefaultParagraphFont"/>
    <w:uiPriority w:val="99"/>
    <w:semiHidden/>
    <w:unhideWhenUsed/>
    <w:rsid w:val="00E51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ga.org.au/education/case-stud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ctoriancurriculum.vcaa.vic.edu.au/Curriculum/ContentDescription/VCAVCDP00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imeo.com/41260063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AP037" TargetMode="External"/><Relationship Id="rId5" Type="http://schemas.openxmlformats.org/officeDocument/2006/relationships/numbering" Target="numbering.xml"/><Relationship Id="rId15" Type="http://schemas.openxmlformats.org/officeDocument/2006/relationships/hyperlink" Target="https://www.bendigoregion.com.au/bendigo-art-gallery/online-learnin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ide.com.au/learning/learning-resources/exhibi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E112-C4C1-437F-8CD8-D12320732905}">
  <ds:schemaRefs>
    <ds:schemaRef ds:uri="http://schemas.microsoft.com/sharepoint/v3/contenttype/forms"/>
  </ds:schemaRefs>
</ds:datastoreItem>
</file>

<file path=customXml/itemProps2.xml><?xml version="1.0" encoding="utf-8"?>
<ds:datastoreItem xmlns:ds="http://schemas.openxmlformats.org/officeDocument/2006/customXml" ds:itemID="{42ED7087-40C1-41E0-A300-C30879231387}"/>
</file>

<file path=customXml/itemProps3.xml><?xml version="1.0" encoding="utf-8"?>
<ds:datastoreItem xmlns:ds="http://schemas.openxmlformats.org/officeDocument/2006/customXml" ds:itemID="{06CC1C5E-B34C-4F5B-8DB2-FD1DDFC6C431}">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aab662d-a6b2-42d6-996b-a574723d1ad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6312334F-C218-4636-9DC9-F87D7621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
  <cp:keywords>career education, curriculum resources, Visual Art, Visual Communication Design</cp:keywords>
  <cp:lastModifiedBy/>
  <cp:revision>1</cp:revision>
  <dcterms:created xsi:type="dcterms:W3CDTF">2020-09-30T00:28:00Z</dcterms:created>
  <dcterms:modified xsi:type="dcterms:W3CDTF">2020-10-26T21:53:00Z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