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7D0BBD2" w:rsidR="00F4525C" w:rsidRPr="0018718F" w:rsidRDefault="00024018" w:rsidP="0018718F">
      <w:pPr>
        <w:pStyle w:val="VCAADocumenttitle"/>
      </w:pPr>
      <w:r w:rsidRPr="0018718F">
        <w:t>202</w:t>
      </w:r>
      <w:r w:rsidR="00A4287E" w:rsidRPr="0018718F">
        <w:t>2</w:t>
      </w:r>
      <w:r w:rsidRPr="0018718F">
        <w:t xml:space="preserve"> </w:t>
      </w:r>
      <w:r w:rsidR="001E4E16" w:rsidRPr="0018718F">
        <w:t xml:space="preserve">VCE </w:t>
      </w:r>
      <w:r w:rsidR="00985694" w:rsidRPr="0018718F">
        <w:t>Indigenous Languages of Victoria</w:t>
      </w:r>
      <w:r w:rsidR="001E4E16" w:rsidRPr="0018718F">
        <w:t xml:space="preserve"> –</w:t>
      </w:r>
      <w:r w:rsidR="00985694" w:rsidRPr="0018718F">
        <w:t xml:space="preserve"> Revival and Reclamation</w:t>
      </w:r>
      <w:r w:rsidRPr="0018718F">
        <w:t xml:space="preserve"> </w:t>
      </w:r>
      <w:r w:rsidR="00400537" w:rsidRPr="0018718F">
        <w:t xml:space="preserve">written </w:t>
      </w:r>
      <w:r w:rsidRPr="0018718F">
        <w:t>examination report</w:t>
      </w:r>
    </w:p>
    <w:p w14:paraId="1F902DD4" w14:textId="77777777" w:rsidR="006663C6" w:rsidRPr="007C3556" w:rsidRDefault="00024018" w:rsidP="0018718F">
      <w:pPr>
        <w:pStyle w:val="VCAAHeading1"/>
      </w:pPr>
      <w:bookmarkStart w:id="0" w:name="TemplateOverview"/>
      <w:bookmarkEnd w:id="0"/>
      <w:r w:rsidRPr="007C3556">
        <w:t xml:space="preserve">General </w:t>
      </w:r>
      <w:r w:rsidRPr="0018718F">
        <w:t>comments</w:t>
      </w:r>
    </w:p>
    <w:p w14:paraId="5CD30AB1" w14:textId="663EF003" w:rsidR="00985694" w:rsidRPr="0018718F" w:rsidRDefault="008D2906" w:rsidP="0018718F">
      <w:pPr>
        <w:pStyle w:val="VCAAbody"/>
      </w:pPr>
      <w:bookmarkStart w:id="1" w:name="_Hlk86848779"/>
      <w:bookmarkStart w:id="2" w:name="_Hlk86916486"/>
      <w:bookmarkEnd w:id="1"/>
      <w:r w:rsidRPr="0018718F">
        <w:t>Although</w:t>
      </w:r>
      <w:r w:rsidR="00985694" w:rsidRPr="0018718F">
        <w:t xml:space="preserve"> the quality of </w:t>
      </w:r>
      <w:r w:rsidR="00E606D1" w:rsidRPr="0018718F">
        <w:t>responses varied</w:t>
      </w:r>
      <w:r w:rsidR="00567EB8">
        <w:t xml:space="preserve"> in the 2022 examination</w:t>
      </w:r>
      <w:r w:rsidR="00985694" w:rsidRPr="0018718F">
        <w:t xml:space="preserve">, </w:t>
      </w:r>
      <w:r w:rsidR="00E606D1" w:rsidRPr="0018718F">
        <w:t>some</w:t>
      </w:r>
      <w:r w:rsidR="00985694" w:rsidRPr="0018718F">
        <w:t xml:space="preserve"> </w:t>
      </w:r>
      <w:r w:rsidR="0054605C">
        <w:t>students scored highly</w:t>
      </w:r>
      <w:r w:rsidR="00985694" w:rsidRPr="0018718F">
        <w:t>.</w:t>
      </w:r>
    </w:p>
    <w:p w14:paraId="42B80F4B" w14:textId="714AA2EF" w:rsidR="00985694" w:rsidRPr="0018718F" w:rsidRDefault="00567EB8" w:rsidP="0018718F">
      <w:pPr>
        <w:pStyle w:val="VCAAbody"/>
      </w:pPr>
      <w:r>
        <w:t>O</w:t>
      </w:r>
      <w:r w:rsidR="00C33E63">
        <w:t xml:space="preserve">nly a few </w:t>
      </w:r>
      <w:r w:rsidR="00985694" w:rsidRPr="0018718F">
        <w:t xml:space="preserve">students </w:t>
      </w:r>
      <w:r w:rsidR="002E5CA9" w:rsidRPr="0018718F">
        <w:t>did not answer</w:t>
      </w:r>
      <w:r w:rsidR="00504A26">
        <w:t xml:space="preserve"> </w:t>
      </w:r>
      <w:r w:rsidR="00C33E63">
        <w:t>all</w:t>
      </w:r>
      <w:r w:rsidR="002E5CA9" w:rsidRPr="0018718F">
        <w:t xml:space="preserve"> questions, including some short </w:t>
      </w:r>
      <w:r w:rsidR="00504A26">
        <w:t>answer</w:t>
      </w:r>
      <w:r w:rsidR="00504A26" w:rsidRPr="0018718F">
        <w:t xml:space="preserve"> </w:t>
      </w:r>
      <w:r w:rsidR="002E5CA9" w:rsidRPr="0018718F">
        <w:t xml:space="preserve">questions, </w:t>
      </w:r>
      <w:r w:rsidR="00AF35DE">
        <w:t>such as</w:t>
      </w:r>
      <w:r w:rsidR="00C33E63">
        <w:t xml:space="preserve"> </w:t>
      </w:r>
      <w:r w:rsidR="002E5CA9" w:rsidRPr="0018718F">
        <w:t>Questions 2</w:t>
      </w:r>
      <w:r w:rsidR="00504A26">
        <w:t>–</w:t>
      </w:r>
      <w:r w:rsidR="002E5CA9" w:rsidRPr="0018718F">
        <w:t xml:space="preserve">4. It is </w:t>
      </w:r>
      <w:r w:rsidR="00985694" w:rsidRPr="0018718F">
        <w:t>strongly recommend</w:t>
      </w:r>
      <w:r w:rsidR="009D56E6">
        <w:t>ed</w:t>
      </w:r>
      <w:r w:rsidR="00985694" w:rsidRPr="0018718F">
        <w:t xml:space="preserve"> that </w:t>
      </w:r>
      <w:r w:rsidR="00E606D1" w:rsidRPr="0018718F">
        <w:t>students</w:t>
      </w:r>
      <w:r w:rsidR="00985694" w:rsidRPr="0018718F">
        <w:t xml:space="preserve"> attempt all the questions; even if unsure about an answer, it is better to attempt the </w:t>
      </w:r>
      <w:r w:rsidR="00AB66F3" w:rsidRPr="0018718F">
        <w:t xml:space="preserve">question </w:t>
      </w:r>
      <w:r w:rsidR="00985694" w:rsidRPr="0018718F">
        <w:t xml:space="preserve">and possibly get some marks </w:t>
      </w:r>
      <w:r w:rsidR="00FC5EDF">
        <w:t xml:space="preserve">rather </w:t>
      </w:r>
      <w:r w:rsidR="00985694" w:rsidRPr="0018718F">
        <w:t xml:space="preserve">than not attempt </w:t>
      </w:r>
      <w:r w:rsidR="00E23CB0">
        <w:t xml:space="preserve">it </w:t>
      </w:r>
      <w:r w:rsidR="00985694" w:rsidRPr="0018718F">
        <w:t>at all.</w:t>
      </w:r>
      <w:r w:rsidR="00E606D1" w:rsidRPr="0018718F">
        <w:t xml:space="preserve"> </w:t>
      </w:r>
    </w:p>
    <w:p w14:paraId="0D73FC12" w14:textId="24878E5D" w:rsidR="002E5CA9" w:rsidRPr="0018718F" w:rsidRDefault="00567EB8" w:rsidP="0018718F">
      <w:pPr>
        <w:pStyle w:val="VCAAbody"/>
      </w:pPr>
      <w:r>
        <w:t>S</w:t>
      </w:r>
      <w:r w:rsidR="00FC5EDF">
        <w:t xml:space="preserve">ome </w:t>
      </w:r>
      <w:r w:rsidR="002E5CA9" w:rsidRPr="0018718F">
        <w:t>students</w:t>
      </w:r>
      <w:r w:rsidR="00FC5EDF">
        <w:t xml:space="preserve"> lost marks because they did </w:t>
      </w:r>
      <w:r w:rsidR="00E23CB0">
        <w:t xml:space="preserve">not </w:t>
      </w:r>
      <w:r w:rsidR="002E5CA9" w:rsidRPr="0018718F">
        <w:t>answer</w:t>
      </w:r>
      <w:r w:rsidR="00E23CB0">
        <w:t xml:space="preserve"> </w:t>
      </w:r>
      <w:r w:rsidR="00FC5EDF">
        <w:t xml:space="preserve">all parts of a </w:t>
      </w:r>
      <w:r w:rsidR="002E5CA9" w:rsidRPr="0018718F">
        <w:t xml:space="preserve">question. </w:t>
      </w:r>
      <w:r w:rsidR="00B22A6A">
        <w:t>F</w:t>
      </w:r>
      <w:r w:rsidR="002E5CA9" w:rsidRPr="0018718F">
        <w:t xml:space="preserve">or </w:t>
      </w:r>
      <w:r w:rsidR="00B22A6A">
        <w:t>instance</w:t>
      </w:r>
      <w:r w:rsidR="002E5CA9" w:rsidRPr="0018718F">
        <w:t>, when a question asks for two examples</w:t>
      </w:r>
      <w:r w:rsidR="00FC5EDF">
        <w:t>,</w:t>
      </w:r>
      <w:r w:rsidR="002E5CA9" w:rsidRPr="0018718F">
        <w:t xml:space="preserve"> </w:t>
      </w:r>
      <w:r w:rsidR="009D56E6">
        <w:t>an answer with only one example cannot be awarded full marks</w:t>
      </w:r>
      <w:r w:rsidR="002E5CA9" w:rsidRPr="0018718F">
        <w:t>.</w:t>
      </w:r>
    </w:p>
    <w:p w14:paraId="41F72355" w14:textId="3A2694CA" w:rsidR="00985694" w:rsidRPr="0018718F" w:rsidRDefault="00E606D1" w:rsidP="0018718F">
      <w:pPr>
        <w:pStyle w:val="VCAAbody"/>
      </w:pPr>
      <w:r w:rsidRPr="0018718F">
        <w:t>T</w:t>
      </w:r>
      <w:r w:rsidR="00985694" w:rsidRPr="0018718F">
        <w:t>here were two essay questions</w:t>
      </w:r>
      <w:r w:rsidR="00AB66F3" w:rsidRPr="0018718F">
        <w:t>: Q</w:t>
      </w:r>
      <w:r w:rsidR="00985694" w:rsidRPr="0018718F">
        <w:t>uestion</w:t>
      </w:r>
      <w:r w:rsidR="00216E9F">
        <w:t>s</w:t>
      </w:r>
      <w:r w:rsidR="00985694" w:rsidRPr="0018718F">
        <w:t xml:space="preserve"> 5 and 6. </w:t>
      </w:r>
      <w:r w:rsidR="002E5CA9" w:rsidRPr="0018718F">
        <w:t xml:space="preserve">In the case of Question 5, some students </w:t>
      </w:r>
      <w:r w:rsidR="00216E9F">
        <w:t>did</w:t>
      </w:r>
      <w:r w:rsidR="00216E9F" w:rsidRPr="0018718F">
        <w:t xml:space="preserve"> </w:t>
      </w:r>
      <w:r w:rsidR="002E5CA9" w:rsidRPr="0018718F">
        <w:t>not address the question asked, but seemed to bas</w:t>
      </w:r>
      <w:r w:rsidR="00ED7C61">
        <w:t>e their</w:t>
      </w:r>
      <w:r w:rsidR="002E5CA9" w:rsidRPr="0018718F">
        <w:t xml:space="preserve"> answers on the collection of a lot of ideas from working with the practice exam</w:t>
      </w:r>
      <w:r w:rsidR="00AB7CBC">
        <w:t>ination</w:t>
      </w:r>
      <w:r w:rsidR="002E5CA9" w:rsidRPr="0018718F">
        <w:t>s (such as discussions of community consultation</w:t>
      </w:r>
      <w:r w:rsidR="006C621F">
        <w:t>)</w:t>
      </w:r>
      <w:r w:rsidR="002E5CA9" w:rsidRPr="0018718F">
        <w:t xml:space="preserve">. Students should be careful to answer the question that </w:t>
      </w:r>
      <w:r w:rsidR="007B455F" w:rsidRPr="0018718F">
        <w:t>is</w:t>
      </w:r>
      <w:r w:rsidR="002E5CA9" w:rsidRPr="0018718F">
        <w:t xml:space="preserve"> asked</w:t>
      </w:r>
      <w:r w:rsidR="007B455F" w:rsidRPr="0018718F">
        <w:t xml:space="preserve"> rather than answering the question they expect to be asked</w:t>
      </w:r>
      <w:r w:rsidR="002E5CA9" w:rsidRPr="0018718F">
        <w:t>.</w:t>
      </w:r>
    </w:p>
    <w:p w14:paraId="30BF19EB" w14:textId="15F642CF" w:rsidR="00985694" w:rsidRPr="0018718F" w:rsidRDefault="007B455F" w:rsidP="0018718F">
      <w:pPr>
        <w:pStyle w:val="VCAAbody"/>
      </w:pPr>
      <w:r w:rsidRPr="0018718F">
        <w:t xml:space="preserve">Furthermore, students </w:t>
      </w:r>
      <w:r w:rsidR="00567EB8">
        <w:t xml:space="preserve">who </w:t>
      </w:r>
      <w:r w:rsidRPr="0018718F">
        <w:t xml:space="preserve">did not answer </w:t>
      </w:r>
      <w:r w:rsidR="00567EB8">
        <w:t>P</w:t>
      </w:r>
      <w:r w:rsidRPr="0018718F">
        <w:t>art c</w:t>
      </w:r>
      <w:r w:rsidR="006C621F">
        <w:t>.</w:t>
      </w:r>
      <w:r w:rsidRPr="0018718F">
        <w:t xml:space="preserve"> of </w:t>
      </w:r>
      <w:r w:rsidR="006C621F">
        <w:t>Q</w:t>
      </w:r>
      <w:r w:rsidRPr="0018718F">
        <w:t>uestion</w:t>
      </w:r>
      <w:r w:rsidR="006C621F">
        <w:t>s</w:t>
      </w:r>
      <w:r w:rsidRPr="0018718F">
        <w:t xml:space="preserve"> 5 or 6</w:t>
      </w:r>
      <w:r w:rsidR="00567EB8" w:rsidRPr="00567EB8">
        <w:t xml:space="preserve"> </w:t>
      </w:r>
      <w:r w:rsidR="00567EB8">
        <w:t>could not receive full marks,</w:t>
      </w:r>
      <w:r w:rsidRPr="0018718F">
        <w:t xml:space="preserve"> even though their answers to the early parts of those questions were good. </w:t>
      </w:r>
    </w:p>
    <w:bookmarkEnd w:id="2"/>
    <w:p w14:paraId="29027E3E" w14:textId="2FA67415" w:rsidR="00B62480" w:rsidRPr="007C3556" w:rsidRDefault="00024018" w:rsidP="0018718F">
      <w:pPr>
        <w:pStyle w:val="VCAAHeading1"/>
      </w:pPr>
      <w:r w:rsidRPr="007C3556">
        <w:t xml:space="preserve">Specific </w:t>
      </w:r>
      <w:r w:rsidRPr="0018718F">
        <w:t>information</w:t>
      </w:r>
    </w:p>
    <w:p w14:paraId="25912D22" w14:textId="68947A68" w:rsidR="00E64F71" w:rsidRPr="0018718F" w:rsidRDefault="00567EB8" w:rsidP="0018718F">
      <w:pPr>
        <w:pStyle w:val="VCAAbody"/>
      </w:pPr>
      <w:r>
        <w:t xml:space="preserve">Note: </w:t>
      </w:r>
      <w:r w:rsidR="00E64F71" w:rsidRPr="0018718F">
        <w:t xml:space="preserve">This report provides sample </w:t>
      </w:r>
      <w:proofErr w:type="gramStart"/>
      <w:r w:rsidR="00E64F71" w:rsidRPr="0018718F">
        <w:t>answers</w:t>
      </w:r>
      <w:proofErr w:type="gramEnd"/>
      <w:r w:rsidR="00E64F71" w:rsidRPr="0018718F">
        <w:t xml:space="preserve"> or an indication of what answers may have included. Unless otherwise stated, these are not intended to be exemplary or complete responses. </w:t>
      </w:r>
    </w:p>
    <w:p w14:paraId="1D8385C7" w14:textId="77777777" w:rsidR="00677CBE" w:rsidRPr="0018718F" w:rsidRDefault="00677CBE" w:rsidP="0018718F">
      <w:pPr>
        <w:pStyle w:val="VCAAHeading2"/>
      </w:pPr>
      <w:r w:rsidRPr="0018718F">
        <w:t>Section 1</w:t>
      </w:r>
    </w:p>
    <w:p w14:paraId="0E17349D" w14:textId="479AED04" w:rsidR="00612560" w:rsidRPr="0018718F" w:rsidRDefault="00612560" w:rsidP="0018718F">
      <w:pPr>
        <w:pStyle w:val="VCAAHeading3"/>
      </w:pPr>
      <w:r w:rsidRPr="0018718F">
        <w:t>Question 1</w:t>
      </w:r>
    </w:p>
    <w:p w14:paraId="4DB4C7E1" w14:textId="6B320B35" w:rsidR="00612560" w:rsidRPr="007C3556" w:rsidRDefault="00130191" w:rsidP="0018718F">
      <w:pPr>
        <w:pStyle w:val="VCAAbody"/>
      </w:pPr>
      <w:r w:rsidRPr="007C3556">
        <w:t>Responses to</w:t>
      </w:r>
      <w:r w:rsidR="00EC66E8" w:rsidRPr="007C3556">
        <w:t xml:space="preserve"> Questions 1a</w:t>
      </w:r>
      <w:r w:rsidR="00D65B40" w:rsidRPr="007C3556">
        <w:t xml:space="preserve">. to </w:t>
      </w:r>
      <w:r w:rsidR="00EC66E8" w:rsidRPr="007C3556">
        <w:t>1h</w:t>
      </w:r>
      <w:r w:rsidR="00D65B40" w:rsidRPr="007C3556">
        <w:t>.</w:t>
      </w:r>
      <w:r w:rsidR="00EC66E8" w:rsidRPr="007C3556">
        <w:t xml:space="preserve"> were generally good. </w:t>
      </w:r>
    </w:p>
    <w:p w14:paraId="76FAB801" w14:textId="41CD7952" w:rsidR="006528B5" w:rsidRPr="0018718F" w:rsidRDefault="006528B5" w:rsidP="008266C0">
      <w:pPr>
        <w:pStyle w:val="VCAAHeading3"/>
      </w:pPr>
      <w:r w:rsidRPr="0018718F">
        <w:t>Question 1</w:t>
      </w:r>
      <w:r w:rsidR="00612560" w:rsidRPr="0018718F">
        <w:t xml:space="preserve">a. </w:t>
      </w:r>
    </w:p>
    <w:p w14:paraId="6AA94FF8" w14:textId="2B5A9AEE" w:rsidR="007C3556" w:rsidRPr="0018718F" w:rsidRDefault="007C3556" w:rsidP="0018718F">
      <w:pPr>
        <w:pStyle w:val="VCAAbody"/>
      </w:pPr>
      <w:r w:rsidRPr="0018718F">
        <w:t>man</w:t>
      </w:r>
      <w:r w:rsidRPr="0018718F">
        <w:tab/>
      </w:r>
      <w:r w:rsidRPr="0018718F">
        <w:tab/>
      </w:r>
      <w:r w:rsidRPr="007C4F5F">
        <w:rPr>
          <w:rStyle w:val="VCAAitalics"/>
        </w:rPr>
        <w:t>wati</w:t>
      </w:r>
      <w:r w:rsidRPr="0018718F">
        <w:tab/>
      </w:r>
      <w:r w:rsidRPr="0018718F">
        <w:tab/>
      </w:r>
      <w:r w:rsidRPr="007C4F5F">
        <w:rPr>
          <w:rStyle w:val="VCAAitalics"/>
        </w:rPr>
        <w:t>watingku</w:t>
      </w:r>
    </w:p>
    <w:p w14:paraId="7C6DCF6E" w14:textId="1184B684" w:rsidR="007C3556" w:rsidRPr="0018718F" w:rsidRDefault="007C3556" w:rsidP="0018718F">
      <w:pPr>
        <w:pStyle w:val="VCAAbody"/>
      </w:pPr>
      <w:r w:rsidRPr="0018718F">
        <w:t>woman</w:t>
      </w:r>
      <w:r w:rsidRPr="0018718F">
        <w:tab/>
      </w:r>
      <w:r w:rsidRPr="0018718F">
        <w:tab/>
      </w:r>
      <w:r w:rsidRPr="007C4F5F">
        <w:rPr>
          <w:rStyle w:val="VCAAitalics"/>
        </w:rPr>
        <w:t>kungka</w:t>
      </w:r>
      <w:r w:rsidRPr="0018718F">
        <w:tab/>
      </w:r>
      <w:r w:rsidRPr="0018718F">
        <w:tab/>
      </w:r>
      <w:r w:rsidRPr="007C4F5F">
        <w:rPr>
          <w:rStyle w:val="VCAAitalics"/>
        </w:rPr>
        <w:t>kungkangku</w:t>
      </w:r>
    </w:p>
    <w:p w14:paraId="1BBBB636" w14:textId="49851508" w:rsidR="007C3556" w:rsidRPr="0018718F" w:rsidRDefault="007C3556" w:rsidP="0018718F">
      <w:pPr>
        <w:pStyle w:val="VCAAbody"/>
      </w:pPr>
      <w:r w:rsidRPr="0018718F">
        <w:t>I/me</w:t>
      </w:r>
      <w:r w:rsidRPr="0018718F">
        <w:tab/>
      </w:r>
      <w:r w:rsidRPr="0018718F">
        <w:tab/>
      </w:r>
      <w:r w:rsidRPr="007C4F5F">
        <w:rPr>
          <w:rStyle w:val="VCAAitalics"/>
        </w:rPr>
        <w:t>ngayulu</w:t>
      </w:r>
      <w:r w:rsidRPr="0018718F">
        <w:tab/>
      </w:r>
      <w:r w:rsidRPr="0018718F">
        <w:tab/>
      </w:r>
      <w:r w:rsidRPr="007C4F5F">
        <w:rPr>
          <w:rStyle w:val="VCAAitalics"/>
        </w:rPr>
        <w:t>ngayinya</w:t>
      </w:r>
    </w:p>
    <w:p w14:paraId="0B49E3DA" w14:textId="3841A5DE" w:rsidR="007C3556" w:rsidRPr="0018718F" w:rsidRDefault="007C3556" w:rsidP="0018718F">
      <w:pPr>
        <w:pStyle w:val="VCAAbody"/>
      </w:pPr>
      <w:r w:rsidRPr="0018718F">
        <w:t>meat</w:t>
      </w:r>
      <w:r w:rsidRPr="0018718F">
        <w:tab/>
      </w:r>
      <w:r w:rsidRPr="0018718F">
        <w:tab/>
      </w:r>
      <w:r w:rsidRPr="007C4F5F">
        <w:rPr>
          <w:rStyle w:val="VCAAitalics"/>
        </w:rPr>
        <w:t>kuka</w:t>
      </w:r>
      <w:r w:rsidRPr="0018718F">
        <w:tab/>
      </w:r>
      <w:r w:rsidRPr="0018718F">
        <w:tab/>
      </w:r>
      <w:r w:rsidRPr="007C4F5F">
        <w:rPr>
          <w:rStyle w:val="VCAAitalics"/>
        </w:rPr>
        <w:t>kukaku</w:t>
      </w:r>
    </w:p>
    <w:p w14:paraId="2CB6D872" w14:textId="41CB8888" w:rsidR="007C3556" w:rsidRPr="0018718F" w:rsidRDefault="007C3556" w:rsidP="0018718F">
      <w:pPr>
        <w:pStyle w:val="VCAAbody"/>
      </w:pPr>
      <w:r w:rsidRPr="0018718F">
        <w:lastRenderedPageBreak/>
        <w:t>camp</w:t>
      </w:r>
      <w:r w:rsidRPr="0018718F">
        <w:tab/>
      </w:r>
      <w:r w:rsidRPr="0018718F">
        <w:tab/>
      </w:r>
      <w:r w:rsidRPr="007C4F5F">
        <w:rPr>
          <w:rStyle w:val="VCAAitalics"/>
        </w:rPr>
        <w:t>ngurakutu</w:t>
      </w:r>
      <w:r w:rsidRPr="0018718F">
        <w:tab/>
      </w:r>
      <w:r w:rsidRPr="007C4F5F">
        <w:rPr>
          <w:rStyle w:val="VCAAitalics"/>
        </w:rPr>
        <w:t>ngurangka</w:t>
      </w:r>
    </w:p>
    <w:p w14:paraId="7D9A545E" w14:textId="657482D1" w:rsidR="007C3556" w:rsidRPr="0018718F" w:rsidRDefault="007C3556" w:rsidP="0018718F">
      <w:pPr>
        <w:pStyle w:val="VCAAbody"/>
      </w:pPr>
      <w:r w:rsidRPr="0018718F">
        <w:t>firewood</w:t>
      </w:r>
      <w:r w:rsidRPr="0018718F">
        <w:tab/>
      </w:r>
      <w:r w:rsidRPr="007C4F5F">
        <w:rPr>
          <w:rStyle w:val="VCAAitalics"/>
        </w:rPr>
        <w:t>waṟu</w:t>
      </w:r>
      <w:r w:rsidRPr="0018718F">
        <w:tab/>
      </w:r>
      <w:r w:rsidRPr="0018718F">
        <w:tab/>
      </w:r>
      <w:r w:rsidRPr="007C4F5F">
        <w:rPr>
          <w:rStyle w:val="VCAAitalics"/>
        </w:rPr>
        <w:t>waṟuku</w:t>
      </w:r>
    </w:p>
    <w:p w14:paraId="04560202" w14:textId="1C14AD45" w:rsidR="007C3556" w:rsidRPr="0018718F" w:rsidRDefault="006F6DDF" w:rsidP="0018718F">
      <w:pPr>
        <w:pStyle w:val="VCAAbody"/>
      </w:pPr>
      <w:r>
        <w:t>One mark was given for each correct pair of words</w:t>
      </w:r>
      <w:r w:rsidR="007C3556" w:rsidRPr="0018718F">
        <w:t>.</w:t>
      </w:r>
    </w:p>
    <w:p w14:paraId="1D2CBBC0" w14:textId="77777777" w:rsidR="006528B5" w:rsidRPr="0018718F" w:rsidRDefault="006528B5" w:rsidP="008266C0">
      <w:pPr>
        <w:pStyle w:val="VCAAHeading3"/>
      </w:pPr>
      <w:r w:rsidRPr="0018718F">
        <w:t>Question 1</w:t>
      </w:r>
      <w:r w:rsidR="00612560" w:rsidRPr="0018718F">
        <w:t>b.</w:t>
      </w:r>
    </w:p>
    <w:p w14:paraId="44D5F2C5" w14:textId="3EC14229" w:rsidR="007C3556" w:rsidRPr="004E487F" w:rsidRDefault="007C3556" w:rsidP="0018718F">
      <w:pPr>
        <w:pStyle w:val="VCAAbody"/>
      </w:pPr>
      <w:r w:rsidRPr="0018718F">
        <w:t xml:space="preserve">The form </w:t>
      </w:r>
      <w:r w:rsidRPr="007C4F5F">
        <w:rPr>
          <w:rStyle w:val="VCAAitalics"/>
        </w:rPr>
        <w:t xml:space="preserve">kungka </w:t>
      </w:r>
      <w:r w:rsidRPr="0018718F">
        <w:t xml:space="preserve">is used as the subject of an intransitive sentence (e.g. Sentence 11, </w:t>
      </w:r>
      <w:r w:rsidRPr="007C4F5F">
        <w:rPr>
          <w:rStyle w:val="VCAAitalics"/>
        </w:rPr>
        <w:t xml:space="preserve">kungka waḻikutu yanu </w:t>
      </w:r>
      <w:r w:rsidRPr="0018718F">
        <w:t xml:space="preserve">‘The woman went towards the house’) and as the object of a transitive sentence (e.g. Sentence 6, </w:t>
      </w:r>
      <w:r w:rsidRPr="007C4F5F">
        <w:rPr>
          <w:rStyle w:val="VCAAitalics"/>
        </w:rPr>
        <w:t xml:space="preserve">watingku kungka nyangu </w:t>
      </w:r>
      <w:r w:rsidRPr="004E487F">
        <w:t xml:space="preserve">‘The man saw the woman’). </w:t>
      </w:r>
    </w:p>
    <w:p w14:paraId="7E42584B" w14:textId="1713F344" w:rsidR="007C3556" w:rsidRPr="004E487F" w:rsidRDefault="007C3556" w:rsidP="0018718F">
      <w:pPr>
        <w:pStyle w:val="VCAAbody"/>
      </w:pPr>
      <w:r w:rsidRPr="004E487F">
        <w:t xml:space="preserve">The form </w:t>
      </w:r>
      <w:r w:rsidRPr="007C4F5F">
        <w:rPr>
          <w:rStyle w:val="VCAAitalics"/>
        </w:rPr>
        <w:t xml:space="preserve">kungkangku </w:t>
      </w:r>
      <w:r w:rsidRPr="0018718F">
        <w:rPr>
          <w:rStyle w:val="VCAAbodyChar"/>
        </w:rPr>
        <w:t xml:space="preserve">is used as the subject of a transitive sentence (e.g. Sentence 5, </w:t>
      </w:r>
      <w:r w:rsidRPr="007C4F5F">
        <w:rPr>
          <w:rStyle w:val="VCAAitalics"/>
        </w:rPr>
        <w:t xml:space="preserve">kungkangku ngayinya nyangu </w:t>
      </w:r>
      <w:r w:rsidRPr="0018718F">
        <w:rPr>
          <w:rStyle w:val="VCAAbodyChar"/>
        </w:rPr>
        <w:t>‘The woman saw me’)</w:t>
      </w:r>
      <w:r w:rsidR="00D45207">
        <w:rPr>
          <w:rStyle w:val="VCAAbodyChar"/>
        </w:rPr>
        <w:t>.</w:t>
      </w:r>
    </w:p>
    <w:p w14:paraId="52423C7E" w14:textId="73683F68" w:rsidR="007C3556" w:rsidRPr="007C4F5F" w:rsidRDefault="007C3556" w:rsidP="007C4F5F">
      <w:pPr>
        <w:pStyle w:val="VCAAbody"/>
      </w:pPr>
      <w:r w:rsidRPr="007C4F5F">
        <w:t xml:space="preserve">Some students missed some key points in their answers. For example, </w:t>
      </w:r>
      <w:r w:rsidR="00446F6D" w:rsidRPr="007C4F5F">
        <w:t>the question</w:t>
      </w:r>
      <w:r w:rsidRPr="007C4F5F">
        <w:t xml:space="preserve"> asked for an explanation of the two different forms of the Yankunytjatjara word for women. The explanation is not complete unless the students point out that the form </w:t>
      </w:r>
      <w:r w:rsidRPr="007C4F5F">
        <w:rPr>
          <w:rStyle w:val="VCAAitalics"/>
        </w:rPr>
        <w:t xml:space="preserve">kungka </w:t>
      </w:r>
      <w:r w:rsidRPr="007C4F5F">
        <w:t>is used for both objects and intransitive subjects (</w:t>
      </w:r>
      <w:r w:rsidR="00AD4793">
        <w:t>S</w:t>
      </w:r>
      <w:r w:rsidRPr="007C4F5F">
        <w:t xml:space="preserve">entence 11), whereas </w:t>
      </w:r>
      <w:proofErr w:type="spellStart"/>
      <w:r w:rsidRPr="007C4F5F">
        <w:rPr>
          <w:rStyle w:val="VCAAitalics"/>
        </w:rPr>
        <w:t>kungkangku</w:t>
      </w:r>
      <w:proofErr w:type="spellEnd"/>
      <w:r w:rsidRPr="007C4F5F">
        <w:t xml:space="preserve"> is used for transitive subjects (sentence</w:t>
      </w:r>
      <w:r w:rsidR="00D655CF" w:rsidRPr="007C4F5F">
        <w:t>s</w:t>
      </w:r>
      <w:r w:rsidRPr="007C4F5F">
        <w:t xml:space="preserve"> 4</w:t>
      </w:r>
      <w:r w:rsidR="00D655CF" w:rsidRPr="007C4F5F">
        <w:t xml:space="preserve"> and</w:t>
      </w:r>
      <w:r w:rsidRPr="007C4F5F">
        <w:t xml:space="preserve"> 5)</w:t>
      </w:r>
      <w:r w:rsidR="00EA69B0" w:rsidRPr="007C4F5F">
        <w:t>.</w:t>
      </w:r>
    </w:p>
    <w:p w14:paraId="0953E777" w14:textId="1D06EF67" w:rsidR="006528B5" w:rsidRPr="007C4F5F" w:rsidRDefault="006528B5" w:rsidP="008266C0">
      <w:pPr>
        <w:pStyle w:val="VCAAHeading3"/>
      </w:pPr>
      <w:r w:rsidRPr="0018718F">
        <w:t>Question 1c</w:t>
      </w:r>
      <w:r w:rsidR="00612560" w:rsidRPr="007C4F5F">
        <w:t>.</w:t>
      </w:r>
    </w:p>
    <w:p w14:paraId="6939D845" w14:textId="46151878" w:rsidR="007C3556" w:rsidRPr="004E487F" w:rsidRDefault="007C3556" w:rsidP="0018718F">
      <w:pPr>
        <w:pStyle w:val="VCAAbody"/>
      </w:pPr>
      <w:r w:rsidRPr="0018718F">
        <w:t xml:space="preserve">The form </w:t>
      </w:r>
      <w:r w:rsidRPr="007C4F5F">
        <w:rPr>
          <w:rStyle w:val="VCAAitalics"/>
        </w:rPr>
        <w:t xml:space="preserve">ngayulu </w:t>
      </w:r>
      <w:r w:rsidRPr="0018718F">
        <w:t>is used as the subject of an intransitive sentence (e.g. Sentence 1</w:t>
      </w:r>
      <w:r w:rsidR="00EA69B0">
        <w:t>,</w:t>
      </w:r>
      <w:r w:rsidRPr="0018718F">
        <w:t xml:space="preserve"> </w:t>
      </w:r>
      <w:r w:rsidRPr="007C4F5F">
        <w:rPr>
          <w:rStyle w:val="VCAAitalics"/>
        </w:rPr>
        <w:t xml:space="preserve">ngayulu kuwari yananyi </w:t>
      </w:r>
      <w:r w:rsidRPr="0018718F">
        <w:t>‘I’m going now’) and as the subject of a transitive sentence (e.g. Sentence 7</w:t>
      </w:r>
      <w:r w:rsidR="005F3B40">
        <w:t>,</w:t>
      </w:r>
      <w:r w:rsidRPr="0018718F">
        <w:t xml:space="preserve"> </w:t>
      </w:r>
      <w:r w:rsidRPr="007C4F5F">
        <w:rPr>
          <w:rStyle w:val="VCAAitalics"/>
        </w:rPr>
        <w:t xml:space="preserve">ngayulu makaṯi katingu </w:t>
      </w:r>
      <w:r w:rsidRPr="004E487F">
        <w:t xml:space="preserve">‘I took the rifle’). </w:t>
      </w:r>
    </w:p>
    <w:p w14:paraId="6B2AB617" w14:textId="32589A3F" w:rsidR="007C3556" w:rsidRPr="0018718F" w:rsidRDefault="007C3556" w:rsidP="0018718F">
      <w:pPr>
        <w:pStyle w:val="VCAAbody"/>
        <w:rPr>
          <w:rStyle w:val="VCAAbodyChar"/>
        </w:rPr>
      </w:pPr>
      <w:r w:rsidRPr="004E487F">
        <w:t xml:space="preserve">The form </w:t>
      </w:r>
      <w:r w:rsidRPr="007C4F5F">
        <w:rPr>
          <w:rStyle w:val="VCAAitalics"/>
        </w:rPr>
        <w:t xml:space="preserve">ngayinya </w:t>
      </w:r>
      <w:r w:rsidRPr="0018718F">
        <w:rPr>
          <w:rStyle w:val="VCAAbodyChar"/>
        </w:rPr>
        <w:t>is used as the object of a transitive sentence (e.g. Sentence 5</w:t>
      </w:r>
      <w:r w:rsidR="005F3B40">
        <w:rPr>
          <w:rStyle w:val="VCAAbodyChar"/>
        </w:rPr>
        <w:t>,</w:t>
      </w:r>
      <w:r w:rsidRPr="0018718F">
        <w:rPr>
          <w:rStyle w:val="VCAAbodyChar"/>
        </w:rPr>
        <w:t xml:space="preserve"> </w:t>
      </w:r>
      <w:r w:rsidRPr="007C4F5F">
        <w:rPr>
          <w:rStyle w:val="VCAAitalics"/>
        </w:rPr>
        <w:t xml:space="preserve">kungkangku ngayinya nyangu </w:t>
      </w:r>
      <w:r w:rsidRPr="0018718F">
        <w:rPr>
          <w:rStyle w:val="VCAAbodyChar"/>
        </w:rPr>
        <w:t>‘The woman saw me’)</w:t>
      </w:r>
      <w:r w:rsidR="005F3B40">
        <w:rPr>
          <w:rStyle w:val="VCAAbodyChar"/>
        </w:rPr>
        <w:t>.</w:t>
      </w:r>
    </w:p>
    <w:p w14:paraId="7667DDC4" w14:textId="1239A08A" w:rsidR="006528B5" w:rsidRPr="007C4F5F" w:rsidRDefault="006528B5" w:rsidP="008266C0">
      <w:pPr>
        <w:pStyle w:val="VCAAHeading3"/>
      </w:pPr>
      <w:r w:rsidRPr="0018718F">
        <w:t>Question 1</w:t>
      </w:r>
      <w:r w:rsidR="00612560" w:rsidRPr="0018718F">
        <w:t>d</w:t>
      </w:r>
      <w:r w:rsidR="00612560" w:rsidRPr="007C4F5F">
        <w:t>.</w:t>
      </w:r>
    </w:p>
    <w:p w14:paraId="5AC80454" w14:textId="0EF33A72" w:rsidR="007C3556" w:rsidRPr="0018718F" w:rsidRDefault="007C3556" w:rsidP="007C3556">
      <w:pPr>
        <w:rPr>
          <w:rStyle w:val="VCAAbodyChar"/>
        </w:rPr>
      </w:pPr>
      <w:r w:rsidRPr="0018718F">
        <w:rPr>
          <w:rStyle w:val="VCAAbodyChar"/>
        </w:rPr>
        <w:t xml:space="preserve">The different patterns here relate to the fact that </w:t>
      </w:r>
      <w:r w:rsidRPr="007C4F5F">
        <w:rPr>
          <w:rStyle w:val="VCAAitalics"/>
        </w:rPr>
        <w:t xml:space="preserve">ngayinya/ngayulu </w:t>
      </w:r>
      <w:r w:rsidRPr="0018718F">
        <w:rPr>
          <w:rStyle w:val="VCAAbodyChar"/>
        </w:rPr>
        <w:t xml:space="preserve">is a pronoun, whereas words </w:t>
      </w:r>
      <w:r w:rsidR="00764753">
        <w:rPr>
          <w:rStyle w:val="VCAAbodyChar"/>
        </w:rPr>
        <w:t>such as</w:t>
      </w:r>
      <w:r w:rsidR="00764753" w:rsidRPr="0018718F">
        <w:rPr>
          <w:rStyle w:val="VCAAbodyChar"/>
        </w:rPr>
        <w:t xml:space="preserve"> </w:t>
      </w:r>
      <w:r w:rsidRPr="007C4F5F">
        <w:rPr>
          <w:rStyle w:val="VCAAitalics"/>
        </w:rPr>
        <w:t xml:space="preserve">kungka/kungkangku </w:t>
      </w:r>
      <w:r w:rsidRPr="0018718F">
        <w:rPr>
          <w:rStyle w:val="VCAAbodyChar"/>
        </w:rPr>
        <w:t xml:space="preserve">are nouns. The word </w:t>
      </w:r>
      <w:r w:rsidR="008C753B">
        <w:rPr>
          <w:rStyle w:val="VCAAbodyChar"/>
        </w:rPr>
        <w:t xml:space="preserve">for </w:t>
      </w:r>
      <w:r w:rsidRPr="0018718F">
        <w:rPr>
          <w:rStyle w:val="VCAAbodyChar"/>
        </w:rPr>
        <w:t>‘woman’, a noun</w:t>
      </w:r>
      <w:r w:rsidR="006B5DD8">
        <w:rPr>
          <w:rStyle w:val="VCAAbodyChar"/>
        </w:rPr>
        <w:t>,</w:t>
      </w:r>
      <w:r w:rsidRPr="0018718F">
        <w:rPr>
          <w:rStyle w:val="VCAAbodyChar"/>
        </w:rPr>
        <w:t xml:space="preserve"> has the pattern where</w:t>
      </w:r>
      <w:r w:rsidR="008C753B">
        <w:rPr>
          <w:rStyle w:val="VCAAbodyChar"/>
        </w:rPr>
        <w:t xml:space="preserve"> </w:t>
      </w:r>
      <w:r w:rsidRPr="0018718F">
        <w:rPr>
          <w:rStyle w:val="VCAAbodyChar"/>
        </w:rPr>
        <w:t xml:space="preserve">the subject of the transitive sentence (ergative, marked with </w:t>
      </w:r>
      <w:r w:rsidRPr="007C4F5F">
        <w:rPr>
          <w:rStyle w:val="VCAAitalics"/>
        </w:rPr>
        <w:t>-ngku</w:t>
      </w:r>
      <w:r w:rsidRPr="0018718F">
        <w:rPr>
          <w:rStyle w:val="VCAAbodyChar"/>
        </w:rPr>
        <w:t xml:space="preserve">) is different from the subject of </w:t>
      </w:r>
      <w:r w:rsidR="00AD4793">
        <w:rPr>
          <w:rStyle w:val="VCAAbodyChar"/>
        </w:rPr>
        <w:t xml:space="preserve">an </w:t>
      </w:r>
      <w:r w:rsidRPr="0018718F">
        <w:rPr>
          <w:rStyle w:val="VCAAbodyChar"/>
        </w:rPr>
        <w:t xml:space="preserve">intransitive sentence </w:t>
      </w:r>
      <w:r w:rsidR="008C753B">
        <w:rPr>
          <w:rStyle w:val="VCAAbodyChar"/>
        </w:rPr>
        <w:t xml:space="preserve">or  the </w:t>
      </w:r>
      <w:r w:rsidRPr="0018718F">
        <w:rPr>
          <w:rStyle w:val="VCAAbodyChar"/>
        </w:rPr>
        <w:t>object (absolutive)</w:t>
      </w:r>
      <w:r w:rsidR="008C753B">
        <w:rPr>
          <w:rStyle w:val="VCAAbodyChar"/>
        </w:rPr>
        <w:t xml:space="preserve"> of a transitive sentence</w:t>
      </w:r>
      <w:r w:rsidRPr="0018718F">
        <w:rPr>
          <w:rStyle w:val="VCAAbodyChar"/>
        </w:rPr>
        <w:t xml:space="preserve">. The words for ‘I’ and ‘me’, pronouns, have a pattern where the subjects of both transitive and </w:t>
      </w:r>
      <w:r w:rsidR="006B5DD8" w:rsidRPr="0018718F">
        <w:rPr>
          <w:rStyle w:val="VCAAbodyChar"/>
        </w:rPr>
        <w:t>intransitive</w:t>
      </w:r>
      <w:r w:rsidRPr="0018718F">
        <w:rPr>
          <w:rStyle w:val="VCAAbodyChar"/>
        </w:rPr>
        <w:t xml:space="preserve"> verbs pattern together (nominative) and the object has a different pattern (accusative)</w:t>
      </w:r>
      <w:r w:rsidR="00764753">
        <w:rPr>
          <w:rStyle w:val="VCAAbodyChar"/>
        </w:rPr>
        <w:t>.</w:t>
      </w:r>
    </w:p>
    <w:p w14:paraId="465AE2A2" w14:textId="560C3552" w:rsidR="007C3556" w:rsidRPr="004E487F" w:rsidRDefault="00764753" w:rsidP="0018718F">
      <w:pPr>
        <w:pStyle w:val="VCAAbody"/>
      </w:pPr>
      <w:r w:rsidRPr="007C4F5F">
        <w:rPr>
          <w:rStyle w:val="VCAAitalics"/>
        </w:rPr>
        <w:t>K</w:t>
      </w:r>
      <w:r w:rsidR="007C3556" w:rsidRPr="007C4F5F">
        <w:rPr>
          <w:rStyle w:val="VCAAitalics"/>
        </w:rPr>
        <w:t>ungka</w:t>
      </w:r>
      <w:r w:rsidR="007C3556" w:rsidRPr="0018718F">
        <w:t xml:space="preserve"> is both</w:t>
      </w:r>
      <w:r w:rsidR="006B5DD8">
        <w:t xml:space="preserve"> the</w:t>
      </w:r>
      <w:r w:rsidR="007C3556" w:rsidRPr="0018718F">
        <w:t xml:space="preserve"> subject of an intransitive verb and object; </w:t>
      </w:r>
      <w:r w:rsidR="007C3556" w:rsidRPr="007C4F5F">
        <w:rPr>
          <w:rStyle w:val="VCAAitalics"/>
        </w:rPr>
        <w:t>kungkangku</w:t>
      </w:r>
      <w:r w:rsidR="007C3556" w:rsidRPr="004E487F">
        <w:t xml:space="preserve"> is the agent (subject of a transitive verb)</w:t>
      </w:r>
      <w:r>
        <w:t>.</w:t>
      </w:r>
    </w:p>
    <w:p w14:paraId="00F8930A" w14:textId="1F600C0A" w:rsidR="007C3556" w:rsidRPr="004E487F" w:rsidRDefault="007C3556" w:rsidP="0018718F">
      <w:pPr>
        <w:pStyle w:val="VCAAbody"/>
        <w:rPr>
          <w:lang w:bidi="th-TH"/>
        </w:rPr>
      </w:pPr>
      <w:r w:rsidRPr="004E487F">
        <w:rPr>
          <w:lang w:bidi="th-TH"/>
        </w:rPr>
        <w:t xml:space="preserve">Students need to make sure to answer all aspects of a question. </w:t>
      </w:r>
      <w:r w:rsidR="008602BB">
        <w:rPr>
          <w:lang w:bidi="th-TH"/>
        </w:rPr>
        <w:t>This question</w:t>
      </w:r>
      <w:r w:rsidRPr="004E487F">
        <w:rPr>
          <w:lang w:bidi="th-TH"/>
        </w:rPr>
        <w:t xml:space="preserve"> ask</w:t>
      </w:r>
      <w:r w:rsidR="008602BB">
        <w:rPr>
          <w:lang w:bidi="th-TH"/>
        </w:rPr>
        <w:t>ed</w:t>
      </w:r>
      <w:r w:rsidRPr="004E487F">
        <w:rPr>
          <w:lang w:bidi="th-TH"/>
        </w:rPr>
        <w:t xml:space="preserve"> student</w:t>
      </w:r>
      <w:r w:rsidR="008602BB">
        <w:rPr>
          <w:lang w:bidi="th-TH"/>
        </w:rPr>
        <w:t>s</w:t>
      </w:r>
      <w:r w:rsidRPr="004E487F">
        <w:rPr>
          <w:lang w:bidi="th-TH"/>
        </w:rPr>
        <w:t xml:space="preserve"> to ‘consider what part of speech or word class’ the words for ‘woman’ (noun) and ‘I/me’ (pronoun) belong to. Not all the students did so in their answers, but an understanding that the difference in the grammar between pronouns and nouns is a key aspect to answering this question.</w:t>
      </w:r>
    </w:p>
    <w:p w14:paraId="5B2DA113" w14:textId="74085F2E" w:rsidR="007C3556" w:rsidRPr="004E487F" w:rsidRDefault="008602BB" w:rsidP="0018718F">
      <w:pPr>
        <w:pStyle w:val="VCAAbody"/>
        <w:rPr>
          <w:lang w:bidi="th-TH"/>
        </w:rPr>
      </w:pPr>
      <w:r>
        <w:rPr>
          <w:lang w:bidi="th-TH"/>
        </w:rPr>
        <w:t>T</w:t>
      </w:r>
      <w:r w:rsidR="007B455F">
        <w:rPr>
          <w:lang w:bidi="th-TH"/>
        </w:rPr>
        <w:t xml:space="preserve">his question specifically mentions parts of speech, but </w:t>
      </w:r>
      <w:r>
        <w:rPr>
          <w:lang w:bidi="th-TH"/>
        </w:rPr>
        <w:t>most students did not correctly</w:t>
      </w:r>
      <w:r w:rsidR="007B455F">
        <w:rPr>
          <w:lang w:bidi="th-TH"/>
        </w:rPr>
        <w:t xml:space="preserve"> answer that pronouns (</w:t>
      </w:r>
      <w:r w:rsidR="009719B6">
        <w:rPr>
          <w:lang w:bidi="th-TH"/>
        </w:rPr>
        <w:t xml:space="preserve">as </w:t>
      </w:r>
      <w:r w:rsidR="007B455F">
        <w:rPr>
          <w:lang w:bidi="th-TH"/>
        </w:rPr>
        <w:t>one part of speech) behave differently from another part of speech, nouns.</w:t>
      </w:r>
    </w:p>
    <w:p w14:paraId="552DE32F" w14:textId="77777777" w:rsidR="006528B5" w:rsidRPr="007C4F5F" w:rsidRDefault="006528B5" w:rsidP="008266C0">
      <w:pPr>
        <w:pStyle w:val="VCAAHeading3"/>
      </w:pPr>
      <w:r w:rsidRPr="0018718F">
        <w:t>Question 1</w:t>
      </w:r>
      <w:r w:rsidR="00612560" w:rsidRPr="0018718F">
        <w:t>e</w:t>
      </w:r>
      <w:r w:rsidR="00612560" w:rsidRPr="007C4F5F">
        <w:t>.</w:t>
      </w:r>
    </w:p>
    <w:p w14:paraId="5BEE5436" w14:textId="38B1383E" w:rsidR="007C3556" w:rsidRPr="0018718F" w:rsidRDefault="007C3556" w:rsidP="007C3556">
      <w:pPr>
        <w:rPr>
          <w:rStyle w:val="VCAAbodyChar"/>
        </w:rPr>
      </w:pPr>
      <w:r w:rsidRPr="0018718F">
        <w:rPr>
          <w:rStyle w:val="VCAAbodyChar"/>
        </w:rPr>
        <w:t xml:space="preserve">The </w:t>
      </w:r>
      <w:r w:rsidR="00D8429C">
        <w:rPr>
          <w:rStyle w:val="VCAAbodyChar"/>
        </w:rPr>
        <w:t>word</w:t>
      </w:r>
      <w:r w:rsidRPr="0018718F">
        <w:rPr>
          <w:rStyle w:val="VCAAbodyChar"/>
        </w:rPr>
        <w:t xml:space="preserve"> </w:t>
      </w:r>
      <w:proofErr w:type="spellStart"/>
      <w:r w:rsidRPr="007C4F5F">
        <w:rPr>
          <w:rStyle w:val="VCAAitalics"/>
        </w:rPr>
        <w:t>ngurakutu</w:t>
      </w:r>
      <w:proofErr w:type="spellEnd"/>
      <w:r w:rsidRPr="007C4F5F">
        <w:rPr>
          <w:rStyle w:val="VCAAitalics"/>
        </w:rPr>
        <w:t xml:space="preserve"> </w:t>
      </w:r>
      <w:r w:rsidRPr="0018718F">
        <w:rPr>
          <w:rStyle w:val="VCAAbodyChar"/>
        </w:rPr>
        <w:t xml:space="preserve">means ‘to camp’ (e.g. Sentence 10) while </w:t>
      </w:r>
      <w:r w:rsidRPr="007C4F5F">
        <w:rPr>
          <w:rStyle w:val="VCAAitalics"/>
        </w:rPr>
        <w:t xml:space="preserve">ngurangka </w:t>
      </w:r>
      <w:r w:rsidRPr="0018718F">
        <w:rPr>
          <w:rStyle w:val="VCAAbodyChar"/>
        </w:rPr>
        <w:t xml:space="preserve">means ‘at the camp’ or ‘in the camp’ (e.g. Sentence 12). (Students may note that the </w:t>
      </w:r>
      <w:r w:rsidRPr="007C4F5F">
        <w:rPr>
          <w:rStyle w:val="VCAAitalics"/>
        </w:rPr>
        <w:t xml:space="preserve">-kutu </w:t>
      </w:r>
      <w:r w:rsidRPr="0018718F">
        <w:rPr>
          <w:rStyle w:val="VCAAbodyChar"/>
        </w:rPr>
        <w:t xml:space="preserve">form may be an allative form while the </w:t>
      </w:r>
      <w:r w:rsidRPr="007C4F5F">
        <w:rPr>
          <w:rStyle w:val="VCAAitalics"/>
        </w:rPr>
        <w:t xml:space="preserve">-ngka </w:t>
      </w:r>
      <w:r w:rsidRPr="0018718F">
        <w:rPr>
          <w:rStyle w:val="VCAAbodyChar"/>
        </w:rPr>
        <w:t>form may be a locative form; however, this terminology is not required provided the response shows a good understanding</w:t>
      </w:r>
      <w:r w:rsidR="00D8429C">
        <w:rPr>
          <w:rStyle w:val="VCAAbodyChar"/>
        </w:rPr>
        <w:t xml:space="preserve"> of</w:t>
      </w:r>
      <w:r w:rsidRPr="0018718F">
        <w:rPr>
          <w:rStyle w:val="VCAAbodyChar"/>
        </w:rPr>
        <w:t xml:space="preserve"> the conceptual distinction, </w:t>
      </w:r>
      <w:r w:rsidR="00B35810">
        <w:rPr>
          <w:rStyle w:val="VCAAbodyChar"/>
        </w:rPr>
        <w:t>for example,</w:t>
      </w:r>
      <w:r w:rsidRPr="0018718F">
        <w:rPr>
          <w:rStyle w:val="VCAAbodyChar"/>
        </w:rPr>
        <w:t xml:space="preserve"> through suitable English translations.)</w:t>
      </w:r>
    </w:p>
    <w:p w14:paraId="613343FC" w14:textId="77777777" w:rsidR="006528B5" w:rsidRPr="007C4F5F" w:rsidRDefault="006528B5" w:rsidP="008266C0">
      <w:pPr>
        <w:pStyle w:val="VCAAHeading3"/>
      </w:pPr>
      <w:r w:rsidRPr="0018718F">
        <w:lastRenderedPageBreak/>
        <w:t>Question 1</w:t>
      </w:r>
      <w:r w:rsidR="00612560" w:rsidRPr="0018718F">
        <w:t>f</w:t>
      </w:r>
      <w:r w:rsidR="00612560" w:rsidRPr="007C4F5F">
        <w:t>.</w:t>
      </w:r>
    </w:p>
    <w:p w14:paraId="42C0138E" w14:textId="314C2457" w:rsidR="007C3556" w:rsidRPr="0018718F" w:rsidRDefault="007C3556" w:rsidP="007C3556">
      <w:pPr>
        <w:rPr>
          <w:rStyle w:val="VCAAbodyChar"/>
        </w:rPr>
      </w:pPr>
      <w:r w:rsidRPr="0018718F">
        <w:rPr>
          <w:rStyle w:val="VCAAbodyChar"/>
        </w:rPr>
        <w:t xml:space="preserve">In Yankunytjatjara, the suffix </w:t>
      </w:r>
      <w:r w:rsidRPr="007C4F5F">
        <w:rPr>
          <w:rStyle w:val="VCAAitalics"/>
        </w:rPr>
        <w:t xml:space="preserve">-ku </w:t>
      </w:r>
      <w:r w:rsidRPr="0018718F">
        <w:rPr>
          <w:rStyle w:val="VCAAbodyChar"/>
        </w:rPr>
        <w:t xml:space="preserve">on a noun indicates purpose. (Optional: this is known as ‘purposive case’ in some Australian languages.) This is different from English, which uses a separate word, the preposition ‘for’. </w:t>
      </w:r>
    </w:p>
    <w:p w14:paraId="271FF9F1" w14:textId="77777777" w:rsidR="006528B5" w:rsidRPr="007C4F5F" w:rsidRDefault="006528B5" w:rsidP="008266C0">
      <w:pPr>
        <w:pStyle w:val="VCAAHeading3"/>
      </w:pPr>
      <w:r w:rsidRPr="0018718F">
        <w:t>Question 1</w:t>
      </w:r>
      <w:r w:rsidR="00612560" w:rsidRPr="0018718F">
        <w:t>g</w:t>
      </w:r>
      <w:r w:rsidR="00612560" w:rsidRPr="007C4F5F">
        <w:t>.</w:t>
      </w:r>
    </w:p>
    <w:p w14:paraId="423AC461" w14:textId="77777777" w:rsidR="007C3556" w:rsidRPr="004E487F" w:rsidRDefault="007C3556" w:rsidP="0018718F">
      <w:pPr>
        <w:pStyle w:val="VCAAbody"/>
      </w:pPr>
      <w:r w:rsidRPr="0018718F">
        <w:t xml:space="preserve">In Yankunytjatjara, word order in this data set follows the pattern ‘Subject-Object-Verb’. An example is Sentence 7, </w:t>
      </w:r>
      <w:r w:rsidRPr="007C4F5F">
        <w:rPr>
          <w:rStyle w:val="VCAAitalics"/>
        </w:rPr>
        <w:t xml:space="preserve">ngayulu </w:t>
      </w:r>
      <w:r w:rsidRPr="0018718F">
        <w:t xml:space="preserve">‘I’ </w:t>
      </w:r>
      <w:r w:rsidRPr="007C4F5F">
        <w:rPr>
          <w:rStyle w:val="VCAAitalics"/>
        </w:rPr>
        <w:t xml:space="preserve">makaṯi </w:t>
      </w:r>
      <w:r w:rsidRPr="0018718F">
        <w:t xml:space="preserve">‘rifle’ </w:t>
      </w:r>
      <w:r w:rsidRPr="007C4F5F">
        <w:rPr>
          <w:rStyle w:val="VCAAitalics"/>
        </w:rPr>
        <w:t xml:space="preserve">katingu </w:t>
      </w:r>
      <w:r w:rsidRPr="004E487F">
        <w:t xml:space="preserve">‘took’ = ‘I took the rifle’. </w:t>
      </w:r>
    </w:p>
    <w:p w14:paraId="638C9667" w14:textId="5D87FD20" w:rsidR="007C3556" w:rsidRPr="0018718F" w:rsidRDefault="007C3556" w:rsidP="0018718F">
      <w:pPr>
        <w:pStyle w:val="VCAAbody"/>
        <w:rPr>
          <w:rStyle w:val="VCAAbodyChar"/>
        </w:rPr>
      </w:pPr>
      <w:r w:rsidRPr="004E487F">
        <w:t xml:space="preserve">(Note: students should avoid confusing grammatical objects with other words that may appear in </w:t>
      </w:r>
      <w:r w:rsidR="00D8429C">
        <w:t xml:space="preserve">a </w:t>
      </w:r>
      <w:r w:rsidRPr="004E487F">
        <w:t xml:space="preserve">pre-verbal position, such as </w:t>
      </w:r>
      <w:r w:rsidRPr="007C4F5F">
        <w:rPr>
          <w:rStyle w:val="VCAAitalics"/>
        </w:rPr>
        <w:t xml:space="preserve">kuwari </w:t>
      </w:r>
      <w:r w:rsidRPr="0018718F">
        <w:rPr>
          <w:rStyle w:val="VCAAbodyChar"/>
        </w:rPr>
        <w:t xml:space="preserve">‘now’ in Sentence 1 or </w:t>
      </w:r>
      <w:r w:rsidRPr="007C4F5F">
        <w:rPr>
          <w:rStyle w:val="VCAAitalics"/>
        </w:rPr>
        <w:t xml:space="preserve">ngurangka </w:t>
      </w:r>
      <w:r w:rsidRPr="0018718F">
        <w:rPr>
          <w:rStyle w:val="VCAAbodyChar"/>
        </w:rPr>
        <w:t>‘at the camp’ in Sentence 12).</w:t>
      </w:r>
    </w:p>
    <w:p w14:paraId="09A5C0C8" w14:textId="77777777" w:rsidR="006528B5" w:rsidRPr="007C4F5F" w:rsidRDefault="006528B5" w:rsidP="008266C0">
      <w:pPr>
        <w:pStyle w:val="VCAAHeading3"/>
      </w:pPr>
      <w:r w:rsidRPr="0018718F">
        <w:t>Question 1</w:t>
      </w:r>
      <w:r w:rsidR="00612560" w:rsidRPr="0018718F">
        <w:t>h</w:t>
      </w:r>
      <w:r w:rsidR="00612560" w:rsidRPr="007C4F5F">
        <w:t>.</w:t>
      </w:r>
    </w:p>
    <w:p w14:paraId="647C5B03" w14:textId="58F503CE" w:rsidR="007C3556" w:rsidRPr="004E487F" w:rsidRDefault="007C3556" w:rsidP="0018718F">
      <w:pPr>
        <w:pStyle w:val="VCAAbody"/>
      </w:pPr>
      <w:r w:rsidRPr="004E487F">
        <w:t xml:space="preserve">Students </w:t>
      </w:r>
      <w:r w:rsidR="00D8429C">
        <w:t>needed to provide</w:t>
      </w:r>
      <w:r w:rsidR="00D8429C" w:rsidRPr="004E487F">
        <w:t xml:space="preserve"> </w:t>
      </w:r>
      <w:r w:rsidRPr="004E487F">
        <w:t>any sentence that include</w:t>
      </w:r>
      <w:r w:rsidR="00CB4443">
        <w:t>s</w:t>
      </w:r>
      <w:r w:rsidRPr="004E487F">
        <w:t xml:space="preserve"> words other than subject, object and verb. </w:t>
      </w:r>
    </w:p>
    <w:p w14:paraId="11BC6453" w14:textId="72E8C640" w:rsidR="007C3556" w:rsidRPr="004E487F" w:rsidRDefault="007C3556" w:rsidP="0018718F">
      <w:pPr>
        <w:pStyle w:val="VCAAbody"/>
      </w:pPr>
      <w:r w:rsidRPr="004E487F">
        <w:t xml:space="preserve">For example, in Sentence 1, </w:t>
      </w:r>
      <w:r w:rsidRPr="007C4F5F">
        <w:rPr>
          <w:rStyle w:val="VCAAitalics"/>
        </w:rPr>
        <w:t xml:space="preserve">ngayulu kuwari yananyi </w:t>
      </w:r>
      <w:r w:rsidRPr="0018718F">
        <w:t xml:space="preserve">‘I’m going now’, the word for ‘now’ is </w:t>
      </w:r>
      <w:r w:rsidRPr="007C4F5F">
        <w:rPr>
          <w:rStyle w:val="VCAAitalics"/>
        </w:rPr>
        <w:t xml:space="preserve">kuwari </w:t>
      </w:r>
      <w:r w:rsidRPr="004E487F">
        <w:t>and this appears after the subject and before the verb. In the English translation provided</w:t>
      </w:r>
      <w:r w:rsidR="00D8429C">
        <w:t>,</w:t>
      </w:r>
      <w:r w:rsidRPr="004E487F">
        <w:t xml:space="preserve"> however, the word ‘now’ appears after the verb, at the end of the sentence. (English also allows ‘Now I’m going’, where ‘now’ appears at the start of the sentence</w:t>
      </w:r>
      <w:r w:rsidR="00CB4443">
        <w:t>.</w:t>
      </w:r>
      <w:r w:rsidRPr="004E487F">
        <w:t>)</w:t>
      </w:r>
    </w:p>
    <w:p w14:paraId="03617CA7" w14:textId="670A6A07" w:rsidR="007C3556" w:rsidRPr="004E487F" w:rsidRDefault="007C3556" w:rsidP="0018718F">
      <w:pPr>
        <w:pStyle w:val="VCAAbody"/>
      </w:pPr>
      <w:r w:rsidRPr="004E487F">
        <w:t>Similar examples include Sentences 2 and 8</w:t>
      </w:r>
      <w:r w:rsidR="006920DB">
        <w:t>–</w:t>
      </w:r>
      <w:r w:rsidRPr="004E487F">
        <w:t xml:space="preserve">13. Where a sentence has both an object and an additional </w:t>
      </w:r>
      <w:proofErr w:type="gramStart"/>
      <w:r w:rsidRPr="004E487F">
        <w:t>word</w:t>
      </w:r>
      <w:proofErr w:type="gramEnd"/>
      <w:r w:rsidRPr="004E487F">
        <w:t xml:space="preserve"> (e.g. a noun marking the location of an event), the additional word appears between the object and the final verb in this data. A noun ending in </w:t>
      </w:r>
      <w:r w:rsidRPr="007C4F5F">
        <w:rPr>
          <w:rStyle w:val="VCAAitalics"/>
        </w:rPr>
        <w:t>-ku</w:t>
      </w:r>
      <w:r w:rsidR="009C060B">
        <w:t>,</w:t>
      </w:r>
      <w:r w:rsidRPr="007C4F5F">
        <w:rPr>
          <w:rStyle w:val="VCAAitalics"/>
        </w:rPr>
        <w:t xml:space="preserve"> </w:t>
      </w:r>
      <w:r w:rsidRPr="004E487F">
        <w:t>indicating a purpose</w:t>
      </w:r>
      <w:r w:rsidR="009C060B">
        <w:t>,</w:t>
      </w:r>
      <w:r w:rsidRPr="004E487F">
        <w:t xml:space="preserve"> may either appear before the final verb (Sentence 8) or at the end of the sentence after a comma (Sentence 10). </w:t>
      </w:r>
    </w:p>
    <w:p w14:paraId="311A996B" w14:textId="634F58DD" w:rsidR="007C3556" w:rsidRPr="0018718F" w:rsidRDefault="007C3556" w:rsidP="0018718F">
      <w:pPr>
        <w:pStyle w:val="VCAAbody"/>
      </w:pPr>
      <w:r w:rsidRPr="004E487F">
        <w:t>Sentence 12 includes a locative</w:t>
      </w:r>
      <w:r w:rsidR="00E16354">
        <w:t>,</w:t>
      </w:r>
      <w:r w:rsidRPr="004E487F">
        <w:t xml:space="preserve"> ‘at the camp’</w:t>
      </w:r>
      <w:r w:rsidR="00E16354">
        <w:t>,</w:t>
      </w:r>
      <w:r w:rsidRPr="004E487F">
        <w:t xml:space="preserve"> which is not subj</w:t>
      </w:r>
      <w:r w:rsidR="00E16354">
        <w:t>e</w:t>
      </w:r>
      <w:r w:rsidRPr="004E487F">
        <w:t xml:space="preserve">ct, object or verb. The student would </w:t>
      </w:r>
      <w:r w:rsidR="003D6CB8">
        <w:t xml:space="preserve">need to </w:t>
      </w:r>
      <w:r w:rsidRPr="004E487F">
        <w:t>point out that the order is ‘subject</w:t>
      </w:r>
      <w:r w:rsidR="00637C91">
        <w:t>-</w:t>
      </w:r>
      <w:r w:rsidRPr="004E487F">
        <w:t>object</w:t>
      </w:r>
      <w:r w:rsidR="00637C91">
        <w:t>-</w:t>
      </w:r>
      <w:r w:rsidRPr="004E487F">
        <w:t>locative verb’ in Yankunytjatjara.</w:t>
      </w:r>
    </w:p>
    <w:p w14:paraId="0E923F23" w14:textId="4DB57BC9" w:rsidR="00612560" w:rsidRPr="0018718F" w:rsidRDefault="00612560" w:rsidP="0018718F">
      <w:pPr>
        <w:pStyle w:val="VCAAHeading3"/>
      </w:pPr>
      <w:r w:rsidRPr="0018718F">
        <w:t>Question 2</w:t>
      </w:r>
    </w:p>
    <w:p w14:paraId="30E2E5CF" w14:textId="7330AE1F" w:rsidR="00EC66E8" w:rsidRPr="0018718F" w:rsidRDefault="004E487F" w:rsidP="007C3556">
      <w:pPr>
        <w:pStyle w:val="VCAAbody"/>
      </w:pPr>
      <w:r w:rsidRPr="0018718F">
        <w:t>In general</w:t>
      </w:r>
      <w:r w:rsidR="004F4871">
        <w:t>,</w:t>
      </w:r>
      <w:r w:rsidRPr="0018718F">
        <w:t xml:space="preserve"> the responses</w:t>
      </w:r>
      <w:r w:rsidR="00654883" w:rsidRPr="0018718F">
        <w:t xml:space="preserve"> </w:t>
      </w:r>
      <w:r w:rsidR="00130191" w:rsidRPr="0018718F">
        <w:t xml:space="preserve">to </w:t>
      </w:r>
      <w:r w:rsidR="00EC66E8" w:rsidRPr="0018718F">
        <w:t>Questions 2a</w:t>
      </w:r>
      <w:r w:rsidR="004F4871">
        <w:t>.</w:t>
      </w:r>
      <w:r w:rsidRPr="0018718F">
        <w:t xml:space="preserve">, </w:t>
      </w:r>
      <w:r w:rsidR="003D6CB8">
        <w:t>2</w:t>
      </w:r>
      <w:r w:rsidRPr="0018718F">
        <w:t>b</w:t>
      </w:r>
      <w:r w:rsidR="004F4871">
        <w:t>.</w:t>
      </w:r>
      <w:r w:rsidRPr="0018718F">
        <w:t xml:space="preserve">, </w:t>
      </w:r>
      <w:r w:rsidR="003D6CB8">
        <w:t>2</w:t>
      </w:r>
      <w:r w:rsidRPr="0018718F">
        <w:t>d</w:t>
      </w:r>
      <w:r w:rsidR="004F4871">
        <w:t>.</w:t>
      </w:r>
      <w:r w:rsidR="00D65B40" w:rsidRPr="0018718F">
        <w:t xml:space="preserve"> </w:t>
      </w:r>
      <w:r w:rsidRPr="0018718F">
        <w:t xml:space="preserve">and </w:t>
      </w:r>
      <w:r w:rsidR="003D6CB8">
        <w:t>2</w:t>
      </w:r>
      <w:r w:rsidR="00EC66E8" w:rsidRPr="0018718F">
        <w:t>e</w:t>
      </w:r>
      <w:r w:rsidR="00D65B40" w:rsidRPr="0018718F">
        <w:t>.</w:t>
      </w:r>
      <w:r w:rsidRPr="004E487F">
        <w:t xml:space="preserve"> </w:t>
      </w:r>
      <w:r w:rsidR="001222E5">
        <w:t>did not score highly</w:t>
      </w:r>
      <w:r w:rsidRPr="0018718F">
        <w:t>. The answers to Question 2c</w:t>
      </w:r>
      <w:r w:rsidR="00EC0B54">
        <w:t>.</w:t>
      </w:r>
      <w:r w:rsidRPr="0018718F">
        <w:t xml:space="preserve"> were generally good.</w:t>
      </w:r>
    </w:p>
    <w:p w14:paraId="34855020" w14:textId="77777777" w:rsidR="00A34430" w:rsidRPr="0018718F" w:rsidRDefault="00A34430" w:rsidP="008266C0">
      <w:pPr>
        <w:pStyle w:val="VCAAHeading3"/>
      </w:pPr>
      <w:r w:rsidRPr="0018718F">
        <w:t>Question 2a.</w:t>
      </w:r>
    </w:p>
    <w:p w14:paraId="27FB5732" w14:textId="77777777" w:rsidR="004E487F" w:rsidRPr="0018718F" w:rsidRDefault="004E487F" w:rsidP="00C66246">
      <w:pPr>
        <w:pStyle w:val="VCAAbullet"/>
      </w:pPr>
      <w:r w:rsidRPr="007C4F5F">
        <w:rPr>
          <w:rStyle w:val="VCAAitalics"/>
        </w:rPr>
        <w:t>-ningi</w:t>
      </w:r>
      <w:r w:rsidRPr="0018718F">
        <w:t xml:space="preserve"> marks the past progressive/continuous tense </w:t>
      </w:r>
    </w:p>
    <w:p w14:paraId="704CF09A" w14:textId="2E8174D7" w:rsidR="004E487F" w:rsidRPr="0018718F" w:rsidRDefault="004E487F" w:rsidP="00C66246">
      <w:pPr>
        <w:pStyle w:val="VCAAbullet"/>
      </w:pPr>
      <w:r w:rsidRPr="007C4F5F">
        <w:rPr>
          <w:rStyle w:val="VCAAitalics"/>
        </w:rPr>
        <w:t>-</w:t>
      </w:r>
      <w:proofErr w:type="spellStart"/>
      <w:r w:rsidRPr="007C4F5F">
        <w:rPr>
          <w:rStyle w:val="VCAAitalics"/>
        </w:rPr>
        <w:t>ngu</w:t>
      </w:r>
      <w:proofErr w:type="spellEnd"/>
      <w:r w:rsidRPr="0018718F">
        <w:t>/</w:t>
      </w:r>
      <w:r w:rsidRPr="007C4F5F">
        <w:rPr>
          <w:rStyle w:val="VCAAitalics"/>
        </w:rPr>
        <w:t>-nu</w:t>
      </w:r>
      <w:r w:rsidRPr="0018718F">
        <w:t xml:space="preserve"> marks the simple past tense </w:t>
      </w:r>
    </w:p>
    <w:p w14:paraId="0BDC9251" w14:textId="4B7DDF81" w:rsidR="004E487F" w:rsidRPr="0018718F" w:rsidRDefault="004E487F" w:rsidP="0018718F">
      <w:pPr>
        <w:pStyle w:val="VCAAbody"/>
      </w:pPr>
      <w:r w:rsidRPr="0018718F">
        <w:t xml:space="preserve">Full marks </w:t>
      </w:r>
      <w:r w:rsidR="00AC448F">
        <w:t>required</w:t>
      </w:r>
      <w:r w:rsidRPr="0018718F">
        <w:t xml:space="preserve"> the functions of both suffixes.</w:t>
      </w:r>
    </w:p>
    <w:p w14:paraId="5BD3471D" w14:textId="52ABB06E" w:rsidR="004E487F" w:rsidRPr="002E5CA9" w:rsidRDefault="008A32F3" w:rsidP="0018718F">
      <w:pPr>
        <w:pStyle w:val="VCAAbody"/>
      </w:pPr>
      <w:r>
        <w:t>This question</w:t>
      </w:r>
      <w:r w:rsidR="004E487F" w:rsidRPr="002E5CA9">
        <w:t xml:space="preserve"> was </w:t>
      </w:r>
      <w:r>
        <w:t>generally</w:t>
      </w:r>
      <w:r w:rsidRPr="002E5CA9">
        <w:t xml:space="preserve"> </w:t>
      </w:r>
      <w:r w:rsidR="004E487F" w:rsidRPr="002E5CA9">
        <w:t>answered poorly, without both suffixes being explained</w:t>
      </w:r>
      <w:r w:rsidR="00AC448F">
        <w:t>.</w:t>
      </w:r>
    </w:p>
    <w:p w14:paraId="25238ABE" w14:textId="60E20260" w:rsidR="00A34430" w:rsidRPr="0018718F" w:rsidRDefault="00A34430" w:rsidP="008266C0">
      <w:pPr>
        <w:pStyle w:val="VCAAHeading3"/>
      </w:pPr>
      <w:r w:rsidRPr="0018718F">
        <w:t>Question 2b.</w:t>
      </w:r>
    </w:p>
    <w:p w14:paraId="580512D5" w14:textId="47F8291D" w:rsidR="00DA42F9" w:rsidRPr="00DA42F9" w:rsidRDefault="00DA42F9" w:rsidP="0018718F">
      <w:pPr>
        <w:pStyle w:val="VCAAbody"/>
      </w:pPr>
      <w:r w:rsidRPr="00DA42F9">
        <w:t xml:space="preserve">In English, the present and future tenses are marked differently, </w:t>
      </w:r>
      <w:r w:rsidR="00AC448F">
        <w:t>for example,</w:t>
      </w:r>
      <w:r w:rsidRPr="00DA42F9">
        <w:t xml:space="preserve"> ‘is going’ vs. ‘will go’. In Yankunytjatjara, the same form</w:t>
      </w:r>
      <w:r w:rsidR="00AC448F">
        <w:t>,</w:t>
      </w:r>
      <w:r w:rsidRPr="00DA42F9">
        <w:t xml:space="preserve"> </w:t>
      </w:r>
      <w:r w:rsidRPr="007C4F5F">
        <w:rPr>
          <w:rStyle w:val="VCAAitalics"/>
        </w:rPr>
        <w:t>-nyi</w:t>
      </w:r>
      <w:r w:rsidR="00AC448F">
        <w:t>,</w:t>
      </w:r>
      <w:r w:rsidRPr="00DA42F9">
        <w:t xml:space="preserve"> may indicate an event either in the present or the future.</w:t>
      </w:r>
    </w:p>
    <w:p w14:paraId="04E6D78D" w14:textId="791F2FC0" w:rsidR="00612560" w:rsidRDefault="00DA42F9" w:rsidP="0018718F">
      <w:pPr>
        <w:pStyle w:val="VCAAbody"/>
      </w:pPr>
      <w:r w:rsidRPr="00DA42F9">
        <w:t>Some students may point out that in English</w:t>
      </w:r>
      <w:r w:rsidR="00094F4B">
        <w:t>,</w:t>
      </w:r>
      <w:r w:rsidRPr="00DA42F9">
        <w:t xml:space="preserve"> auxiliary verbs are used in combination with suffixes, </w:t>
      </w:r>
      <w:r w:rsidR="003D6CB8">
        <w:t xml:space="preserve">such </w:t>
      </w:r>
      <w:r w:rsidRPr="00DA42F9">
        <w:t xml:space="preserve">as </w:t>
      </w:r>
      <w:r w:rsidR="003D6CB8">
        <w:t>‘</w:t>
      </w:r>
      <w:r w:rsidRPr="00DA42F9">
        <w:t>will + go</w:t>
      </w:r>
      <w:r w:rsidR="003D6CB8">
        <w:t>’</w:t>
      </w:r>
      <w:r w:rsidRPr="00DA42F9">
        <w:t xml:space="preserve"> versus </w:t>
      </w:r>
      <w:r w:rsidR="003D6CB8">
        <w:t>‘</w:t>
      </w:r>
      <w:r w:rsidRPr="00DA42F9">
        <w:t>is + going</w:t>
      </w:r>
      <w:r w:rsidR="003D6CB8">
        <w:t>’</w:t>
      </w:r>
      <w:r w:rsidRPr="00DA42F9">
        <w:t xml:space="preserve">. </w:t>
      </w:r>
      <w:r w:rsidR="00094F4B" w:rsidRPr="00DA42F9">
        <w:t>However,</w:t>
      </w:r>
      <w:r w:rsidRPr="00DA42F9">
        <w:t xml:space="preserve"> this answer is not sufficient to get full marks unless students point out that present and future events in Yankunytjatjara are expressed with the same form, </w:t>
      </w:r>
      <w:r w:rsidRPr="007C4F5F">
        <w:rPr>
          <w:rStyle w:val="VCAAitalics"/>
        </w:rPr>
        <w:t>-nyi</w:t>
      </w:r>
      <w:r w:rsidRPr="00DA42F9">
        <w:t>.</w:t>
      </w:r>
    </w:p>
    <w:p w14:paraId="3BD22499" w14:textId="77777777" w:rsidR="009729C8" w:rsidRDefault="009729C8">
      <w:pPr>
        <w:rPr>
          <w:rFonts w:ascii="Arial" w:hAnsi="Arial" w:cs="Arial"/>
          <w:color w:val="000000" w:themeColor="text1"/>
          <w:sz w:val="20"/>
        </w:rPr>
      </w:pPr>
      <w:r>
        <w:br w:type="page"/>
      </w:r>
    </w:p>
    <w:p w14:paraId="2302A377" w14:textId="2A70935D" w:rsidR="002E5CA9" w:rsidRPr="002E5CA9" w:rsidRDefault="00094F4B" w:rsidP="00C66246">
      <w:pPr>
        <w:pStyle w:val="VCAAbody"/>
        <w:rPr>
          <w:lang w:bidi="th-TH"/>
        </w:rPr>
      </w:pPr>
      <w:r>
        <w:lastRenderedPageBreak/>
        <w:t xml:space="preserve">This question </w:t>
      </w:r>
      <w:r w:rsidR="002E5CA9" w:rsidRPr="002E5CA9">
        <w:rPr>
          <w:lang w:bidi="th-TH"/>
        </w:rPr>
        <w:t xml:space="preserve">was mostly not answered correctly, </w:t>
      </w:r>
      <w:r w:rsidR="002E5CA9">
        <w:rPr>
          <w:lang w:bidi="th-TH"/>
        </w:rPr>
        <w:t xml:space="preserve">and it seemed that students did not pay careful attention </w:t>
      </w:r>
      <w:r w:rsidR="005038B3">
        <w:rPr>
          <w:lang w:bidi="th-TH"/>
        </w:rPr>
        <w:t xml:space="preserve">to the question. It was clear in the way the question was asked that the ending </w:t>
      </w:r>
      <w:r w:rsidR="005038B3" w:rsidRPr="007C4F5F">
        <w:rPr>
          <w:rStyle w:val="VCAAitalics"/>
        </w:rPr>
        <w:t>-nyi</w:t>
      </w:r>
      <w:r w:rsidR="005038B3">
        <w:rPr>
          <w:lang w:bidi="th-TH"/>
        </w:rPr>
        <w:t xml:space="preserve"> had the mean</w:t>
      </w:r>
      <w:r>
        <w:rPr>
          <w:lang w:bidi="th-TH"/>
        </w:rPr>
        <w:t>ing</w:t>
      </w:r>
      <w:r w:rsidR="005038B3">
        <w:rPr>
          <w:lang w:bidi="th-TH"/>
        </w:rPr>
        <w:t xml:space="preserve"> </w:t>
      </w:r>
      <w:r>
        <w:rPr>
          <w:lang w:bidi="th-TH"/>
        </w:rPr>
        <w:t>‘</w:t>
      </w:r>
      <w:r w:rsidR="005038B3">
        <w:rPr>
          <w:lang w:bidi="th-TH"/>
        </w:rPr>
        <w:t>will do something</w:t>
      </w:r>
      <w:r>
        <w:rPr>
          <w:lang w:bidi="th-TH"/>
        </w:rPr>
        <w:t>’</w:t>
      </w:r>
      <w:r w:rsidR="005038B3">
        <w:rPr>
          <w:lang w:bidi="th-TH"/>
        </w:rPr>
        <w:t xml:space="preserve"> and </w:t>
      </w:r>
      <w:r>
        <w:rPr>
          <w:lang w:bidi="th-TH"/>
        </w:rPr>
        <w:t>‘</w:t>
      </w:r>
      <w:r w:rsidR="005038B3">
        <w:rPr>
          <w:lang w:bidi="th-TH"/>
        </w:rPr>
        <w:t>is doing something</w:t>
      </w:r>
      <w:r>
        <w:rPr>
          <w:lang w:bidi="th-TH"/>
        </w:rPr>
        <w:t>’</w:t>
      </w:r>
      <w:r w:rsidR="005038B3">
        <w:rPr>
          <w:lang w:bidi="th-TH"/>
        </w:rPr>
        <w:t>, as in the table below:</w:t>
      </w:r>
      <w:r w:rsidR="002E5CA9" w:rsidRPr="002E5CA9">
        <w:rPr>
          <w:lang w:bidi="th-TH"/>
        </w:rPr>
        <w:t xml:space="preserve"> </w:t>
      </w:r>
    </w:p>
    <w:tbl>
      <w:tblPr>
        <w:tblStyle w:val="TableGrid"/>
        <w:tblW w:w="0" w:type="auto"/>
        <w:tblLook w:val="04A0" w:firstRow="1" w:lastRow="0" w:firstColumn="1" w:lastColumn="0" w:noHBand="0" w:noVBand="1"/>
      </w:tblPr>
      <w:tblGrid>
        <w:gridCol w:w="4508"/>
        <w:gridCol w:w="4508"/>
      </w:tblGrid>
      <w:tr w:rsidR="002E5CA9" w:rsidRPr="002E5CA9" w14:paraId="5BCE00F4" w14:textId="77777777" w:rsidTr="00F1153B">
        <w:tc>
          <w:tcPr>
            <w:tcW w:w="4508" w:type="dxa"/>
          </w:tcPr>
          <w:p w14:paraId="3745CB19" w14:textId="77777777" w:rsidR="002E5CA9" w:rsidRPr="00E23CB0" w:rsidRDefault="002E5CA9" w:rsidP="0018718F">
            <w:pPr>
              <w:pStyle w:val="VCAAtablecondensed"/>
              <w:rPr>
                <w:rStyle w:val="VCAAtablecondenseditalic"/>
              </w:rPr>
            </w:pPr>
            <w:r w:rsidRPr="00E23CB0">
              <w:rPr>
                <w:rStyle w:val="VCAAtablecondenseditalic"/>
              </w:rPr>
              <w:t>wati wala yananyi</w:t>
            </w:r>
          </w:p>
        </w:tc>
        <w:tc>
          <w:tcPr>
            <w:tcW w:w="4508" w:type="dxa"/>
          </w:tcPr>
          <w:p w14:paraId="0B8D40C6" w14:textId="77777777" w:rsidR="002E5CA9" w:rsidRPr="0018718F" w:rsidRDefault="002E5CA9" w:rsidP="0018718F">
            <w:pPr>
              <w:pStyle w:val="VCAAtablecondensed"/>
            </w:pPr>
            <w:r w:rsidRPr="0018718F">
              <w:t>The man is going quickly.</w:t>
            </w:r>
          </w:p>
          <w:p w14:paraId="44FA925E" w14:textId="77777777" w:rsidR="002E5CA9" w:rsidRPr="002E5CA9" w:rsidRDefault="002E5CA9" w:rsidP="0018718F">
            <w:pPr>
              <w:pStyle w:val="VCAAtablecondensed"/>
            </w:pPr>
            <w:r w:rsidRPr="0018718F">
              <w:t>The man will go quickly.</w:t>
            </w:r>
          </w:p>
        </w:tc>
      </w:tr>
    </w:tbl>
    <w:p w14:paraId="572A4819" w14:textId="77777777" w:rsidR="00A34430" w:rsidRPr="0018718F" w:rsidRDefault="00A34430" w:rsidP="008266C0">
      <w:pPr>
        <w:pStyle w:val="VCAAHeading3"/>
      </w:pPr>
      <w:r w:rsidRPr="0018718F">
        <w:t>Question 2</w:t>
      </w:r>
      <w:r w:rsidR="00612560" w:rsidRPr="0018718F">
        <w:t>c.</w:t>
      </w:r>
    </w:p>
    <w:p w14:paraId="1564676A" w14:textId="77777777" w:rsidR="00DA42F9" w:rsidRPr="00DA42F9" w:rsidRDefault="00DA42F9" w:rsidP="0018718F">
      <w:pPr>
        <w:pStyle w:val="VCAAbody"/>
      </w:pPr>
      <w:r w:rsidRPr="00DA42F9">
        <w:t xml:space="preserve">The </w:t>
      </w:r>
      <w:r w:rsidRPr="007C4F5F">
        <w:rPr>
          <w:rStyle w:val="VCAAitalics"/>
        </w:rPr>
        <w:t xml:space="preserve">-ku </w:t>
      </w:r>
      <w:r w:rsidRPr="00DA42F9">
        <w:t xml:space="preserve">form is used when the future event is possible but not certain, as reflected by the English translation ‘might’. </w:t>
      </w:r>
    </w:p>
    <w:p w14:paraId="6132F603" w14:textId="7A4BB02E" w:rsidR="00DA42F9" w:rsidRPr="007C3556" w:rsidRDefault="00DA42F9" w:rsidP="0018718F">
      <w:pPr>
        <w:pStyle w:val="VCAAbody"/>
      </w:pPr>
      <w:r w:rsidRPr="00DA42F9">
        <w:t xml:space="preserve">(Note: this </w:t>
      </w:r>
      <w:r w:rsidRPr="007C4F5F">
        <w:rPr>
          <w:rStyle w:val="VCAAitalics"/>
        </w:rPr>
        <w:t>-ku</w:t>
      </w:r>
      <w:r w:rsidRPr="00DA42F9">
        <w:t xml:space="preserve"> suffix on verbs is not to be confused with the </w:t>
      </w:r>
      <w:r w:rsidRPr="007C4F5F">
        <w:rPr>
          <w:rStyle w:val="VCAAitalics"/>
        </w:rPr>
        <w:t>-ku</w:t>
      </w:r>
      <w:r w:rsidRPr="00DA42F9">
        <w:t xml:space="preserve"> suffix on nouns, which marks a purpose</w:t>
      </w:r>
      <w:r w:rsidR="00094F4B">
        <w:t>,</w:t>
      </w:r>
      <w:r w:rsidRPr="00DA42F9">
        <w:t xml:space="preserve"> as discussed in Question 1e</w:t>
      </w:r>
      <w:r w:rsidR="00094F4B">
        <w:t>.</w:t>
      </w:r>
      <w:r w:rsidRPr="00DA42F9">
        <w:t>).</w:t>
      </w:r>
    </w:p>
    <w:p w14:paraId="6A7E70BD" w14:textId="77777777" w:rsidR="00A34430" w:rsidRPr="0018718F" w:rsidRDefault="00A34430" w:rsidP="008266C0">
      <w:pPr>
        <w:pStyle w:val="VCAAHeading3"/>
      </w:pPr>
      <w:r w:rsidRPr="0018718F">
        <w:t>Question 2</w:t>
      </w:r>
      <w:r w:rsidR="00612560" w:rsidRPr="0018718F">
        <w:t>d.</w:t>
      </w:r>
    </w:p>
    <w:p w14:paraId="14D05DEB" w14:textId="6EF8C274" w:rsidR="00DA42F9" w:rsidRPr="0018718F" w:rsidRDefault="00DA42F9" w:rsidP="0018718F">
      <w:pPr>
        <w:pStyle w:val="VCAAbody"/>
      </w:pPr>
      <w:r w:rsidRPr="0018718F">
        <w:t>The woman is returning.</w:t>
      </w:r>
      <w:r w:rsidR="00094F4B">
        <w:t xml:space="preserve"> </w:t>
      </w:r>
      <w:r w:rsidR="00094F4B" w:rsidRPr="007C4F5F">
        <w:rPr>
          <w:rStyle w:val="VCAAitalics"/>
        </w:rPr>
        <w:t>(</w:t>
      </w:r>
      <w:r w:rsidRPr="007C4F5F">
        <w:rPr>
          <w:rStyle w:val="VCAAitalics"/>
        </w:rPr>
        <w:t>kungka kuḻpanyi</w:t>
      </w:r>
      <w:r w:rsidR="00094F4B">
        <w:t>)</w:t>
      </w:r>
    </w:p>
    <w:p w14:paraId="6CB418EF" w14:textId="6452A95D" w:rsidR="00DA42F9" w:rsidRPr="0018718F" w:rsidRDefault="00DA42F9" w:rsidP="0018718F">
      <w:pPr>
        <w:pStyle w:val="VCAAbody"/>
      </w:pPr>
      <w:r w:rsidRPr="0018718F">
        <w:t>The snake saw the man.</w:t>
      </w:r>
      <w:r w:rsidR="00094F4B">
        <w:t xml:space="preserve"> </w:t>
      </w:r>
      <w:r w:rsidR="00094F4B" w:rsidRPr="007C4F5F">
        <w:rPr>
          <w:rStyle w:val="VCAAitalics"/>
        </w:rPr>
        <w:t>(</w:t>
      </w:r>
      <w:r w:rsidRPr="007C4F5F">
        <w:rPr>
          <w:rStyle w:val="VCAAitalics"/>
        </w:rPr>
        <w:t>kaṉpangku wati nyangu</w:t>
      </w:r>
      <w:r w:rsidR="00094F4B" w:rsidRPr="007C4F5F">
        <w:rPr>
          <w:rStyle w:val="VCAAitalics"/>
        </w:rPr>
        <w:t>)</w:t>
      </w:r>
    </w:p>
    <w:p w14:paraId="26DA3136" w14:textId="5238366A" w:rsidR="00612560" w:rsidRPr="007C4F5F" w:rsidRDefault="00DA42F9" w:rsidP="0018718F">
      <w:pPr>
        <w:pStyle w:val="VCAAbody"/>
        <w:rPr>
          <w:rStyle w:val="VCAAitalics"/>
        </w:rPr>
      </w:pPr>
      <w:r w:rsidRPr="0018718F">
        <w:t>The man heated tea at the house.</w:t>
      </w:r>
      <w:r w:rsidR="00094F4B">
        <w:t xml:space="preserve"> </w:t>
      </w:r>
      <w:r w:rsidR="00094F4B" w:rsidRPr="007C4F5F">
        <w:rPr>
          <w:rStyle w:val="VCAAitalics"/>
        </w:rPr>
        <w:t>(</w:t>
      </w:r>
      <w:r w:rsidRPr="007C4F5F">
        <w:rPr>
          <w:rStyle w:val="VCAAitalics"/>
        </w:rPr>
        <w:t>watingku tii walingka kutjangu</w:t>
      </w:r>
      <w:r w:rsidR="00094F4B" w:rsidRPr="007C4F5F">
        <w:rPr>
          <w:rStyle w:val="VCAAitalics"/>
        </w:rPr>
        <w:t>)</w:t>
      </w:r>
    </w:p>
    <w:p w14:paraId="7CAA3328" w14:textId="14584D21" w:rsidR="00C561CE" w:rsidRDefault="00DA42F9" w:rsidP="0018718F">
      <w:pPr>
        <w:pStyle w:val="VCAAbody"/>
      </w:pPr>
      <w:r w:rsidRPr="00DA42F9">
        <w:t xml:space="preserve">(Note: </w:t>
      </w:r>
      <w:r w:rsidRPr="007C4F5F">
        <w:rPr>
          <w:rStyle w:val="VCAAitalics"/>
        </w:rPr>
        <w:t>kutjanu</w:t>
      </w:r>
      <w:r w:rsidRPr="00DA42F9">
        <w:t xml:space="preserve"> or </w:t>
      </w:r>
      <w:r w:rsidRPr="007C4F5F">
        <w:rPr>
          <w:rStyle w:val="VCAAitalics"/>
        </w:rPr>
        <w:t>kutjaṉu</w:t>
      </w:r>
      <w:r w:rsidRPr="00DA42F9">
        <w:t xml:space="preserve"> would also be accepted. Yankunytjatjara has different verb classes and the actual Yankunytjatjara form for ‘heated’ is </w:t>
      </w:r>
      <w:r w:rsidRPr="007C4F5F">
        <w:rPr>
          <w:rStyle w:val="VCAAitalics"/>
        </w:rPr>
        <w:t>kutja-ṉu</w:t>
      </w:r>
      <w:r w:rsidRPr="00DA42F9">
        <w:t xml:space="preserve">, but the data above would suggest either </w:t>
      </w:r>
      <w:r w:rsidRPr="007C4F5F">
        <w:rPr>
          <w:rStyle w:val="VCAAitalics"/>
        </w:rPr>
        <w:t>kutja-ngu</w:t>
      </w:r>
      <w:r w:rsidRPr="00DA42F9">
        <w:t xml:space="preserve"> or </w:t>
      </w:r>
      <w:r w:rsidRPr="007C4F5F">
        <w:rPr>
          <w:rStyle w:val="VCAAitalics"/>
        </w:rPr>
        <w:t>kutja-nu</w:t>
      </w:r>
      <w:r w:rsidRPr="00DA42F9">
        <w:t>.)</w:t>
      </w:r>
    </w:p>
    <w:p w14:paraId="3CE47B13" w14:textId="295FE102" w:rsidR="00C561CE" w:rsidRPr="00F66454" w:rsidRDefault="00C561CE" w:rsidP="00F66454">
      <w:pPr>
        <w:pStyle w:val="VCAAbody"/>
      </w:pPr>
      <w:r w:rsidRPr="008266C0">
        <w:t xml:space="preserve">Typical mistakes in </w:t>
      </w:r>
      <w:r w:rsidR="00322B93" w:rsidRPr="008266C0">
        <w:t xml:space="preserve">this question were </w:t>
      </w:r>
      <w:r w:rsidRPr="008266C0">
        <w:t>not using the ergative required in the second and third sentences</w:t>
      </w:r>
      <w:r w:rsidR="003D6CB8">
        <w:t>,</w:t>
      </w:r>
      <w:r w:rsidRPr="008266C0">
        <w:t xml:space="preserve"> and using the ergative in ‘the woman is returning’. </w:t>
      </w:r>
      <w:r w:rsidR="003D6CB8">
        <w:t>There s</w:t>
      </w:r>
      <w:r w:rsidRPr="008266C0">
        <w:t>eem</w:t>
      </w:r>
      <w:r w:rsidR="003D6CB8">
        <w:t>ed</w:t>
      </w:r>
      <w:r w:rsidRPr="008266C0">
        <w:t xml:space="preserve"> to be a general lack of understanding of the importance of transitivity in deciding what marking to put on different subjects.</w:t>
      </w:r>
    </w:p>
    <w:p w14:paraId="0772FC6C" w14:textId="77777777" w:rsidR="00A34430" w:rsidRPr="0018718F" w:rsidRDefault="00A34430" w:rsidP="008266C0">
      <w:pPr>
        <w:pStyle w:val="VCAAHeading3"/>
      </w:pPr>
      <w:r w:rsidRPr="0018718F">
        <w:t>Question 2</w:t>
      </w:r>
      <w:r w:rsidR="00612560" w:rsidRPr="0018718F">
        <w:t>e.</w:t>
      </w:r>
    </w:p>
    <w:p w14:paraId="17A3D975" w14:textId="5E47DAF3" w:rsidR="00DA42F9" w:rsidRPr="0035504C" w:rsidRDefault="00DA42F9" w:rsidP="0035504C">
      <w:pPr>
        <w:pStyle w:val="VCAAbody"/>
      </w:pPr>
      <w:r w:rsidRPr="007C4F5F">
        <w:rPr>
          <w:rStyle w:val="VCAAitalics"/>
        </w:rPr>
        <w:t>kungkangku waṟu ngurakutu kuwari katinyi</w:t>
      </w:r>
      <w:r w:rsidR="0035504C" w:rsidRPr="007C4F5F">
        <w:rPr>
          <w:rStyle w:val="VCAAitalics"/>
        </w:rPr>
        <w:t xml:space="preserve"> </w:t>
      </w:r>
      <w:r w:rsidR="0035504C">
        <w:t>(</w:t>
      </w:r>
      <w:r w:rsidRPr="00C66246">
        <w:t>The woman is taking (the) firewood to (the) camp now</w:t>
      </w:r>
      <w:r w:rsidR="003D6CB8">
        <w:t>.</w:t>
      </w:r>
      <w:r w:rsidR="0035504C">
        <w:t>)</w:t>
      </w:r>
    </w:p>
    <w:p w14:paraId="4AD030F0" w14:textId="05A77239" w:rsidR="00C561CE" w:rsidRDefault="00DA42F9" w:rsidP="0035504C">
      <w:pPr>
        <w:pStyle w:val="VCAAbody"/>
      </w:pPr>
      <w:r w:rsidRPr="007C4F5F">
        <w:rPr>
          <w:rStyle w:val="VCAAitalics"/>
        </w:rPr>
        <w:t xml:space="preserve">ngayulu kuka mantangka waniku </w:t>
      </w:r>
      <w:r w:rsidR="0035504C">
        <w:t>(</w:t>
      </w:r>
      <w:r w:rsidRPr="00C66246">
        <w:t>I might throw (the) meat on the ground</w:t>
      </w:r>
      <w:r w:rsidR="003D6CB8">
        <w:t>.</w:t>
      </w:r>
      <w:r w:rsidR="0035504C">
        <w:t>)</w:t>
      </w:r>
    </w:p>
    <w:p w14:paraId="508F4424" w14:textId="59E8FE0F" w:rsidR="00C561CE" w:rsidRPr="007C4F5F" w:rsidRDefault="00C561CE" w:rsidP="0018718F">
      <w:pPr>
        <w:pStyle w:val="VCAAbody"/>
        <w:rPr>
          <w:rStyle w:val="VCAAitalics"/>
        </w:rPr>
      </w:pPr>
      <w:r>
        <w:t>This question was</w:t>
      </w:r>
      <w:r w:rsidR="0035504C">
        <w:t xml:space="preserve"> generally</w:t>
      </w:r>
      <w:r>
        <w:t xml:space="preserve"> not well answered. Students failed to notice that </w:t>
      </w:r>
      <w:r w:rsidRPr="00C561CE">
        <w:t xml:space="preserve">the </w:t>
      </w:r>
      <w:r w:rsidRPr="007C4F5F">
        <w:rPr>
          <w:rStyle w:val="VCAAitalics"/>
        </w:rPr>
        <w:t>-ku</w:t>
      </w:r>
      <w:r w:rsidRPr="0018718F">
        <w:t xml:space="preserve"> at the end means ‘might’</w:t>
      </w:r>
      <w:r w:rsidR="006336D3" w:rsidRPr="0018718F">
        <w:t>.</w:t>
      </w:r>
      <w:r w:rsidRPr="0018718F">
        <w:t xml:space="preserve"> </w:t>
      </w:r>
      <w:r w:rsidR="006336D3" w:rsidRPr="0018718F">
        <w:t>D</w:t>
      </w:r>
      <w:r w:rsidRPr="0018718F">
        <w:t xml:space="preserve">espite </w:t>
      </w:r>
      <w:r w:rsidR="0035504C">
        <w:t xml:space="preserve">Question </w:t>
      </w:r>
      <w:r w:rsidRPr="0018718F">
        <w:t>2c</w:t>
      </w:r>
      <w:r w:rsidR="0035504C">
        <w:t>.</w:t>
      </w:r>
      <w:r w:rsidR="006336D3" w:rsidRPr="0018718F">
        <w:t xml:space="preserve">, which was about the </w:t>
      </w:r>
      <w:r w:rsidR="006336D3" w:rsidRPr="007C4F5F">
        <w:rPr>
          <w:rStyle w:val="VCAAitalics"/>
        </w:rPr>
        <w:t>-ku</w:t>
      </w:r>
      <w:r w:rsidR="006336D3" w:rsidRPr="0018718F">
        <w:t xml:space="preserve"> ending on verbs, and which most students answered correctly, students failed to translate </w:t>
      </w:r>
      <w:r w:rsidR="006336D3" w:rsidRPr="007C4F5F">
        <w:rPr>
          <w:rStyle w:val="VCAAitalics"/>
        </w:rPr>
        <w:t xml:space="preserve">ngayulu kuka mantangka waniku </w:t>
      </w:r>
      <w:r w:rsidR="006336D3" w:rsidRPr="0018718F">
        <w:t>as ‘I might throw ...’</w:t>
      </w:r>
      <w:r w:rsidR="0035504C">
        <w:t>.</w:t>
      </w:r>
    </w:p>
    <w:p w14:paraId="49BDB6C3" w14:textId="0AF7CB6E" w:rsidR="00612560" w:rsidRPr="0018718F" w:rsidRDefault="00612560" w:rsidP="00D8429C">
      <w:pPr>
        <w:pStyle w:val="VCAAHeading3"/>
      </w:pPr>
      <w:bookmarkStart w:id="3" w:name="_Hlk58326601"/>
      <w:r w:rsidRPr="0018718F">
        <w:t>Question 3</w:t>
      </w:r>
    </w:p>
    <w:p w14:paraId="2987A9E1" w14:textId="641D18C2" w:rsidR="006336D3" w:rsidRDefault="00130191" w:rsidP="0018718F">
      <w:pPr>
        <w:pStyle w:val="VCAAbody"/>
      </w:pPr>
      <w:r w:rsidRPr="0018718F">
        <w:t>Responses to</w:t>
      </w:r>
      <w:r w:rsidR="00EC66E8" w:rsidRPr="0018718F">
        <w:t xml:space="preserve"> Questions 3a</w:t>
      </w:r>
      <w:r w:rsidR="00D65B40" w:rsidRPr="0018718F">
        <w:t xml:space="preserve">. to </w:t>
      </w:r>
      <w:r w:rsidR="00EC66E8" w:rsidRPr="0018718F">
        <w:t>3j</w:t>
      </w:r>
      <w:r w:rsidR="00D65B40" w:rsidRPr="0018718F">
        <w:t>.</w:t>
      </w:r>
      <w:r w:rsidR="00EC66E8" w:rsidRPr="0018718F">
        <w:t xml:space="preserve"> were generally good</w:t>
      </w:r>
      <w:r w:rsidR="006336D3" w:rsidRPr="0018718F">
        <w:t>,  Because this is a question relating to 1</w:t>
      </w:r>
      <w:r w:rsidR="0035504C">
        <w:t>9th-</w:t>
      </w:r>
      <w:r w:rsidR="006336D3">
        <w:t>century sources, students need</w:t>
      </w:r>
      <w:r w:rsidR="00506EC6">
        <w:t>ed</w:t>
      </w:r>
      <w:r w:rsidR="006336D3">
        <w:t xml:space="preserve"> to be aware that the spelling of words will not always be consistent.</w:t>
      </w:r>
    </w:p>
    <w:p w14:paraId="147D1F8D" w14:textId="79CB763E" w:rsidR="009729C8" w:rsidRDefault="0035504C" w:rsidP="0018718F">
      <w:pPr>
        <w:pStyle w:val="VCAAbody"/>
      </w:pPr>
      <w:r>
        <w:t>F</w:t>
      </w:r>
      <w:r w:rsidR="006336D3">
        <w:t xml:space="preserve">or example, in </w:t>
      </w:r>
      <w:r w:rsidR="006336D3" w:rsidRPr="006336D3">
        <w:t>sentences 5 and 6</w:t>
      </w:r>
      <w:r w:rsidR="006336D3">
        <w:t xml:space="preserve"> in Table 2</w:t>
      </w:r>
      <w:r w:rsidR="006336D3" w:rsidRPr="006336D3">
        <w:t xml:space="preserve">, students have assumed there is a meaningful distinction between </w:t>
      </w:r>
      <w:r w:rsidR="006336D3" w:rsidRPr="007C4F5F">
        <w:rPr>
          <w:rStyle w:val="VCAAitalics"/>
        </w:rPr>
        <w:t>narmbindyu</w:t>
      </w:r>
      <w:r w:rsidR="006336D3" w:rsidRPr="0018718F">
        <w:t xml:space="preserve"> and </w:t>
      </w:r>
      <w:r w:rsidR="006336D3" w:rsidRPr="007C4F5F">
        <w:rPr>
          <w:rStyle w:val="VCAAitalics"/>
        </w:rPr>
        <w:t>narmbindju</w:t>
      </w:r>
      <w:r w:rsidR="006336D3" w:rsidRPr="0018718F">
        <w:t xml:space="preserve"> (a word meaning ‘the old bird’, marked with the ergative), whereas in fact these are different spellings that are found in the original manuscript. Because these appear to be two different suffixes, students who identified </w:t>
      </w:r>
      <w:r w:rsidR="006336D3" w:rsidRPr="007C4F5F">
        <w:rPr>
          <w:rStyle w:val="VCAAitalics"/>
        </w:rPr>
        <w:t>-dju</w:t>
      </w:r>
      <w:r w:rsidR="006336D3" w:rsidRPr="0018718F">
        <w:t xml:space="preserve"> and </w:t>
      </w:r>
      <w:r w:rsidR="006336D3" w:rsidRPr="007C4F5F">
        <w:rPr>
          <w:rStyle w:val="VCAAitalics"/>
        </w:rPr>
        <w:t>-dyu</w:t>
      </w:r>
      <w:r w:rsidR="006336D3" w:rsidRPr="0018718F">
        <w:t xml:space="preserve"> as suffixes in Question 3i.</w:t>
      </w:r>
      <w:r>
        <w:t xml:space="preserve"> were awarded marks.</w:t>
      </w:r>
      <w:r w:rsidR="006336D3" w:rsidRPr="0018718F">
        <w:t xml:space="preserve"> But students need to be aware of potential spelling differences.</w:t>
      </w:r>
    </w:p>
    <w:p w14:paraId="0D8425A8" w14:textId="77777777" w:rsidR="009729C8" w:rsidRDefault="009729C8">
      <w:pPr>
        <w:rPr>
          <w:rFonts w:ascii="Arial" w:hAnsi="Arial" w:cs="Arial"/>
          <w:color w:val="000000" w:themeColor="text1"/>
          <w:sz w:val="20"/>
        </w:rPr>
      </w:pPr>
      <w:r>
        <w:br w:type="page"/>
      </w:r>
    </w:p>
    <w:p w14:paraId="05C4B112" w14:textId="32D76DCA" w:rsidR="00A7408B" w:rsidRPr="0018718F" w:rsidRDefault="00A7408B" w:rsidP="008266C0">
      <w:pPr>
        <w:pStyle w:val="VCAAHeading3"/>
      </w:pPr>
      <w:r w:rsidRPr="0018718F">
        <w:lastRenderedPageBreak/>
        <w:t>Question 3</w:t>
      </w:r>
      <w:r w:rsidR="00364374" w:rsidRPr="0018718F">
        <w:t>a</w:t>
      </w:r>
      <w:r w:rsidRPr="0018718F">
        <w:t>.</w:t>
      </w:r>
    </w:p>
    <w:p w14:paraId="45894CCC" w14:textId="5FA2325D" w:rsidR="00612560" w:rsidRPr="007C4F5F" w:rsidRDefault="00607E90" w:rsidP="007C4F5F">
      <w:pPr>
        <w:rPr>
          <w:rStyle w:val="VCAAitalics"/>
        </w:rPr>
      </w:pPr>
      <w:r w:rsidRPr="007C4F5F">
        <w:rPr>
          <w:rStyle w:val="VCAAitalics"/>
        </w:rPr>
        <w:t>yanguren</w:t>
      </w:r>
    </w:p>
    <w:p w14:paraId="2E343737" w14:textId="28938617" w:rsidR="00A7408B" w:rsidRPr="0018718F" w:rsidRDefault="00A7408B" w:rsidP="008266C0">
      <w:pPr>
        <w:pStyle w:val="VCAAHeading3"/>
      </w:pPr>
      <w:r w:rsidRPr="0018718F">
        <w:t>Question 3b.</w:t>
      </w:r>
    </w:p>
    <w:p w14:paraId="31CE07BB" w14:textId="09F81B8E" w:rsidR="00612560" w:rsidRPr="0018718F" w:rsidRDefault="00607E90" w:rsidP="007C3556">
      <w:pPr>
        <w:pStyle w:val="VCAAbody"/>
      </w:pPr>
      <w:r w:rsidRPr="007C4F5F">
        <w:rPr>
          <w:rStyle w:val="VCAAitalics"/>
        </w:rPr>
        <w:t>-angur.</w:t>
      </w:r>
      <w:r w:rsidRPr="0018718F">
        <w:t xml:space="preserve"> Students </w:t>
      </w:r>
      <w:r w:rsidR="0036285C">
        <w:t>could</w:t>
      </w:r>
      <w:r w:rsidR="0036285C" w:rsidRPr="0018718F">
        <w:t xml:space="preserve"> </w:t>
      </w:r>
      <w:r w:rsidRPr="0018718F">
        <w:t>also identify this suffix as -</w:t>
      </w:r>
      <w:r w:rsidRPr="007C4F5F">
        <w:rPr>
          <w:rStyle w:val="VCAAitalics"/>
        </w:rPr>
        <w:t>ngur</w:t>
      </w:r>
      <w:r w:rsidR="0036285C">
        <w:t>.</w:t>
      </w:r>
    </w:p>
    <w:p w14:paraId="5643815F" w14:textId="4627B4C6" w:rsidR="00A7408B" w:rsidRPr="0018718F" w:rsidRDefault="00A7408B" w:rsidP="008266C0">
      <w:pPr>
        <w:pStyle w:val="VCAAHeading3"/>
      </w:pPr>
      <w:r w:rsidRPr="0018718F">
        <w:t xml:space="preserve">Question </w:t>
      </w:r>
      <w:r w:rsidR="00612560" w:rsidRPr="0018718F">
        <w:t>3c</w:t>
      </w:r>
      <w:r w:rsidRPr="0018718F">
        <w:t>.</w:t>
      </w:r>
    </w:p>
    <w:p w14:paraId="5955C686" w14:textId="03D5B54D" w:rsidR="00612560" w:rsidRPr="0018718F" w:rsidRDefault="00607E90" w:rsidP="007C3556">
      <w:pPr>
        <w:pStyle w:val="VCAAbody"/>
      </w:pPr>
      <w:r w:rsidRPr="007C4F5F">
        <w:rPr>
          <w:rStyle w:val="VCAAitalics"/>
        </w:rPr>
        <w:t>Yanguren</w:t>
      </w:r>
      <w:r w:rsidRPr="0018718F">
        <w:t xml:space="preserve"> </w:t>
      </w:r>
      <w:r w:rsidR="0036285C">
        <w:t>(</w:t>
      </w:r>
      <w:r w:rsidRPr="0018718F">
        <w:t>us</w:t>
      </w:r>
      <w:r w:rsidR="0036285C">
        <w:t>)</w:t>
      </w:r>
      <w:r w:rsidRPr="0018718F">
        <w:t xml:space="preserve"> is an independent, stand alone, free word, but </w:t>
      </w:r>
      <w:r w:rsidRPr="007C4F5F">
        <w:rPr>
          <w:rStyle w:val="VCAAitalics"/>
        </w:rPr>
        <w:t>-angur</w:t>
      </w:r>
      <w:r w:rsidRPr="0018718F">
        <w:t xml:space="preserve"> </w:t>
      </w:r>
      <w:r w:rsidR="0036285C">
        <w:t>(</w:t>
      </w:r>
      <w:r w:rsidRPr="0018718F">
        <w:t>we</w:t>
      </w:r>
      <w:r w:rsidR="0036285C">
        <w:t>)</w:t>
      </w:r>
      <w:r w:rsidRPr="0018718F">
        <w:t xml:space="preserve"> is a suffix. Students might point out that ‘we’ is a subject and ‘us’ is an object. Both </w:t>
      </w:r>
      <w:proofErr w:type="spellStart"/>
      <w:r w:rsidRPr="007C4F5F">
        <w:rPr>
          <w:rStyle w:val="VCAAitalics"/>
        </w:rPr>
        <w:t>yanguren</w:t>
      </w:r>
      <w:proofErr w:type="spellEnd"/>
      <w:r w:rsidRPr="0018718F">
        <w:t xml:space="preserve"> </w:t>
      </w:r>
      <w:r w:rsidRPr="00F66454">
        <w:t xml:space="preserve">and </w:t>
      </w:r>
      <w:r w:rsidR="00F66454" w:rsidRPr="008266C0">
        <w:rPr>
          <w:rStyle w:val="VCAAitalics"/>
        </w:rPr>
        <w:t>-</w:t>
      </w:r>
      <w:proofErr w:type="spellStart"/>
      <w:r w:rsidRPr="00567EB8">
        <w:rPr>
          <w:rStyle w:val="VCAAitalics"/>
        </w:rPr>
        <w:t>angur</w:t>
      </w:r>
      <w:proofErr w:type="spellEnd"/>
      <w:r w:rsidRPr="0018718F">
        <w:t xml:space="preserve"> contain the common element </w:t>
      </w:r>
      <w:r w:rsidRPr="007C4F5F">
        <w:rPr>
          <w:rStyle w:val="VCAAitalics"/>
        </w:rPr>
        <w:t>angur</w:t>
      </w:r>
      <w:r w:rsidRPr="0018718F">
        <w:t xml:space="preserve">. It is not necessary to point this out </w:t>
      </w:r>
    </w:p>
    <w:p w14:paraId="3790B3FE" w14:textId="77777777" w:rsidR="00A7408B" w:rsidRPr="0018718F" w:rsidRDefault="00A7408B" w:rsidP="008266C0">
      <w:pPr>
        <w:pStyle w:val="VCAAHeading3"/>
      </w:pPr>
      <w:r w:rsidRPr="0018718F">
        <w:t xml:space="preserve">Question </w:t>
      </w:r>
      <w:r w:rsidR="00612560" w:rsidRPr="0018718F">
        <w:t>3d</w:t>
      </w:r>
      <w:r w:rsidRPr="0018718F">
        <w:t>.</w:t>
      </w:r>
    </w:p>
    <w:p w14:paraId="5BF26629" w14:textId="77777777" w:rsidR="00607E90" w:rsidRPr="00607E90" w:rsidRDefault="00607E90" w:rsidP="0018718F">
      <w:pPr>
        <w:pStyle w:val="VCAAbody"/>
      </w:pPr>
      <w:r w:rsidRPr="00607E90">
        <w:t>Any two of:</w:t>
      </w:r>
    </w:p>
    <w:p w14:paraId="7D462C80" w14:textId="69538EAE" w:rsidR="00607E90" w:rsidRPr="007C4F5F" w:rsidRDefault="00607E90" w:rsidP="00C66246">
      <w:pPr>
        <w:pStyle w:val="VCAAbullet"/>
        <w:rPr>
          <w:rFonts w:eastAsiaTheme="minorHAnsi"/>
        </w:rPr>
      </w:pPr>
      <w:r w:rsidRPr="007C4F5F">
        <w:rPr>
          <w:rStyle w:val="VCAAitalics"/>
        </w:rPr>
        <w:t>yikandok</w:t>
      </w:r>
      <w:r w:rsidRPr="008266C0">
        <w:t xml:space="preserve"> </w:t>
      </w:r>
      <w:r w:rsidR="0036285C" w:rsidRPr="008266C0">
        <w:t>(</w:t>
      </w:r>
      <w:r w:rsidRPr="008266C0">
        <w:t>my</w:t>
      </w:r>
      <w:r w:rsidR="0036285C" w:rsidRPr="008266C0">
        <w:t>)</w:t>
      </w:r>
      <w:r w:rsidRPr="008266C0">
        <w:t xml:space="preserve"> </w:t>
      </w:r>
    </w:p>
    <w:p w14:paraId="08262323" w14:textId="178310D9" w:rsidR="00607E90" w:rsidRPr="008266C0" w:rsidRDefault="00607E90" w:rsidP="00C66246">
      <w:pPr>
        <w:pStyle w:val="VCAAbullet"/>
      </w:pPr>
      <w:r w:rsidRPr="007C4F5F">
        <w:rPr>
          <w:rStyle w:val="VCAAitalics"/>
        </w:rPr>
        <w:t>yikedha</w:t>
      </w:r>
      <w:r w:rsidRPr="008266C0">
        <w:t xml:space="preserve"> </w:t>
      </w:r>
      <w:r w:rsidR="0036285C" w:rsidRPr="008266C0">
        <w:t>(</w:t>
      </w:r>
      <w:r w:rsidRPr="008266C0">
        <w:t>with me</w:t>
      </w:r>
      <w:r w:rsidR="0036285C" w:rsidRPr="008266C0">
        <w:t>)</w:t>
      </w:r>
    </w:p>
    <w:p w14:paraId="00C1EA8C" w14:textId="5D450590" w:rsidR="00612560" w:rsidRPr="008266C0" w:rsidRDefault="00607E90" w:rsidP="00C66246">
      <w:pPr>
        <w:pStyle w:val="VCAAbullet"/>
      </w:pPr>
      <w:r w:rsidRPr="007C4F5F">
        <w:rPr>
          <w:rStyle w:val="VCAAitalics"/>
        </w:rPr>
        <w:t>ngyikin</w:t>
      </w:r>
      <w:r w:rsidRPr="008266C0">
        <w:t xml:space="preserve"> </w:t>
      </w:r>
      <w:r w:rsidR="0036285C" w:rsidRPr="008266C0">
        <w:t>(</w:t>
      </w:r>
      <w:r w:rsidRPr="008266C0">
        <w:t>me</w:t>
      </w:r>
      <w:r w:rsidR="0036285C" w:rsidRPr="008266C0">
        <w:t>)</w:t>
      </w:r>
    </w:p>
    <w:p w14:paraId="42D71013" w14:textId="0045D043" w:rsidR="004E487F" w:rsidRDefault="00A7408B" w:rsidP="008266C0">
      <w:pPr>
        <w:pStyle w:val="VCAAHeading3"/>
      </w:pPr>
      <w:r w:rsidRPr="0018718F">
        <w:t xml:space="preserve">Question </w:t>
      </w:r>
      <w:r w:rsidR="00612560" w:rsidRPr="0018718F">
        <w:t>3e</w:t>
      </w:r>
      <w:r w:rsidR="0036285C">
        <w:t>.</w:t>
      </w:r>
    </w:p>
    <w:tbl>
      <w:tblPr>
        <w:tblStyle w:val="TableGrid"/>
        <w:tblW w:w="0" w:type="auto"/>
        <w:tblInd w:w="279" w:type="dxa"/>
        <w:tblLook w:val="04A0" w:firstRow="1" w:lastRow="0" w:firstColumn="1" w:lastColumn="0" w:noHBand="0" w:noVBand="1"/>
      </w:tblPr>
      <w:tblGrid>
        <w:gridCol w:w="1701"/>
        <w:gridCol w:w="4111"/>
      </w:tblGrid>
      <w:tr w:rsidR="00607E90" w:rsidRPr="00607E90" w14:paraId="0751A4EE" w14:textId="77777777" w:rsidTr="00F1153B">
        <w:tc>
          <w:tcPr>
            <w:tcW w:w="1701" w:type="dxa"/>
          </w:tcPr>
          <w:p w14:paraId="7FD723D8" w14:textId="77777777" w:rsidR="00607E90" w:rsidRPr="00E23CB0" w:rsidRDefault="00607E90" w:rsidP="0018718F">
            <w:pPr>
              <w:pStyle w:val="VCAAtablecondensed"/>
              <w:rPr>
                <w:rStyle w:val="VCAAtablecondenseditalic"/>
              </w:rPr>
            </w:pPr>
            <w:r w:rsidRPr="00E23CB0">
              <w:rPr>
                <w:rStyle w:val="VCAAtablecondenseditalic"/>
              </w:rPr>
              <w:t>kadhino</w:t>
            </w:r>
          </w:p>
        </w:tc>
        <w:tc>
          <w:tcPr>
            <w:tcW w:w="4111" w:type="dxa"/>
          </w:tcPr>
          <w:p w14:paraId="7B870ED9" w14:textId="77777777" w:rsidR="00607E90" w:rsidRPr="0018718F" w:rsidRDefault="00607E90" w:rsidP="0018718F">
            <w:pPr>
              <w:pStyle w:val="VCAAtablecondensed"/>
            </w:pPr>
            <w:r w:rsidRPr="0018718F">
              <w:t>To (the) creek</w:t>
            </w:r>
          </w:p>
        </w:tc>
      </w:tr>
      <w:tr w:rsidR="00607E90" w:rsidRPr="00607E90" w14:paraId="11EF0F6F" w14:textId="77777777" w:rsidTr="00F1153B">
        <w:tc>
          <w:tcPr>
            <w:tcW w:w="1701" w:type="dxa"/>
          </w:tcPr>
          <w:p w14:paraId="6230E8F2" w14:textId="77777777" w:rsidR="00607E90" w:rsidRPr="00E23CB0" w:rsidRDefault="00607E90" w:rsidP="0018718F">
            <w:pPr>
              <w:pStyle w:val="VCAAtablecondensed"/>
              <w:rPr>
                <w:rStyle w:val="VCAAtablecondenseditalic"/>
              </w:rPr>
            </w:pPr>
            <w:r w:rsidRPr="00E23CB0">
              <w:rPr>
                <w:rStyle w:val="VCAAtablecondenseditalic"/>
              </w:rPr>
              <w:t>banggo</w:t>
            </w:r>
          </w:p>
        </w:tc>
        <w:tc>
          <w:tcPr>
            <w:tcW w:w="4111" w:type="dxa"/>
          </w:tcPr>
          <w:p w14:paraId="09656562" w14:textId="77777777" w:rsidR="00607E90" w:rsidRPr="0018718F" w:rsidRDefault="00607E90" w:rsidP="0018718F">
            <w:pPr>
              <w:pStyle w:val="VCAAtablecondensed"/>
            </w:pPr>
            <w:r w:rsidRPr="0018718F">
              <w:t>To (the) man</w:t>
            </w:r>
          </w:p>
        </w:tc>
      </w:tr>
      <w:tr w:rsidR="00607E90" w:rsidRPr="00607E90" w14:paraId="2788D36C" w14:textId="77777777" w:rsidTr="00F1153B">
        <w:tc>
          <w:tcPr>
            <w:tcW w:w="1701" w:type="dxa"/>
          </w:tcPr>
          <w:p w14:paraId="1B2FDCF5" w14:textId="77777777" w:rsidR="00607E90" w:rsidRPr="00E23CB0" w:rsidRDefault="00607E90" w:rsidP="0018718F">
            <w:pPr>
              <w:pStyle w:val="VCAAtablecondensed"/>
              <w:rPr>
                <w:rStyle w:val="VCAAtablecondenseditalic"/>
              </w:rPr>
            </w:pPr>
            <w:r w:rsidRPr="00E23CB0">
              <w:rPr>
                <w:rStyle w:val="VCAAtablecondenseditalic"/>
              </w:rPr>
              <w:t>larngo</w:t>
            </w:r>
          </w:p>
        </w:tc>
        <w:tc>
          <w:tcPr>
            <w:tcW w:w="4111" w:type="dxa"/>
          </w:tcPr>
          <w:p w14:paraId="163C6F5C" w14:textId="77777777" w:rsidR="00607E90" w:rsidRPr="0018718F" w:rsidRDefault="00607E90" w:rsidP="0018718F">
            <w:pPr>
              <w:pStyle w:val="VCAAtablecondensed"/>
            </w:pPr>
            <w:r w:rsidRPr="0018718F">
              <w:t>To (the) camp</w:t>
            </w:r>
          </w:p>
        </w:tc>
      </w:tr>
      <w:tr w:rsidR="00607E90" w:rsidRPr="00607E90" w14:paraId="3BD9B49F" w14:textId="77777777" w:rsidTr="00F1153B">
        <w:trPr>
          <w:trHeight w:val="117"/>
        </w:trPr>
        <w:tc>
          <w:tcPr>
            <w:tcW w:w="1701" w:type="dxa"/>
          </w:tcPr>
          <w:p w14:paraId="47239626" w14:textId="77777777" w:rsidR="00607E90" w:rsidRPr="00E23CB0" w:rsidRDefault="00607E90" w:rsidP="0018718F">
            <w:pPr>
              <w:pStyle w:val="VCAAtablecondensed"/>
              <w:rPr>
                <w:rStyle w:val="VCAAtablecondenseditalic"/>
              </w:rPr>
            </w:pPr>
            <w:r w:rsidRPr="00E23CB0">
              <w:rPr>
                <w:rStyle w:val="VCAAtablecondenseditalic"/>
              </w:rPr>
              <w:t>kadhinaka</w:t>
            </w:r>
          </w:p>
        </w:tc>
        <w:tc>
          <w:tcPr>
            <w:tcW w:w="4111" w:type="dxa"/>
          </w:tcPr>
          <w:p w14:paraId="3B440752" w14:textId="77777777" w:rsidR="00607E90" w:rsidRPr="0018718F" w:rsidRDefault="00607E90" w:rsidP="0018718F">
            <w:pPr>
              <w:pStyle w:val="VCAAtablecondensed"/>
            </w:pPr>
            <w:r w:rsidRPr="0018718F">
              <w:t>In (the) water</w:t>
            </w:r>
          </w:p>
        </w:tc>
      </w:tr>
    </w:tbl>
    <w:p w14:paraId="6ECB9D89" w14:textId="3898EE1D" w:rsidR="00607E90" w:rsidRPr="0018718F" w:rsidRDefault="00607E90" w:rsidP="0018718F">
      <w:pPr>
        <w:pStyle w:val="VCAAbody"/>
        <w:rPr>
          <w:rStyle w:val="VCAAbodyChar"/>
        </w:rPr>
      </w:pPr>
      <w:r w:rsidRPr="00607E90">
        <w:t>Answers that d</w:t>
      </w:r>
      <w:r w:rsidR="00506EC6">
        <w:t>id</w:t>
      </w:r>
      <w:r w:rsidRPr="00607E90">
        <w:t xml:space="preserve"> not include the definite article ‘the’, such as ‘to creek’, ‘to man’, </w:t>
      </w:r>
      <w:r w:rsidR="00A81695">
        <w:t>were</w:t>
      </w:r>
      <w:r w:rsidRPr="00607E90">
        <w:t xml:space="preserve"> accepted. To get a mark for each of these, the student need</w:t>
      </w:r>
      <w:r w:rsidR="00A81695">
        <w:t>ed</w:t>
      </w:r>
      <w:r w:rsidRPr="00607E90">
        <w:t xml:space="preserve"> to have both the preposition and the noun. The answer ‘creek’ for </w:t>
      </w:r>
      <w:r w:rsidRPr="007C4F5F">
        <w:rPr>
          <w:rStyle w:val="VCAAitalics"/>
        </w:rPr>
        <w:t>kadhino</w:t>
      </w:r>
      <w:r w:rsidRPr="0018718F">
        <w:rPr>
          <w:rStyle w:val="VCAAbodyChar"/>
        </w:rPr>
        <w:t xml:space="preserve"> </w:t>
      </w:r>
      <w:r w:rsidR="00F41BAB">
        <w:rPr>
          <w:rStyle w:val="VCAAbodyChar"/>
        </w:rPr>
        <w:t>received</w:t>
      </w:r>
      <w:r w:rsidRPr="0018718F">
        <w:rPr>
          <w:rStyle w:val="VCAAbodyChar"/>
        </w:rPr>
        <w:t xml:space="preserve"> no marks. </w:t>
      </w:r>
    </w:p>
    <w:p w14:paraId="65636785" w14:textId="567F4345" w:rsidR="00A7408B" w:rsidRPr="0018718F" w:rsidRDefault="00A7408B" w:rsidP="008266C0">
      <w:pPr>
        <w:pStyle w:val="VCAAHeading3"/>
      </w:pPr>
      <w:r w:rsidRPr="0018718F">
        <w:t xml:space="preserve">Question </w:t>
      </w:r>
      <w:r w:rsidR="00612560" w:rsidRPr="0018718F">
        <w:t>3f</w:t>
      </w:r>
      <w:r w:rsidR="00AD321C" w:rsidRPr="0018718F">
        <w:t>.</w:t>
      </w:r>
    </w:p>
    <w:p w14:paraId="07B5769E" w14:textId="628530B1" w:rsidR="00612560" w:rsidRPr="007C4F5F" w:rsidRDefault="00607E90" w:rsidP="007C4F5F">
      <w:pPr>
        <w:pStyle w:val="VCAAbody"/>
      </w:pPr>
      <w:r w:rsidRPr="007C4F5F">
        <w:t xml:space="preserve">The similarities between the two is the root word </w:t>
      </w:r>
      <w:r w:rsidRPr="007C4F5F">
        <w:rPr>
          <w:rStyle w:val="VCAAitalics"/>
        </w:rPr>
        <w:t>kadhin-</w:t>
      </w:r>
      <w:r w:rsidR="0034223C" w:rsidRPr="007C4F5F">
        <w:t>,</w:t>
      </w:r>
      <w:r w:rsidRPr="007C4F5F">
        <w:t xml:space="preserve"> meaning ‘water’ or ‘creek’.</w:t>
      </w:r>
    </w:p>
    <w:p w14:paraId="02FC88F1" w14:textId="77777777" w:rsidR="00A7408B" w:rsidRPr="0018718F" w:rsidRDefault="00A7408B" w:rsidP="008266C0">
      <w:pPr>
        <w:pStyle w:val="VCAAHeading3"/>
      </w:pPr>
      <w:r w:rsidRPr="0018718F">
        <w:t xml:space="preserve">Question </w:t>
      </w:r>
      <w:r w:rsidR="00612560" w:rsidRPr="0018718F">
        <w:t>3g.</w:t>
      </w:r>
    </w:p>
    <w:p w14:paraId="27E66EBF" w14:textId="686459F6" w:rsidR="00607E90" w:rsidRPr="007C4F5F" w:rsidRDefault="00607E90" w:rsidP="007C4F5F">
      <w:pPr>
        <w:pStyle w:val="VCAAbody"/>
      </w:pPr>
      <w:r w:rsidRPr="007C4F5F">
        <w:t>The similarit</w:t>
      </w:r>
      <w:r w:rsidR="0034223C" w:rsidRPr="007C4F5F">
        <w:t>y</w:t>
      </w:r>
      <w:r w:rsidRPr="007C4F5F">
        <w:t xml:space="preserve"> between these two words </w:t>
      </w:r>
      <w:r w:rsidR="0034223C" w:rsidRPr="007C4F5F">
        <w:t>is</w:t>
      </w:r>
      <w:r w:rsidRPr="007C4F5F">
        <w:t xml:space="preserve"> that they share the same root word</w:t>
      </w:r>
      <w:r w:rsidR="00E24D4A" w:rsidRPr="007C4F5F">
        <w:t>,</w:t>
      </w:r>
      <w:r w:rsidRPr="007C4F5F">
        <w:t xml:space="preserve"> </w:t>
      </w:r>
      <w:r w:rsidRPr="008266C0">
        <w:rPr>
          <w:rStyle w:val="VCAAitalics"/>
        </w:rPr>
        <w:t>pial-</w:t>
      </w:r>
      <w:r w:rsidR="00E24D4A" w:rsidRPr="007C4F5F">
        <w:t>,</w:t>
      </w:r>
      <w:r w:rsidRPr="007C4F5F">
        <w:t xml:space="preserve"> meaning ‘stick’ and ‘tree’.</w:t>
      </w:r>
    </w:p>
    <w:p w14:paraId="225CA4D8" w14:textId="7296296B" w:rsidR="00A7408B" w:rsidRPr="0018718F" w:rsidRDefault="00A7408B" w:rsidP="008266C0">
      <w:pPr>
        <w:pStyle w:val="VCAAHeading3"/>
      </w:pPr>
      <w:r w:rsidRPr="0018718F">
        <w:t xml:space="preserve">Question </w:t>
      </w:r>
      <w:r w:rsidR="00612560" w:rsidRPr="0018718F">
        <w:t>3h</w:t>
      </w:r>
      <w:r w:rsidRPr="0018718F">
        <w:t>.</w:t>
      </w:r>
    </w:p>
    <w:p w14:paraId="5F0B5600" w14:textId="783552B3" w:rsidR="009729C8" w:rsidRDefault="00607E90" w:rsidP="007C4F5F">
      <w:pPr>
        <w:pStyle w:val="VCAAbody"/>
        <w:rPr>
          <w:rStyle w:val="VCAAitalics"/>
        </w:rPr>
      </w:pPr>
      <w:r w:rsidRPr="007C4F5F">
        <w:t xml:space="preserve">They both have the same allative word ending ‘to’. Students may exemplify to this ending either as </w:t>
      </w:r>
      <w:r w:rsidRPr="007C4F5F">
        <w:rPr>
          <w:rStyle w:val="VCAAitalics"/>
        </w:rPr>
        <w:t>-o</w:t>
      </w:r>
      <w:r w:rsidRPr="007C4F5F">
        <w:t xml:space="preserve"> or </w:t>
      </w:r>
      <w:r w:rsidRPr="007C4F5F">
        <w:rPr>
          <w:rStyle w:val="VCAAitalics"/>
        </w:rPr>
        <w:t>-go</w:t>
      </w:r>
      <w:r w:rsidRPr="007C4F5F">
        <w:t xml:space="preserve">. In </w:t>
      </w:r>
      <w:r w:rsidR="00E24D4A" w:rsidRPr="007C4F5F">
        <w:t>fact,</w:t>
      </w:r>
      <w:r w:rsidRPr="007C4F5F">
        <w:t xml:space="preserve"> the ending is </w:t>
      </w:r>
      <w:r w:rsidRPr="007C4F5F">
        <w:rPr>
          <w:rStyle w:val="VCAAitalics"/>
        </w:rPr>
        <w:t>-ngo</w:t>
      </w:r>
      <w:r w:rsidRPr="007C4F5F">
        <w:t xml:space="preserve"> on the word for ‘camp’</w:t>
      </w:r>
      <w:r w:rsidR="00E24D4A" w:rsidRPr="007C4F5F">
        <w:t>,</w:t>
      </w:r>
      <w:r w:rsidRPr="007C4F5F">
        <w:t xml:space="preserve"> </w:t>
      </w:r>
      <w:r w:rsidRPr="007C4F5F">
        <w:rPr>
          <w:rStyle w:val="VCAAitalics"/>
        </w:rPr>
        <w:t>lar</w:t>
      </w:r>
      <w:r w:rsidR="00E24D4A" w:rsidRPr="007C4F5F">
        <w:t>,</w:t>
      </w:r>
      <w:r w:rsidRPr="007C4F5F">
        <w:t xml:space="preserve"> and </w:t>
      </w:r>
      <w:r w:rsidRPr="008266C0">
        <w:rPr>
          <w:rStyle w:val="VCAAitalics"/>
        </w:rPr>
        <w:t>-go</w:t>
      </w:r>
      <w:r w:rsidRPr="007C4F5F">
        <w:t xml:space="preserve"> on the word for ‘person’</w:t>
      </w:r>
      <w:r w:rsidR="00E24D4A" w:rsidRPr="007C4F5F">
        <w:t>,</w:t>
      </w:r>
      <w:r w:rsidRPr="007C4F5F">
        <w:t xml:space="preserve"> </w:t>
      </w:r>
      <w:r w:rsidRPr="007C4F5F">
        <w:rPr>
          <w:rStyle w:val="VCAAitalics"/>
        </w:rPr>
        <w:t>bang.</w:t>
      </w:r>
    </w:p>
    <w:p w14:paraId="30B286D4" w14:textId="77777777" w:rsidR="009729C8" w:rsidRDefault="009729C8">
      <w:pPr>
        <w:rPr>
          <w:rStyle w:val="VCAAitalics"/>
          <w:color w:val="000000" w:themeColor="text1"/>
        </w:rPr>
      </w:pPr>
      <w:r>
        <w:rPr>
          <w:rStyle w:val="VCAAitalics"/>
        </w:rPr>
        <w:br w:type="page"/>
      </w:r>
    </w:p>
    <w:p w14:paraId="0C294414" w14:textId="77777777" w:rsidR="00A7408B" w:rsidRPr="0018718F" w:rsidRDefault="00A7408B" w:rsidP="008266C0">
      <w:pPr>
        <w:pStyle w:val="VCAAHeading3"/>
      </w:pPr>
      <w:r w:rsidRPr="0018718F">
        <w:lastRenderedPageBreak/>
        <w:t xml:space="preserve">Question </w:t>
      </w:r>
      <w:r w:rsidR="00612560" w:rsidRPr="0018718F">
        <w:t>3i.</w:t>
      </w:r>
    </w:p>
    <w:p w14:paraId="3A56E8DC" w14:textId="68A61000" w:rsidR="00612560" w:rsidRDefault="002E5CA9" w:rsidP="0018718F">
      <w:pPr>
        <w:pStyle w:val="VCAAbody"/>
      </w:pPr>
      <w:r>
        <w:t xml:space="preserve">Full marks </w:t>
      </w:r>
      <w:r w:rsidR="00E24D4A">
        <w:t>were</w:t>
      </w:r>
      <w:r>
        <w:t xml:space="preserve"> given </w:t>
      </w:r>
      <w:r w:rsidR="00506EC6">
        <w:t>for</w:t>
      </w:r>
      <w:r>
        <w:t xml:space="preserve"> answers </w:t>
      </w:r>
      <w:r w:rsidR="00506EC6">
        <w:t xml:space="preserve">that </w:t>
      </w:r>
      <w:r>
        <w:t>includ</w:t>
      </w:r>
      <w:r w:rsidR="00506EC6">
        <w:t>ed</w:t>
      </w:r>
      <w:r>
        <w:t xml:space="preserve"> two of the following</w:t>
      </w:r>
      <w:r w:rsidR="00607E90">
        <w:t xml:space="preserve"> suffixes</w:t>
      </w:r>
      <w:r>
        <w:t>:</w:t>
      </w:r>
    </w:p>
    <w:p w14:paraId="3051C9E7" w14:textId="77777777" w:rsidR="00607E90" w:rsidRPr="00A94469" w:rsidRDefault="00607E90" w:rsidP="00A94469">
      <w:pPr>
        <w:pStyle w:val="VCAAbullet"/>
      </w:pPr>
      <w:r w:rsidRPr="007C4F5F">
        <w:rPr>
          <w:rStyle w:val="VCAAitalics"/>
        </w:rPr>
        <w:t>-in</w:t>
      </w:r>
      <w:r w:rsidRPr="00A94469">
        <w:t xml:space="preserve"> ‘past tense’</w:t>
      </w:r>
    </w:p>
    <w:p w14:paraId="4CBB751E" w14:textId="77777777" w:rsidR="00607E90" w:rsidRPr="00A94469" w:rsidRDefault="00607E90" w:rsidP="00A94469">
      <w:pPr>
        <w:pStyle w:val="VCAAbullet"/>
      </w:pPr>
      <w:r w:rsidRPr="007C4F5F">
        <w:rPr>
          <w:rStyle w:val="VCAAitalics"/>
        </w:rPr>
        <w:t>-ok</w:t>
      </w:r>
      <w:r w:rsidRPr="00A94469">
        <w:t xml:space="preserve"> ‘imperative’ </w:t>
      </w:r>
    </w:p>
    <w:p w14:paraId="4E88D458" w14:textId="2FA53E76" w:rsidR="00607E90" w:rsidRPr="00A94469" w:rsidRDefault="00607E90" w:rsidP="00A94469">
      <w:pPr>
        <w:pStyle w:val="VCAAbullet"/>
      </w:pPr>
      <w:r w:rsidRPr="007C4F5F">
        <w:rPr>
          <w:rStyle w:val="VCAAitalics"/>
        </w:rPr>
        <w:t>-aka</w:t>
      </w:r>
      <w:r w:rsidRPr="00A94469">
        <w:t xml:space="preserve"> ‘locative’ (or meaning </w:t>
      </w:r>
      <w:r w:rsidR="00E24D4A">
        <w:t>‘</w:t>
      </w:r>
      <w:r w:rsidRPr="00A94469">
        <w:t>in</w:t>
      </w:r>
      <w:r w:rsidR="00E24D4A">
        <w:t>’</w:t>
      </w:r>
      <w:r w:rsidRPr="00A94469">
        <w:t>)</w:t>
      </w:r>
    </w:p>
    <w:p w14:paraId="16C6129E" w14:textId="7A0904A1" w:rsidR="00607E90" w:rsidRDefault="00607E90" w:rsidP="00C66246">
      <w:pPr>
        <w:pStyle w:val="VCAAbullet"/>
      </w:pPr>
      <w:r w:rsidRPr="007C4F5F">
        <w:rPr>
          <w:rStyle w:val="VCAAitalics"/>
        </w:rPr>
        <w:t>-u</w:t>
      </w:r>
      <w:r w:rsidRPr="00A94469">
        <w:t xml:space="preserve"> ‘instrumental’ (or meaning </w:t>
      </w:r>
      <w:r w:rsidR="00E24D4A">
        <w:t>‘</w:t>
      </w:r>
      <w:r w:rsidRPr="00A94469">
        <w:t>with</w:t>
      </w:r>
      <w:r w:rsidR="00E24D4A">
        <w:t>’</w:t>
      </w:r>
      <w:r w:rsidRPr="00A94469">
        <w:t>)</w:t>
      </w:r>
    </w:p>
    <w:p w14:paraId="3B83F871" w14:textId="45C0BFA5" w:rsidR="002E5CA9" w:rsidRPr="007C3556" w:rsidRDefault="002E5CA9" w:rsidP="0018718F">
      <w:pPr>
        <w:pStyle w:val="VCAAbody"/>
      </w:pPr>
      <w:r>
        <w:t>The question clearly ask</w:t>
      </w:r>
      <w:r w:rsidR="00506EC6">
        <w:t>ed</w:t>
      </w:r>
      <w:r>
        <w:t xml:space="preserve"> for </w:t>
      </w:r>
      <w:r w:rsidRPr="002E5CA9">
        <w:t xml:space="preserve">‘two examples of </w:t>
      </w:r>
      <w:proofErr w:type="gramStart"/>
      <w:r w:rsidRPr="002E5CA9">
        <w:t>suffixes’</w:t>
      </w:r>
      <w:proofErr w:type="gramEnd"/>
      <w:r w:rsidRPr="002E5CA9">
        <w:t xml:space="preserve">. A single example </w:t>
      </w:r>
      <w:r w:rsidR="00E24D4A">
        <w:t>could not be awarded full marks</w:t>
      </w:r>
      <w:r w:rsidRPr="002E5CA9">
        <w:t>.</w:t>
      </w:r>
      <w:r>
        <w:t xml:space="preserve"> </w:t>
      </w:r>
    </w:p>
    <w:bookmarkEnd w:id="3"/>
    <w:p w14:paraId="121C507C" w14:textId="77777777" w:rsidR="00A7408B" w:rsidRPr="0018718F" w:rsidRDefault="00A7408B" w:rsidP="008266C0">
      <w:pPr>
        <w:pStyle w:val="VCAAHeading3"/>
      </w:pPr>
      <w:r w:rsidRPr="0018718F">
        <w:t xml:space="preserve">Question </w:t>
      </w:r>
      <w:r w:rsidR="00612560" w:rsidRPr="0018718F">
        <w:t>3j.</w:t>
      </w:r>
    </w:p>
    <w:p w14:paraId="4700FA59" w14:textId="56A62FEB" w:rsidR="00607E90" w:rsidRPr="00607E90" w:rsidRDefault="00607E90" w:rsidP="00506EC6">
      <w:pPr>
        <w:pStyle w:val="VCAAbody"/>
      </w:pPr>
      <w:r w:rsidRPr="0018718F">
        <w:t>Come to the creek</w:t>
      </w:r>
      <w:r w:rsidR="00506EC6">
        <w:t>.</w:t>
      </w:r>
      <w:r w:rsidRPr="0018718F">
        <w:tab/>
      </w:r>
      <w:r w:rsidR="00573AF0">
        <w:tab/>
      </w:r>
      <w:r w:rsidRPr="007C4F5F">
        <w:rPr>
          <w:rStyle w:val="VCAAitalics"/>
        </w:rPr>
        <w:t>yanok kadhino</w:t>
      </w:r>
      <w:r w:rsidRPr="00607E90">
        <w:t xml:space="preserve"> </w:t>
      </w:r>
    </w:p>
    <w:p w14:paraId="0B90FBA8" w14:textId="3A4D0147" w:rsidR="00607E90" w:rsidRPr="008266C0" w:rsidRDefault="00607E90" w:rsidP="00506EC6">
      <w:pPr>
        <w:pStyle w:val="VCAAbody"/>
      </w:pPr>
      <w:r w:rsidRPr="00607E90">
        <w:t>He gave the stick to the dog</w:t>
      </w:r>
      <w:r w:rsidR="00506EC6">
        <w:t>.</w:t>
      </w:r>
      <w:r w:rsidRPr="00607E90">
        <w:tab/>
      </w:r>
      <w:r w:rsidRPr="007C4F5F">
        <w:rPr>
          <w:rStyle w:val="VCAAitalics"/>
        </w:rPr>
        <w:t>wuin werangano pial</w:t>
      </w:r>
      <w:r w:rsidRPr="008266C0">
        <w:t xml:space="preserve"> OR </w:t>
      </w:r>
      <w:r w:rsidRPr="007C4F5F">
        <w:rPr>
          <w:rStyle w:val="VCAAitalics"/>
        </w:rPr>
        <w:t xml:space="preserve">wuin werangango pial </w:t>
      </w:r>
    </w:p>
    <w:p w14:paraId="4DE31090" w14:textId="467CA51B" w:rsidR="00612560" w:rsidRDefault="00607E90" w:rsidP="0018718F">
      <w:pPr>
        <w:pStyle w:val="VCAAbody"/>
      </w:pPr>
      <w:r>
        <w:t xml:space="preserve">Full marks </w:t>
      </w:r>
      <w:r w:rsidR="00573AF0">
        <w:t xml:space="preserve">could </w:t>
      </w:r>
      <w:r>
        <w:t>only be given for all words being correctly spelled (except for the variation in the possible spelling of the word for ‘to the dog’</w:t>
      </w:r>
      <w:r w:rsidR="00573AF0">
        <w:t>).</w:t>
      </w:r>
    </w:p>
    <w:p w14:paraId="1C7B21B5" w14:textId="6E29489A" w:rsidR="006336D3" w:rsidRPr="0018718F" w:rsidRDefault="006336D3" w:rsidP="007C3556">
      <w:pPr>
        <w:pStyle w:val="VCAAbody"/>
      </w:pPr>
      <w:r w:rsidRPr="008266C0">
        <w:t xml:space="preserve">Many students thought that </w:t>
      </w:r>
      <w:r w:rsidRPr="007C4F5F">
        <w:rPr>
          <w:rStyle w:val="VCAAitalics"/>
        </w:rPr>
        <w:t>wuin</w:t>
      </w:r>
      <w:r w:rsidRPr="008266C0">
        <w:t xml:space="preserve"> meant ‘he’, not the past tense of ‘gave’. The meaning ‘he’ is unmarked, but students assumed there must be a pronoun meaning ‘he’. The students should know that the explicit use of </w:t>
      </w:r>
      <w:r w:rsidR="00573AF0" w:rsidRPr="008266C0">
        <w:t>third-</w:t>
      </w:r>
      <w:r w:rsidRPr="008266C0">
        <w:t>person singular pronouns isn’t required in many Aboriginal languages, and that a sentence with seven words</w:t>
      </w:r>
      <w:r w:rsidR="00506EC6">
        <w:t xml:space="preserve"> in</w:t>
      </w:r>
      <w:r w:rsidRPr="008266C0">
        <w:t xml:space="preserve"> English will not necessarily be translated with seven words in language. The word </w:t>
      </w:r>
      <w:r w:rsidRPr="007C4F5F">
        <w:rPr>
          <w:rStyle w:val="VCAAitalics"/>
        </w:rPr>
        <w:t>wuin</w:t>
      </w:r>
      <w:r w:rsidRPr="008266C0">
        <w:t xml:space="preserve"> occurs in the sample </w:t>
      </w:r>
      <w:r w:rsidR="00506EC6">
        <w:t>s</w:t>
      </w:r>
      <w:r w:rsidRPr="008266C0">
        <w:t>entence 8 in Table 2 and students should have been able to work out what it means.</w:t>
      </w:r>
    </w:p>
    <w:p w14:paraId="4500B599" w14:textId="37A491A8" w:rsidR="00612560" w:rsidRPr="0018718F" w:rsidRDefault="00612560" w:rsidP="0018718F">
      <w:pPr>
        <w:pStyle w:val="VCAAHeading3"/>
      </w:pPr>
      <w:r w:rsidRPr="0018718F">
        <w:t>Question 4</w:t>
      </w:r>
    </w:p>
    <w:p w14:paraId="1DF59F3C" w14:textId="19938019" w:rsidR="00364374" w:rsidRPr="007C3556" w:rsidRDefault="00E12E48" w:rsidP="0018718F">
      <w:pPr>
        <w:pStyle w:val="VCAAbody"/>
      </w:pPr>
      <w:r w:rsidRPr="007C3556">
        <w:t>Responses to</w:t>
      </w:r>
      <w:r w:rsidR="00EC66E8" w:rsidRPr="007C3556">
        <w:t xml:space="preserve"> Questions 4a</w:t>
      </w:r>
      <w:r w:rsidRPr="007C3556">
        <w:t xml:space="preserve">. to </w:t>
      </w:r>
      <w:r w:rsidR="00EC66E8" w:rsidRPr="007C3556">
        <w:t>4</w:t>
      </w:r>
      <w:r w:rsidR="00901FB9">
        <w:t>g</w:t>
      </w:r>
      <w:r w:rsidRPr="007C3556">
        <w:t>.</w:t>
      </w:r>
      <w:r w:rsidR="00EC66E8" w:rsidRPr="007C3556">
        <w:t xml:space="preserve"> were generally very good. </w:t>
      </w:r>
    </w:p>
    <w:p w14:paraId="39B6CE11" w14:textId="77777777" w:rsidR="00A7408B" w:rsidRPr="0018718F" w:rsidRDefault="00A7408B" w:rsidP="008266C0">
      <w:pPr>
        <w:pStyle w:val="VCAAHeading3"/>
      </w:pPr>
      <w:r w:rsidRPr="0018718F">
        <w:t>Question 4a.</w:t>
      </w:r>
    </w:p>
    <w:p w14:paraId="304BA883" w14:textId="379ECC50" w:rsidR="00612560" w:rsidRPr="007C3556" w:rsidRDefault="00607E90" w:rsidP="0018718F">
      <w:pPr>
        <w:pStyle w:val="VCAAbody"/>
      </w:pPr>
      <w:r w:rsidRPr="00607E90">
        <w:t>Extension of meaning</w:t>
      </w:r>
    </w:p>
    <w:p w14:paraId="769B82D6" w14:textId="77777777" w:rsidR="00A7408B" w:rsidRPr="0018718F" w:rsidRDefault="00A7408B" w:rsidP="008266C0">
      <w:pPr>
        <w:pStyle w:val="VCAAHeading3"/>
      </w:pPr>
      <w:r w:rsidRPr="0018718F">
        <w:t>Question 4b.</w:t>
      </w:r>
    </w:p>
    <w:p w14:paraId="2CB26597" w14:textId="67FC96CE" w:rsidR="004E487F" w:rsidRDefault="00607E90" w:rsidP="0018718F">
      <w:pPr>
        <w:pStyle w:val="VCAAbody"/>
      </w:pPr>
      <w:r w:rsidRPr="00607E90">
        <w:t>Compounding</w:t>
      </w:r>
    </w:p>
    <w:p w14:paraId="074FD52D" w14:textId="63368707" w:rsidR="00A7408B" w:rsidRPr="0018718F" w:rsidRDefault="00A7408B" w:rsidP="008266C0">
      <w:pPr>
        <w:pStyle w:val="VCAAHeading3"/>
      </w:pPr>
      <w:r w:rsidRPr="0018718F">
        <w:t>Question 4c.</w:t>
      </w:r>
    </w:p>
    <w:p w14:paraId="52F01C09" w14:textId="40D322D2" w:rsidR="004E487F" w:rsidRPr="007C4F5F" w:rsidRDefault="00573AF0" w:rsidP="007C4F5F">
      <w:pPr>
        <w:pStyle w:val="VCAAbody"/>
      </w:pPr>
      <w:r w:rsidRPr="007C4F5F">
        <w:t>S</w:t>
      </w:r>
      <w:r w:rsidR="00607E90" w:rsidRPr="007C4F5F">
        <w:t>tudents</w:t>
      </w:r>
      <w:r w:rsidRPr="007C4F5F">
        <w:t xml:space="preserve"> needed to</w:t>
      </w:r>
      <w:r w:rsidR="00607E90" w:rsidRPr="007C4F5F">
        <w:t xml:space="preserve"> explain </w:t>
      </w:r>
      <w:r w:rsidRPr="007C4F5F">
        <w:t xml:space="preserve">first </w:t>
      </w:r>
      <w:r w:rsidR="00607E90" w:rsidRPr="007C4F5F">
        <w:t xml:space="preserve">that the words </w:t>
      </w:r>
      <w:r w:rsidR="00607E90" w:rsidRPr="008266C0">
        <w:rPr>
          <w:rStyle w:val="VCAAitalics"/>
        </w:rPr>
        <w:t>biidi</w:t>
      </w:r>
      <w:r w:rsidR="00607E90" w:rsidRPr="007C4F5F">
        <w:t xml:space="preserve"> </w:t>
      </w:r>
      <w:r w:rsidRPr="007C4F5F">
        <w:t>(</w:t>
      </w:r>
      <w:r w:rsidR="00607E90" w:rsidRPr="007C4F5F">
        <w:t>scratch</w:t>
      </w:r>
      <w:r w:rsidRPr="007C4F5F">
        <w:t>)</w:t>
      </w:r>
      <w:r w:rsidR="00607E90" w:rsidRPr="007C4F5F">
        <w:t xml:space="preserve"> and </w:t>
      </w:r>
      <w:r w:rsidR="00607E90" w:rsidRPr="008266C0">
        <w:rPr>
          <w:rStyle w:val="VCAAitalics"/>
        </w:rPr>
        <w:t>baamgal</w:t>
      </w:r>
      <w:r w:rsidR="00607E90" w:rsidRPr="007C4F5F">
        <w:t xml:space="preserve"> </w:t>
      </w:r>
      <w:r w:rsidRPr="007C4F5F">
        <w:t>(</w:t>
      </w:r>
      <w:r w:rsidR="00607E90" w:rsidRPr="007C4F5F">
        <w:t>space</w:t>
      </w:r>
      <w:r w:rsidRPr="007C4F5F">
        <w:t>)</w:t>
      </w:r>
      <w:r w:rsidR="00607E90" w:rsidRPr="007C4F5F">
        <w:t xml:space="preserve"> have their meanings extended to ‘write’ and ‘room’</w:t>
      </w:r>
      <w:r w:rsidR="00506EC6">
        <w:t>,</w:t>
      </w:r>
      <w:r w:rsidR="00607E90" w:rsidRPr="007C4F5F">
        <w:t xml:space="preserve"> respectively</w:t>
      </w:r>
      <w:r w:rsidR="00506EC6">
        <w:t>,</w:t>
      </w:r>
      <w:r w:rsidR="00607E90" w:rsidRPr="007C4F5F">
        <w:t xml:space="preserve"> and second that these two were then compound</w:t>
      </w:r>
      <w:r w:rsidRPr="007C4F5F">
        <w:t>ed</w:t>
      </w:r>
      <w:r w:rsidR="00607E90" w:rsidRPr="007C4F5F">
        <w:t xml:space="preserve"> to form a new word, literally ‘writing room’ </w:t>
      </w:r>
      <w:r w:rsidRPr="007C4F5F">
        <w:t>(</w:t>
      </w:r>
      <w:r w:rsidR="00607E90" w:rsidRPr="007C4F5F">
        <w:t>i.e. office</w:t>
      </w:r>
      <w:r w:rsidRPr="007C4F5F">
        <w:t>).</w:t>
      </w:r>
    </w:p>
    <w:p w14:paraId="71BC3A21" w14:textId="7EEBBB43" w:rsidR="007B455F" w:rsidRDefault="007B455F" w:rsidP="00E34C0B">
      <w:pPr>
        <w:pStyle w:val="VCAAbody"/>
      </w:pPr>
      <w:r>
        <w:t xml:space="preserve">In </w:t>
      </w:r>
      <w:r w:rsidR="00573AF0">
        <w:t>general,</w:t>
      </w:r>
      <w:r>
        <w:t xml:space="preserve"> this question was </w:t>
      </w:r>
      <w:r w:rsidRPr="00E34C0B">
        <w:t>not</w:t>
      </w:r>
      <w:r>
        <w:t xml:space="preserve"> answered well. Few students mentioned the traditional meaning of the words and </w:t>
      </w:r>
      <w:r w:rsidR="00573AF0">
        <w:t>therefore</w:t>
      </w:r>
      <w:r>
        <w:t xml:space="preserve"> they were not able to adequately discuss the way in which the meaning was extended to the modern meaning.</w:t>
      </w:r>
    </w:p>
    <w:p w14:paraId="583509F7" w14:textId="77777777" w:rsidR="00A7408B" w:rsidRPr="0018718F" w:rsidRDefault="00A7408B" w:rsidP="008266C0">
      <w:pPr>
        <w:pStyle w:val="VCAAHeading3"/>
      </w:pPr>
      <w:r w:rsidRPr="0018718F">
        <w:t>Question 4d.</w:t>
      </w:r>
    </w:p>
    <w:p w14:paraId="078BF616" w14:textId="76D95D75" w:rsidR="00901FB9" w:rsidRPr="0018718F" w:rsidRDefault="00901FB9" w:rsidP="00901FB9">
      <w:pPr>
        <w:pStyle w:val="VCAAbody"/>
      </w:pPr>
      <w:r w:rsidRPr="007C4F5F">
        <w:rPr>
          <w:rStyle w:val="VCAAitalics"/>
        </w:rPr>
        <w:t>biidi-bagul</w:t>
      </w:r>
      <w:r w:rsidRPr="0018718F">
        <w:tab/>
        <w:t>The meaning is ‘desk’, literally the flat space where writing is done. We could also accept ‘paper’</w:t>
      </w:r>
      <w:r w:rsidR="002972B0">
        <w:t xml:space="preserve"> or</w:t>
      </w:r>
      <w:r w:rsidR="002972B0" w:rsidRPr="0018718F">
        <w:t xml:space="preserve"> </w:t>
      </w:r>
      <w:r w:rsidRPr="0018718F">
        <w:t>‘page’, the flat item on which writing is done.</w:t>
      </w:r>
    </w:p>
    <w:p w14:paraId="1F6C5A06" w14:textId="29E50889" w:rsidR="00901FB9" w:rsidRPr="0018718F" w:rsidRDefault="00901FB9" w:rsidP="00901FB9">
      <w:pPr>
        <w:pStyle w:val="VCAAbody"/>
      </w:pPr>
      <w:r w:rsidRPr="007C4F5F">
        <w:rPr>
          <w:rStyle w:val="VCAAitalics"/>
        </w:rPr>
        <w:t>biidi-damaan</w:t>
      </w:r>
      <w:r w:rsidRPr="0018718F">
        <w:tab/>
        <w:t>The meaning is ‘keyboard’, literally the buttons (shells) with which writing is done. ‘</w:t>
      </w:r>
      <w:r w:rsidR="002972B0">
        <w:t>T</w:t>
      </w:r>
      <w:r w:rsidRPr="0018718F">
        <w:t xml:space="preserve">ypewriter’ </w:t>
      </w:r>
      <w:r w:rsidR="002972B0">
        <w:t>could</w:t>
      </w:r>
      <w:r w:rsidR="002972B0" w:rsidRPr="0018718F">
        <w:t xml:space="preserve"> </w:t>
      </w:r>
      <w:r w:rsidRPr="0018718F">
        <w:t>also be accepted</w:t>
      </w:r>
      <w:r w:rsidR="002972B0">
        <w:t>.</w:t>
      </w:r>
    </w:p>
    <w:p w14:paraId="1AC65C38" w14:textId="5C21AF75" w:rsidR="00901FB9" w:rsidRPr="00901FB9" w:rsidRDefault="00901FB9" w:rsidP="0018718F">
      <w:pPr>
        <w:pStyle w:val="VCAAbody"/>
      </w:pPr>
      <w:r w:rsidRPr="007C4F5F">
        <w:rPr>
          <w:rStyle w:val="VCAAitalics"/>
        </w:rPr>
        <w:lastRenderedPageBreak/>
        <w:t>biidi-wurruun</w:t>
      </w:r>
      <w:r w:rsidRPr="00901FB9">
        <w:tab/>
        <w:t>The meaning is ‘office building’, literally the house space in which writing is done. We could also accept ‘school’ or ‘university’.</w:t>
      </w:r>
    </w:p>
    <w:p w14:paraId="2E82659E" w14:textId="73C4FD0A" w:rsidR="00901FB9" w:rsidRPr="00901FB9" w:rsidRDefault="00901FB9" w:rsidP="0018718F">
      <w:pPr>
        <w:pStyle w:val="VCAAbody"/>
      </w:pPr>
      <w:r w:rsidRPr="00901FB9">
        <w:t xml:space="preserve">Two marks </w:t>
      </w:r>
      <w:r w:rsidR="002972B0">
        <w:t>were</w:t>
      </w:r>
      <w:r w:rsidRPr="00901FB9">
        <w:t xml:space="preserve"> given for each answer with a plausible meaning and a clear explanation about how that meaning is reached, so if the student answer</w:t>
      </w:r>
      <w:r w:rsidR="002972B0">
        <w:t>ed</w:t>
      </w:r>
      <w:r w:rsidRPr="00901FB9">
        <w:t xml:space="preserve"> ‘page’, then they would </w:t>
      </w:r>
      <w:r w:rsidR="002972B0">
        <w:t>need</w:t>
      </w:r>
      <w:r w:rsidRPr="00901FB9">
        <w:t xml:space="preserve"> to say that a page is a flat object on which writing is done.</w:t>
      </w:r>
    </w:p>
    <w:p w14:paraId="705E8AEA" w14:textId="78870D2C" w:rsidR="00612560" w:rsidRPr="0018718F" w:rsidRDefault="00901FB9" w:rsidP="0018718F">
      <w:pPr>
        <w:pStyle w:val="VCAAbody"/>
      </w:pPr>
      <w:r w:rsidRPr="00901FB9">
        <w:t xml:space="preserve">In the case of </w:t>
      </w:r>
      <w:proofErr w:type="spellStart"/>
      <w:r w:rsidRPr="007C4F5F">
        <w:rPr>
          <w:rStyle w:val="VCAAitalics"/>
        </w:rPr>
        <w:t>biidi-damaan</w:t>
      </w:r>
      <w:proofErr w:type="spellEnd"/>
      <w:r w:rsidRPr="0018718F">
        <w:t>, the students ha</w:t>
      </w:r>
      <w:r w:rsidR="00533E77">
        <w:t>d</w:t>
      </w:r>
      <w:r w:rsidRPr="0018718F">
        <w:t xml:space="preserve"> a more challenging task to come up with an answer, a</w:t>
      </w:r>
      <w:r w:rsidR="00533E77">
        <w:t>s</w:t>
      </w:r>
      <w:r w:rsidRPr="0018718F">
        <w:t xml:space="preserve"> this </w:t>
      </w:r>
      <w:r w:rsidR="00533E77">
        <w:t xml:space="preserve">was </w:t>
      </w:r>
      <w:r w:rsidRPr="0018718F">
        <w:t xml:space="preserve">one of the more difficult parts of the exam. They might associate ‘button’ with the on/off buttons on phones or note that buttons that you write with are like the keyboard on a phone. This </w:t>
      </w:r>
      <w:r w:rsidR="00533E77">
        <w:t>was</w:t>
      </w:r>
      <w:r w:rsidRPr="0018718F">
        <w:t xml:space="preserve"> intended to be a more challenging question.</w:t>
      </w:r>
    </w:p>
    <w:p w14:paraId="29E32D2C" w14:textId="3FAC4504" w:rsidR="00A7408B" w:rsidRPr="0018718F" w:rsidRDefault="00A7408B" w:rsidP="008266C0">
      <w:pPr>
        <w:pStyle w:val="VCAAHeading3"/>
      </w:pPr>
      <w:r w:rsidRPr="0018718F">
        <w:t>Question 4e.</w:t>
      </w:r>
    </w:p>
    <w:p w14:paraId="7D88702A" w14:textId="48D26E9F" w:rsidR="00612560" w:rsidRDefault="002972B0" w:rsidP="0018718F">
      <w:pPr>
        <w:pStyle w:val="VCAAbody"/>
      </w:pPr>
      <w:r w:rsidRPr="007C4F5F">
        <w:rPr>
          <w:rStyle w:val="VCAAitalics"/>
        </w:rPr>
        <w:t>M</w:t>
      </w:r>
      <w:r w:rsidR="00901FB9" w:rsidRPr="007C4F5F">
        <w:rPr>
          <w:rStyle w:val="VCAAitalics"/>
        </w:rPr>
        <w:t>aayalaw</w:t>
      </w:r>
      <w:r w:rsidR="00901FB9" w:rsidRPr="00901FB9">
        <w:t xml:space="preserve"> is a machine</w:t>
      </w:r>
      <w:r>
        <w:t>;</w:t>
      </w:r>
      <w:r w:rsidR="00901FB9" w:rsidRPr="00901FB9">
        <w:t xml:space="preserve"> historically</w:t>
      </w:r>
      <w:r w:rsidR="00533E77">
        <w:t>,</w:t>
      </w:r>
      <w:r w:rsidR="00901FB9" w:rsidRPr="00901FB9">
        <w:t xml:space="preserve"> machines </w:t>
      </w:r>
      <w:proofErr w:type="gramStart"/>
      <w:r w:rsidR="00901FB9" w:rsidRPr="00901FB9">
        <w:t>had a tendency to</w:t>
      </w:r>
      <w:proofErr w:type="gramEnd"/>
      <w:r w:rsidR="00901FB9" w:rsidRPr="00901FB9">
        <w:t xml:space="preserve"> shake back and forwards, a printer is then a writing machine.</w:t>
      </w:r>
    </w:p>
    <w:p w14:paraId="58709DDC" w14:textId="701156BB" w:rsidR="005E07BA" w:rsidRPr="0018718F" w:rsidRDefault="005E07BA" w:rsidP="0018718F">
      <w:pPr>
        <w:pStyle w:val="VCAAbody"/>
      </w:pPr>
      <w:r>
        <w:t xml:space="preserve">Most students did not mention the connection between the word </w:t>
      </w:r>
      <w:r w:rsidRPr="007C4F5F">
        <w:rPr>
          <w:rStyle w:val="VCAAitalics"/>
        </w:rPr>
        <w:t>maayal</w:t>
      </w:r>
      <w:r w:rsidRPr="0018718F">
        <w:t xml:space="preserve"> ‘shake’ with what (many) machines do </w:t>
      </w:r>
      <w:r w:rsidR="002972B0">
        <w:t>(</w:t>
      </w:r>
      <w:r w:rsidRPr="0018718F">
        <w:t>i.e. ‘move’ or ‘shake’ as in ‘printer’</w:t>
      </w:r>
      <w:r w:rsidR="002972B0">
        <w:t>)</w:t>
      </w:r>
      <w:r w:rsidRPr="0018718F">
        <w:t>. While some students may not be aware of what older style printers did, and may rarely use printers, if they did not get the connection between ‘shake’ and ‘machine’, they could have offered a plausible explanation for the meaning extension for which they would have receive</w:t>
      </w:r>
      <w:r w:rsidR="00533E77">
        <w:t>d</w:t>
      </w:r>
      <w:r w:rsidRPr="0018718F">
        <w:t xml:space="preserve"> marks.</w:t>
      </w:r>
    </w:p>
    <w:p w14:paraId="3C089C1A" w14:textId="77777777" w:rsidR="00A7408B" w:rsidRPr="0018718F" w:rsidRDefault="00A7408B" w:rsidP="008266C0">
      <w:pPr>
        <w:pStyle w:val="VCAAHeading3"/>
      </w:pPr>
      <w:r w:rsidRPr="0018718F">
        <w:t>Question 4f.</w:t>
      </w:r>
    </w:p>
    <w:p w14:paraId="0F4A263B" w14:textId="5F66EFD0" w:rsidR="00612560" w:rsidRPr="007C3556" w:rsidRDefault="00901FB9" w:rsidP="0018718F">
      <w:pPr>
        <w:pStyle w:val="VCAAbody"/>
      </w:pPr>
      <w:r w:rsidRPr="00901FB9">
        <w:t>Driver’s license / license to drive</w:t>
      </w:r>
    </w:p>
    <w:p w14:paraId="530979A8" w14:textId="77777777" w:rsidR="00A7408B" w:rsidRPr="0018718F" w:rsidRDefault="00A7408B" w:rsidP="008266C0">
      <w:pPr>
        <w:pStyle w:val="VCAAHeading3"/>
      </w:pPr>
      <w:r w:rsidRPr="0018718F">
        <w:t>Question 4g.</w:t>
      </w:r>
    </w:p>
    <w:p w14:paraId="4C885066" w14:textId="77777777" w:rsidR="00577D2C" w:rsidRDefault="00901FB9" w:rsidP="00E34C0B">
      <w:pPr>
        <w:pStyle w:val="VCAAbody"/>
      </w:pPr>
      <w:r w:rsidRPr="007C4F5F">
        <w:rPr>
          <w:rStyle w:val="VCAAitalics"/>
        </w:rPr>
        <w:t>Dagudi</w:t>
      </w:r>
      <w:r w:rsidRPr="0018718F">
        <w:t xml:space="preserve">. </w:t>
      </w:r>
    </w:p>
    <w:p w14:paraId="0977F488" w14:textId="6439269D" w:rsidR="00612560" w:rsidRPr="0018718F" w:rsidRDefault="00901FB9" w:rsidP="00E34C0B">
      <w:pPr>
        <w:pStyle w:val="VCAAbody"/>
      </w:pPr>
      <w:r w:rsidRPr="0018718F">
        <w:t>This is the only word that doesn’t sound like the English word when pronounced in the Gumbaynggir way.</w:t>
      </w:r>
    </w:p>
    <w:p w14:paraId="4B9B1B60" w14:textId="77777777" w:rsidR="00677CBE" w:rsidRPr="0018718F" w:rsidRDefault="00677CBE" w:rsidP="0018718F">
      <w:pPr>
        <w:pStyle w:val="VCAAHeading2"/>
      </w:pPr>
      <w:r w:rsidRPr="0018718F">
        <w:t>Section 2</w:t>
      </w:r>
    </w:p>
    <w:p w14:paraId="3CECAB4D" w14:textId="42925E22" w:rsidR="00612560" w:rsidRPr="0018718F" w:rsidRDefault="00612560" w:rsidP="0018718F">
      <w:pPr>
        <w:pStyle w:val="VCAAHeading3"/>
      </w:pPr>
      <w:r w:rsidRPr="0018718F">
        <w:t>Question 5</w:t>
      </w:r>
    </w:p>
    <w:p w14:paraId="3FE2348B" w14:textId="2BE266DC" w:rsidR="002E5CA9" w:rsidRDefault="002E5CA9" w:rsidP="0018718F">
      <w:pPr>
        <w:pStyle w:val="VCAAbody"/>
      </w:pPr>
      <w:r>
        <w:t xml:space="preserve">While some of the </w:t>
      </w:r>
      <w:r w:rsidR="00881B4B">
        <w:t xml:space="preserve">responses </w:t>
      </w:r>
      <w:r>
        <w:t xml:space="preserve">to </w:t>
      </w:r>
      <w:r w:rsidR="001F40A4">
        <w:t>Q</w:t>
      </w:r>
      <w:r>
        <w:t>uestion 5 were very good, s</w:t>
      </w:r>
      <w:r w:rsidRPr="002E5CA9">
        <w:t xml:space="preserve">ome of the answers did not deal sufficiently with the main point of the question, </w:t>
      </w:r>
      <w:r>
        <w:t xml:space="preserve">namely </w:t>
      </w:r>
      <w:r w:rsidRPr="002E5CA9">
        <w:t xml:space="preserve">‘a widespread move towards using Indigenous place names for sites around Victoria’. </w:t>
      </w:r>
    </w:p>
    <w:p w14:paraId="3C7D0B55" w14:textId="1AD9CA4E" w:rsidR="002E5CA9" w:rsidRDefault="002E5CA9" w:rsidP="0018718F">
      <w:pPr>
        <w:pStyle w:val="VCAAbody"/>
      </w:pPr>
      <w:r w:rsidRPr="002E5CA9">
        <w:t>The answers appear to have collected a lot of ideas from working with the practi</w:t>
      </w:r>
      <w:r w:rsidR="001F40A4">
        <w:t>s</w:t>
      </w:r>
      <w:r w:rsidRPr="002E5CA9">
        <w:t>e exams, discussing issues like community consultation,</w:t>
      </w:r>
      <w:r w:rsidR="00533E77">
        <w:t xml:space="preserve"> the</w:t>
      </w:r>
      <w:r w:rsidRPr="002E5CA9">
        <w:t xml:space="preserve"> need for borrowing words from other languages </w:t>
      </w:r>
      <w:r w:rsidR="001F40A4">
        <w:t>etc.</w:t>
      </w:r>
      <w:r w:rsidR="00533E77">
        <w:t>,</w:t>
      </w:r>
      <w:r w:rsidRPr="002E5CA9">
        <w:t xml:space="preserve"> that </w:t>
      </w:r>
      <w:r w:rsidR="001F40A4" w:rsidRPr="002E5CA9">
        <w:t>d</w:t>
      </w:r>
      <w:r w:rsidR="001F40A4">
        <w:t>id</w:t>
      </w:r>
      <w:r w:rsidR="001F40A4" w:rsidRPr="002E5CA9">
        <w:t xml:space="preserve"> </w:t>
      </w:r>
      <w:r w:rsidRPr="002E5CA9">
        <w:t>not relate directly to the topic of the question. The students need to answer the questions</w:t>
      </w:r>
      <w:r>
        <w:t xml:space="preserve"> as they are asked, and not assume that the essay questions will be the same every year.</w:t>
      </w:r>
    </w:p>
    <w:p w14:paraId="69B7E7DF" w14:textId="7C98869C" w:rsidR="00514CBA" w:rsidRPr="0018718F" w:rsidRDefault="00514CBA" w:rsidP="008266C0">
      <w:pPr>
        <w:pStyle w:val="VCAAHeading3"/>
      </w:pPr>
      <w:r w:rsidRPr="00832125">
        <w:t>Question 5a.</w:t>
      </w:r>
    </w:p>
    <w:p w14:paraId="77F14FE9" w14:textId="203AF477" w:rsidR="00901FB9" w:rsidRPr="00901FB9" w:rsidRDefault="00901FB9" w:rsidP="0018718F">
      <w:pPr>
        <w:pStyle w:val="VCAAbody"/>
      </w:pPr>
      <w:r w:rsidRPr="00901FB9">
        <w:t>Answers should include some discussion of the range of resources available within the target language community; songs, stories, folk memories of a second</w:t>
      </w:r>
      <w:r w:rsidR="005F7D70">
        <w:t>-</w:t>
      </w:r>
      <w:r w:rsidRPr="00901FB9">
        <w:t xml:space="preserve"> or third</w:t>
      </w:r>
      <w:r w:rsidR="005F7D70">
        <w:t>-</w:t>
      </w:r>
      <w:r w:rsidRPr="00901FB9">
        <w:t xml:space="preserve">hand nature, written resources from local press, perhaps historical societies or similar. Deciding what to include might involve some ranking of these resources. </w:t>
      </w:r>
    </w:p>
    <w:p w14:paraId="5EA24DFD" w14:textId="77777777" w:rsidR="00901FB9" w:rsidRPr="00901FB9" w:rsidRDefault="00901FB9" w:rsidP="0018718F">
      <w:pPr>
        <w:pStyle w:val="VCAAbody"/>
      </w:pPr>
      <w:r w:rsidRPr="00901FB9">
        <w:t xml:space="preserve">There may be significant individuals, families or groups within the community whose input should be described. </w:t>
      </w:r>
    </w:p>
    <w:p w14:paraId="1C0FBE2E" w14:textId="10C141B0" w:rsidR="00901FB9" w:rsidRPr="00901FB9" w:rsidRDefault="00901FB9" w:rsidP="0018718F">
      <w:pPr>
        <w:pStyle w:val="VCAAbody"/>
      </w:pPr>
      <w:r w:rsidRPr="00901FB9">
        <w:lastRenderedPageBreak/>
        <w:t xml:space="preserve">As mentioned above, the records of explorers, pastoralists and newspaper accounts of activities in the area both from the </w:t>
      </w:r>
      <w:r w:rsidR="00BA181F">
        <w:t>19th</w:t>
      </w:r>
      <w:r w:rsidR="00BA181F" w:rsidRPr="00901FB9">
        <w:t xml:space="preserve"> </w:t>
      </w:r>
      <w:r w:rsidRPr="00901FB9">
        <w:t xml:space="preserve">century and more recently are potential sources for the collection of vital information. </w:t>
      </w:r>
    </w:p>
    <w:p w14:paraId="43AF25BF" w14:textId="079D0193" w:rsidR="00901FB9" w:rsidRPr="00901FB9" w:rsidRDefault="00901FB9" w:rsidP="0018718F">
      <w:pPr>
        <w:pStyle w:val="VCAAbody"/>
      </w:pPr>
      <w:r w:rsidRPr="00901FB9">
        <w:t xml:space="preserve">Mention could be made of the inconsistencies of spelling by Europeans, as well as the possibility the </w:t>
      </w:r>
      <w:r w:rsidR="00E77238">
        <w:t>I</w:t>
      </w:r>
      <w:r w:rsidRPr="00901FB9">
        <w:t xml:space="preserve">ndigenous words </w:t>
      </w:r>
      <w:r w:rsidR="00E77238">
        <w:t>that</w:t>
      </w:r>
      <w:r w:rsidR="00E77238" w:rsidRPr="00901FB9">
        <w:t xml:space="preserve"> </w:t>
      </w:r>
      <w:r w:rsidRPr="00901FB9">
        <w:t xml:space="preserve">are not actually place names could come to be given the status of place names by European hearers. This could result in </w:t>
      </w:r>
      <w:r w:rsidR="00E77238">
        <w:t>I</w:t>
      </w:r>
      <w:r w:rsidRPr="00901FB9">
        <w:t xml:space="preserve">ndigenous verbs or names of certain creatures being supplied to a white questioner because the </w:t>
      </w:r>
      <w:r w:rsidR="00E77238">
        <w:t>I</w:t>
      </w:r>
      <w:r w:rsidRPr="00901FB9">
        <w:t xml:space="preserve">ndigenous person involved misunderstood the thrust of their question. Perhaps also the tendency for words of an obscene or ribald nature being given to Europeans as an entertainment. European attitudes to the giving of names to actual places, rather than using words </w:t>
      </w:r>
      <w:r w:rsidR="00DB1DD6">
        <w:t>that</w:t>
      </w:r>
      <w:r w:rsidR="00DB1DD6" w:rsidRPr="00901FB9">
        <w:t xml:space="preserve"> </w:t>
      </w:r>
      <w:r w:rsidRPr="00901FB9">
        <w:t>might describe an activity</w:t>
      </w:r>
      <w:r w:rsidR="00533E77">
        <w:t>,</w:t>
      </w:r>
      <w:r w:rsidRPr="00901FB9">
        <w:t xml:space="preserve"> could colour the English language records. </w:t>
      </w:r>
    </w:p>
    <w:p w14:paraId="3147F1B8" w14:textId="07EB462C" w:rsidR="00901FB9" w:rsidRPr="00901FB9" w:rsidRDefault="00901FB9" w:rsidP="0018718F">
      <w:pPr>
        <w:pStyle w:val="VCAAbody"/>
      </w:pPr>
      <w:r w:rsidRPr="00901FB9">
        <w:t xml:space="preserve">Words might be given spurious meanings. Perhaps a person from the wrong language group was asked for a meaning (as in the case of Kaurna where Ngarrindjeri speakers Unaipon and Milerum were asked about the meaning of Kaurna placenames). Suggested meanings might actually be </w:t>
      </w:r>
      <w:r w:rsidR="00003648" w:rsidRPr="00901FB9">
        <w:t>descriptive</w:t>
      </w:r>
      <w:r w:rsidR="00003648">
        <w:t>,</w:t>
      </w:r>
      <w:r w:rsidRPr="00901FB9">
        <w:t xml:space="preserve"> referring to qualities of the landform or refer to functions of the place.</w:t>
      </w:r>
    </w:p>
    <w:p w14:paraId="23885512" w14:textId="2B1FDD18" w:rsidR="00AF35DE" w:rsidRDefault="00901FB9" w:rsidP="007C4F5F">
      <w:pPr>
        <w:pStyle w:val="VCAAbody"/>
      </w:pPr>
      <w:r w:rsidRPr="00901FB9">
        <w:t xml:space="preserve">Clearly many cultural practices have been, and still may be of a sensitive nature, and consideration should be given to not using words </w:t>
      </w:r>
      <w:r w:rsidR="00003648">
        <w:t>that</w:t>
      </w:r>
      <w:r w:rsidR="00003648" w:rsidRPr="00901FB9">
        <w:t xml:space="preserve"> </w:t>
      </w:r>
      <w:r w:rsidRPr="00901FB9">
        <w:t xml:space="preserve">lead into such areas. There may be names </w:t>
      </w:r>
      <w:r w:rsidR="0038371C">
        <w:t>that</w:t>
      </w:r>
      <w:r w:rsidR="0038371C" w:rsidRPr="00901FB9">
        <w:t xml:space="preserve"> </w:t>
      </w:r>
      <w:r w:rsidRPr="00901FB9">
        <w:t xml:space="preserve">are appropriate for only some groups to use (for example, gender-specific names). </w:t>
      </w:r>
    </w:p>
    <w:p w14:paraId="0271042A" w14:textId="45EE3422" w:rsidR="00514CBA" w:rsidRPr="0018718F" w:rsidRDefault="00514CBA" w:rsidP="008266C0">
      <w:pPr>
        <w:pStyle w:val="VCAAHeading3"/>
      </w:pPr>
      <w:r w:rsidRPr="0018718F">
        <w:t>Question 5b.</w:t>
      </w:r>
    </w:p>
    <w:p w14:paraId="1611C408" w14:textId="27D63E60" w:rsidR="00901FB9" w:rsidRPr="00901FB9" w:rsidRDefault="00901FB9" w:rsidP="0018718F">
      <w:pPr>
        <w:pStyle w:val="VCAAbody"/>
      </w:pPr>
      <w:r>
        <w:t>Answers might include discussion of the fact that t</w:t>
      </w:r>
      <w:r w:rsidRPr="00901FB9">
        <w:t>here might be individuals within the target language community whose knowledge and even ownership of material is more highly esteemed. Can material be exposed to general knowledge and use? Who should do the singing? Gender and age roles might be considered.</w:t>
      </w:r>
    </w:p>
    <w:p w14:paraId="67DE3E69" w14:textId="505618B8" w:rsidR="00901FB9" w:rsidRPr="00901FB9" w:rsidRDefault="00901FB9" w:rsidP="0018718F">
      <w:pPr>
        <w:pStyle w:val="VCAAbody"/>
      </w:pPr>
      <w:r w:rsidRPr="00901FB9">
        <w:t xml:space="preserve">It might be necessary to discuss traditional kinship in relation to </w:t>
      </w:r>
      <w:r w:rsidR="00310329">
        <w:t>‘</w:t>
      </w:r>
      <w:r w:rsidRPr="00901FB9">
        <w:t>ownership</w:t>
      </w:r>
      <w:r w:rsidR="00310329">
        <w:t>’</w:t>
      </w:r>
      <w:r w:rsidRPr="00901FB9">
        <w:t xml:space="preserve"> or </w:t>
      </w:r>
      <w:r w:rsidR="00310329">
        <w:t>‘</w:t>
      </w:r>
      <w:r w:rsidRPr="00901FB9">
        <w:t>caretaking</w:t>
      </w:r>
      <w:r w:rsidR="00310329">
        <w:t>’</w:t>
      </w:r>
      <w:r w:rsidRPr="00901FB9">
        <w:t xml:space="preserve"> of a site. </w:t>
      </w:r>
    </w:p>
    <w:p w14:paraId="540D26FF" w14:textId="77777777" w:rsidR="00901FB9" w:rsidRPr="00901FB9" w:rsidRDefault="00901FB9" w:rsidP="0018718F">
      <w:pPr>
        <w:pStyle w:val="VCAAbody"/>
      </w:pPr>
      <w:r w:rsidRPr="00901FB9">
        <w:t>The role of the site in the past is of primary importance. Does the site still have some significance of a peculiar nature? Are certain stories repeated at or about the site? Were/are the sites associated with stages of life transition?</w:t>
      </w:r>
    </w:p>
    <w:p w14:paraId="2278FEF7" w14:textId="213B5FAA" w:rsidR="00514CBA" w:rsidRPr="00901FB9" w:rsidRDefault="00901FB9" w:rsidP="0018718F">
      <w:pPr>
        <w:pStyle w:val="VCAAbody"/>
      </w:pPr>
      <w:r w:rsidRPr="00901FB9">
        <w:t>Consideration could be given as to whether the name selected should be a noun, either a name traditionally used and thus remembered, or whether the name itself is a noun associated with some cultural practice or traditional story. Possibly an activity (a cultural practice or a part of a traditional story) could be the most significant notion associated with the site, and therefore an appropriate name.</w:t>
      </w:r>
    </w:p>
    <w:p w14:paraId="2100CFFC" w14:textId="2302D8A9" w:rsidR="00514CBA" w:rsidRPr="0018718F" w:rsidRDefault="00514CBA" w:rsidP="008266C0">
      <w:pPr>
        <w:pStyle w:val="VCAAHeading3"/>
      </w:pPr>
      <w:r w:rsidRPr="0018718F">
        <w:t>Question 5c.</w:t>
      </w:r>
    </w:p>
    <w:p w14:paraId="6BEB9C62" w14:textId="77777777" w:rsidR="00901FB9" w:rsidRPr="00901FB9" w:rsidRDefault="00901FB9" w:rsidP="0018718F">
      <w:pPr>
        <w:pStyle w:val="VCAAbody"/>
      </w:pPr>
      <w:r w:rsidRPr="00901FB9">
        <w:t xml:space="preserve">Students should describe interviewing individuals or groups to record folk memories as fully as possible. </w:t>
      </w:r>
    </w:p>
    <w:p w14:paraId="48DB3A63" w14:textId="77777777" w:rsidR="00901FB9" w:rsidRPr="00901FB9" w:rsidRDefault="00901FB9" w:rsidP="0018718F">
      <w:pPr>
        <w:pStyle w:val="VCAAbody"/>
      </w:pPr>
      <w:r w:rsidRPr="00901FB9">
        <w:t xml:space="preserve">A full selection of words, fragments of speech and names should be assembled. Nouns, verbs and adjectives would be among these, and their use within the language might inform the selection of an eventual suggested place name.  </w:t>
      </w:r>
    </w:p>
    <w:p w14:paraId="62DF1C40" w14:textId="77777777" w:rsidR="00901FB9" w:rsidRPr="00901FB9" w:rsidRDefault="00901FB9" w:rsidP="0018718F">
      <w:pPr>
        <w:pStyle w:val="VCAAbody"/>
      </w:pPr>
      <w:r w:rsidRPr="00901FB9">
        <w:t>Electronic and written records of interviews and conversations might be used, as well as quotations from historical documents.</w:t>
      </w:r>
    </w:p>
    <w:p w14:paraId="185F7464" w14:textId="67CEAA99" w:rsidR="00514CBA" w:rsidRPr="00901FB9" w:rsidRDefault="00901FB9" w:rsidP="0018718F">
      <w:pPr>
        <w:pStyle w:val="VCAAbody"/>
      </w:pPr>
      <w:r w:rsidRPr="00901FB9">
        <w:t>Students could discuss the selection of a group or individuals to perform a song, a play or to produce an audio or visual product to complement a presentation to the authorities.</w:t>
      </w:r>
    </w:p>
    <w:p w14:paraId="6B6A0887" w14:textId="3F9EA2C5" w:rsidR="00612560" w:rsidRPr="0018718F" w:rsidRDefault="00612560" w:rsidP="0018718F">
      <w:pPr>
        <w:pStyle w:val="VCAAHeading3"/>
      </w:pPr>
      <w:r w:rsidRPr="0018718F">
        <w:t>Question 6</w:t>
      </w:r>
    </w:p>
    <w:p w14:paraId="6593D78C" w14:textId="6C7B29D7" w:rsidR="00415318" w:rsidRPr="007C3556" w:rsidRDefault="0065266A" w:rsidP="0018718F">
      <w:pPr>
        <w:pStyle w:val="VCAAbody"/>
      </w:pPr>
      <w:bookmarkStart w:id="4" w:name="_Hlk33089991"/>
      <w:r w:rsidRPr="007C3556">
        <w:t>Responses to</w:t>
      </w:r>
      <w:r w:rsidR="00EC66E8" w:rsidRPr="007C3556">
        <w:t xml:space="preserve"> Question 6 were generally very good.</w:t>
      </w:r>
    </w:p>
    <w:p w14:paraId="12D6C6DF" w14:textId="67D2DED3" w:rsidR="00A7408B" w:rsidRPr="0018718F" w:rsidRDefault="00A7408B" w:rsidP="008266C0">
      <w:pPr>
        <w:pStyle w:val="VCAAHeading3"/>
      </w:pPr>
      <w:r w:rsidRPr="00AF35DE">
        <w:lastRenderedPageBreak/>
        <w:t>Question 6</w:t>
      </w:r>
      <w:r w:rsidR="00612560" w:rsidRPr="00AF35DE">
        <w:t>a.</w:t>
      </w:r>
    </w:p>
    <w:bookmarkEnd w:id="4"/>
    <w:p w14:paraId="6EFEEAE1" w14:textId="134617CA" w:rsidR="002E5CA9" w:rsidRPr="002E5CA9" w:rsidRDefault="002E5CA9" w:rsidP="0018718F">
      <w:pPr>
        <w:pStyle w:val="VCAAbody"/>
      </w:pPr>
      <w:r>
        <w:t>Answers would make the point that f</w:t>
      </w:r>
      <w:r w:rsidRPr="002E5CA9">
        <w:t>irst and foremost, Ŋalawurr acquired her mother’s language (Gumatj) first and then her own language Djapu (the language of her father) later in life (adolescence)</w:t>
      </w:r>
      <w:r w:rsidR="007F2CB8">
        <w:t>.</w:t>
      </w:r>
    </w:p>
    <w:p w14:paraId="4485BB70" w14:textId="030B5C68" w:rsidR="002E5CA9" w:rsidRPr="002E5CA9" w:rsidRDefault="002E5CA9" w:rsidP="0018718F">
      <w:pPr>
        <w:pStyle w:val="VCAAbody"/>
      </w:pPr>
      <w:r w:rsidRPr="002E5CA9">
        <w:t xml:space="preserve">Answers would refer to the family relationships that lead to her having knowledge of multiple languages, that she may know some languages but choose not </w:t>
      </w:r>
      <w:proofErr w:type="gramStart"/>
      <w:r w:rsidRPr="002E5CA9">
        <w:t>speak</w:t>
      </w:r>
      <w:proofErr w:type="gramEnd"/>
      <w:r w:rsidRPr="002E5CA9">
        <w:t xml:space="preserve"> them in certain situations</w:t>
      </w:r>
      <w:r w:rsidR="007F2CB8">
        <w:t xml:space="preserve"> </w:t>
      </w:r>
      <w:r w:rsidRPr="002E5CA9">
        <w:t>– such as knowing her mother ‘Gumatj’ but still speaking Djapu to her mother, that she has knowledge of all the languages in the area.</w:t>
      </w:r>
    </w:p>
    <w:p w14:paraId="5974A1B6" w14:textId="128D24CF" w:rsidR="002E5CA9" w:rsidRPr="002E5CA9" w:rsidRDefault="002E5CA9" w:rsidP="0018718F">
      <w:pPr>
        <w:pStyle w:val="VCAAbody"/>
      </w:pPr>
      <w:r w:rsidRPr="002E5CA9">
        <w:t>Her knowledge comes firstly from listening to language within her context. Mention should be made of family connections. Her recognition of her place and responsibilities within contemporary community life is also an important factor. Reference could be made to the impact of the dominant European culture</w:t>
      </w:r>
      <w:r w:rsidR="007F2CB8">
        <w:t>,</w:t>
      </w:r>
      <w:r w:rsidRPr="002E5CA9">
        <w:t xml:space="preserve"> which has no doubt contributed to her contact with language/dialect groups.  </w:t>
      </w:r>
    </w:p>
    <w:p w14:paraId="0738A01A" w14:textId="2067D7EC" w:rsidR="00B95DCF" w:rsidRPr="007C3556" w:rsidRDefault="002E5CA9" w:rsidP="0018718F">
      <w:pPr>
        <w:pStyle w:val="VCAAbody"/>
      </w:pPr>
      <w:r w:rsidRPr="002E5CA9">
        <w:t xml:space="preserve">Answers would need to include the fact that Dalawurr’s mother and father spoke different languages. Individuals grow up hearing mostly their mother’s language, though they also hear their father’s and grandparent’s </w:t>
      </w:r>
      <w:r w:rsidR="007F2CB8">
        <w:t>‘</w:t>
      </w:r>
      <w:r w:rsidRPr="002E5CA9">
        <w:t>dialects</w:t>
      </w:r>
      <w:r w:rsidR="007F2CB8">
        <w:t>’</w:t>
      </w:r>
      <w:r w:rsidRPr="002E5CA9">
        <w:t xml:space="preserve"> being used. Reference should be made to the fact that Dalawurr’s identity as a Djapu child carries with it responsibilities in cultic life. The fact that the interviewee lists some 13 languages as being ones they grew up among must also influence language development and use.</w:t>
      </w:r>
    </w:p>
    <w:p w14:paraId="6D167DF9" w14:textId="12EBA894" w:rsidR="00A7408B" w:rsidRPr="0018718F" w:rsidRDefault="00A7408B" w:rsidP="008266C0">
      <w:pPr>
        <w:pStyle w:val="VCAAHeading3"/>
      </w:pPr>
      <w:r w:rsidRPr="0018718F">
        <w:t>Question 6</w:t>
      </w:r>
      <w:r w:rsidR="00612560" w:rsidRPr="0018718F">
        <w:t>b.</w:t>
      </w:r>
      <w:bookmarkStart w:id="5" w:name="_Hlk33091174"/>
    </w:p>
    <w:bookmarkEnd w:id="5"/>
    <w:p w14:paraId="57A43830" w14:textId="3C7EA963" w:rsidR="00612560" w:rsidRPr="007C3556" w:rsidRDefault="002E5CA9" w:rsidP="0018718F">
      <w:pPr>
        <w:pStyle w:val="VCAAbody"/>
      </w:pPr>
      <w:r w:rsidRPr="002E5CA9">
        <w:t xml:space="preserve">Answers would need to mention that Dalawurr makes the link between speaking Gumajt and the land at Birany Birany. Dalawurr describes </w:t>
      </w:r>
      <w:r w:rsidR="007F2CB8">
        <w:t>‘</w:t>
      </w:r>
      <w:r w:rsidRPr="002E5CA9">
        <w:t>Gumatj men who belong to that land</w:t>
      </w:r>
      <w:r w:rsidR="007F2CB8">
        <w:t>’</w:t>
      </w:r>
      <w:r w:rsidRPr="002E5CA9">
        <w:t xml:space="preserve"> as if that belonging is the determinant in the language position of spouses and children. Dalawurr also talks of ownership and caretaker-hood of ceremonies and land. The interviewee’s own role and responsibility for the land and ceremonies turns on language use.</w:t>
      </w:r>
    </w:p>
    <w:p w14:paraId="5EE15E1B" w14:textId="77777777" w:rsidR="00A7408B" w:rsidRPr="0018718F" w:rsidRDefault="00A7408B" w:rsidP="008266C0">
      <w:pPr>
        <w:pStyle w:val="VCAAHeading3"/>
      </w:pPr>
      <w:r w:rsidRPr="0018718F">
        <w:t>Question 6</w:t>
      </w:r>
      <w:r w:rsidR="00612560" w:rsidRPr="0018718F">
        <w:t>c.</w:t>
      </w:r>
    </w:p>
    <w:p w14:paraId="150E9348" w14:textId="25AE4112" w:rsidR="002E5CA9" w:rsidRPr="002E5CA9" w:rsidRDefault="002E5CA9" w:rsidP="0018718F">
      <w:pPr>
        <w:pStyle w:val="VCAAbody"/>
      </w:pPr>
      <w:r w:rsidRPr="002E5CA9">
        <w:t>Snooky’s story is very different from Daluwurr’s. Snooky grew up speaking Ngarrindjerri in the land of another language, Nunga country. The interviewee was not aware of</w:t>
      </w:r>
      <w:r w:rsidR="00BD4CDA">
        <w:t xml:space="preserve"> his</w:t>
      </w:r>
      <w:r w:rsidRPr="002E5CA9">
        <w:t xml:space="preserve"> father’s origin, unlike Dalawurr, who seems to have always clearly known the language affinity of both parents, and for that matter, g</w:t>
      </w:r>
      <w:r w:rsidR="007F2CB8">
        <w:t>r</w:t>
      </w:r>
      <w:r w:rsidRPr="002E5CA9">
        <w:t xml:space="preserve">andparents. Snooky </w:t>
      </w:r>
      <w:r w:rsidR="007F2CB8">
        <w:t>‘</w:t>
      </w:r>
      <w:r w:rsidRPr="002E5CA9">
        <w:t>now</w:t>
      </w:r>
      <w:r w:rsidR="007F2CB8">
        <w:t>’</w:t>
      </w:r>
      <w:r w:rsidRPr="002E5CA9">
        <w:t xml:space="preserve"> lives in Adelaide where more language influences exist. Not only might that be the land of Kaurna language, but many locals speak Nunga English. The use of such a lingua franca must influence one’s own language use and development. Dalawurr makes no mention of such an influence.</w:t>
      </w:r>
      <w:r w:rsidR="00BD4CDA">
        <w:t xml:space="preserve"> </w:t>
      </w:r>
      <w:r w:rsidRPr="002E5CA9">
        <w:t>Snooky lacks the close affinity with land that is clear in Dalawurr’s story. In fact, Snooky only discovered</w:t>
      </w:r>
      <w:r w:rsidR="00BD4CDA">
        <w:t xml:space="preserve"> his</w:t>
      </w:r>
      <w:r w:rsidRPr="002E5CA9">
        <w:t xml:space="preserve"> father’s cultural and linguistic background when studying his genealogy. No mention is made of links between language and cultic practice and either the land at Point McLeay or the Flinders Ranges. </w:t>
      </w:r>
    </w:p>
    <w:p w14:paraId="72595300" w14:textId="4BEB38C6" w:rsidR="0044213C" w:rsidRPr="007C4F5F" w:rsidRDefault="002E5CA9" w:rsidP="007C4F5F">
      <w:pPr>
        <w:pStyle w:val="VCAAbody"/>
      </w:pPr>
      <w:r w:rsidRPr="002E5CA9">
        <w:t>Snooky gets his language originally from his mother, he didn’t know initially about his father. Students would also talk about</w:t>
      </w:r>
      <w:r w:rsidR="00BD4CDA">
        <w:t xml:space="preserve"> how,</w:t>
      </w:r>
      <w:r w:rsidRPr="002E5CA9">
        <w:t xml:space="preserve"> in his particular case</w:t>
      </w:r>
      <w:r w:rsidR="00BD4CDA">
        <w:t>,</w:t>
      </w:r>
      <w:r w:rsidRPr="002E5CA9">
        <w:t xml:space="preserve"> the impact of dealing with his family history is a central factor in his language understanding and development. The importance of </w:t>
      </w:r>
      <w:r w:rsidR="00BD4CDA">
        <w:t>‘</w:t>
      </w:r>
      <w:r w:rsidRPr="002E5CA9">
        <w:t>Nunga English</w:t>
      </w:r>
      <w:r w:rsidR="00BD4CDA">
        <w:t>’</w:t>
      </w:r>
      <w:r w:rsidRPr="002E5CA9">
        <w:t xml:space="preserve">, not perhaps a </w:t>
      </w:r>
      <w:r w:rsidR="00BD4CDA">
        <w:t>‘</w:t>
      </w:r>
      <w:r w:rsidRPr="002E5CA9">
        <w:t>pure</w:t>
      </w:r>
      <w:r w:rsidR="00BD4CDA">
        <w:t>’</w:t>
      </w:r>
      <w:r w:rsidRPr="002E5CA9">
        <w:t xml:space="preserve"> </w:t>
      </w:r>
      <w:r w:rsidR="00BD4CDA">
        <w:t>I</w:t>
      </w:r>
      <w:r w:rsidRPr="002E5CA9">
        <w:t xml:space="preserve">ndigenous language, but one awash with influences from many should be mentioned. His experience of yearning for a language stimulated by hearing other kids use their non-English language, and the authorities’ unwillingness to accept his </w:t>
      </w:r>
      <w:r w:rsidR="00BD4CDA">
        <w:t>I</w:t>
      </w:r>
      <w:r w:rsidRPr="002E5CA9">
        <w:t>ndigenous language must also be mentioned. Snooky’s rider about the importance of language to a feeling of wellbeing and connection with the past and confidence about the future has clearly coloured his view of his language development.</w:t>
      </w:r>
    </w:p>
    <w:sectPr w:rsidR="0044213C" w:rsidRPr="007C4F5F"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E7D91" w:rsidRDefault="007E7D91" w:rsidP="00304EA1">
      <w:pPr>
        <w:spacing w:after="0" w:line="240" w:lineRule="auto"/>
      </w:pPr>
      <w:r>
        <w:separator/>
      </w:r>
    </w:p>
  </w:endnote>
  <w:endnote w:type="continuationSeparator" w:id="0">
    <w:p w14:paraId="6C2FE3E4" w14:textId="77777777" w:rsidR="007E7D91" w:rsidRDefault="007E7D9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E7D91" w:rsidRPr="00D06414" w14:paraId="00D3EC34" w14:textId="77777777" w:rsidTr="00BB3BAB">
      <w:trPr>
        <w:trHeight w:val="476"/>
      </w:trPr>
      <w:tc>
        <w:tcPr>
          <w:tcW w:w="1667" w:type="pct"/>
          <w:tcMar>
            <w:left w:w="0" w:type="dxa"/>
            <w:right w:w="0" w:type="dxa"/>
          </w:tcMar>
        </w:tcPr>
        <w:p w14:paraId="4F062E5B" w14:textId="77777777" w:rsidR="007E7D91" w:rsidRPr="00D06414" w:rsidRDefault="007E7D9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E7D91" w:rsidRPr="00D06414" w:rsidRDefault="007E7D9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E2FBB34" w:rsidR="007E7D91" w:rsidRPr="00D06414" w:rsidRDefault="007E7D9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34DE1">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5D192EFA" w14:textId="77777777" w:rsidR="007E7D91" w:rsidRPr="00D06414" w:rsidRDefault="007E7D9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E7D91" w:rsidRPr="00D06414" w14:paraId="28670396" w14:textId="77777777" w:rsidTr="000F5AAF">
      <w:tc>
        <w:tcPr>
          <w:tcW w:w="1459" w:type="pct"/>
          <w:tcMar>
            <w:left w:w="0" w:type="dxa"/>
            <w:right w:w="0" w:type="dxa"/>
          </w:tcMar>
        </w:tcPr>
        <w:p w14:paraId="0BBE30B4" w14:textId="77777777" w:rsidR="007E7D91" w:rsidRPr="00D06414" w:rsidRDefault="007E7D9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E7D91" w:rsidRPr="00D06414" w:rsidRDefault="007E7D9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E7D91" w:rsidRPr="00D06414" w:rsidRDefault="007E7D9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E7D91" w:rsidRPr="00D06414" w:rsidRDefault="007E7D9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E7D91" w:rsidRDefault="007E7D91" w:rsidP="00304EA1">
      <w:pPr>
        <w:spacing w:after="0" w:line="240" w:lineRule="auto"/>
      </w:pPr>
      <w:r>
        <w:separator/>
      </w:r>
    </w:p>
  </w:footnote>
  <w:footnote w:type="continuationSeparator" w:id="0">
    <w:p w14:paraId="600CFD58" w14:textId="77777777" w:rsidR="007E7D91" w:rsidRDefault="007E7D9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E7E00BA" w:rsidR="007E7D91" w:rsidRPr="00D86DE4" w:rsidRDefault="00F64C1E" w:rsidP="00D86DE4">
    <w:pPr>
      <w:pStyle w:val="VCAAcaptionsandfootnotes"/>
      <w:rPr>
        <w:color w:val="999999" w:themeColor="accent2"/>
      </w:rPr>
    </w:pPr>
    <w:r w:rsidRPr="0018718F">
      <w:t>2022 VCE Indigenous Languages of Victoria – Revival and Reclamation written examination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E7D91" w:rsidRPr="009370BC" w:rsidRDefault="007E7D9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E1A751C"/>
    <w:multiLevelType w:val="hybridMultilevel"/>
    <w:tmpl w:val="E0D4DB9E"/>
    <w:lvl w:ilvl="0" w:tplc="F31AE300">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0F136D7"/>
    <w:multiLevelType w:val="hybridMultilevel"/>
    <w:tmpl w:val="9EE680BE"/>
    <w:lvl w:ilvl="0" w:tplc="B8E84CC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18048F"/>
    <w:multiLevelType w:val="hybridMultilevel"/>
    <w:tmpl w:val="EC7C02D2"/>
    <w:lvl w:ilvl="0" w:tplc="0C090019">
      <w:start w:val="1"/>
      <w:numFmt w:val="lowerLetter"/>
      <w:lvlText w:val="%1."/>
      <w:lvlJc w:val="left"/>
      <w:pPr>
        <w:ind w:left="720" w:hanging="360"/>
      </w:pPr>
    </w:lvl>
    <w:lvl w:ilvl="1" w:tplc="7336609A">
      <w:start w:val="1"/>
      <w:numFmt w:val="lowerLetter"/>
      <w:lvlText w:val="%2."/>
      <w:lvlJc w:val="left"/>
      <w:pPr>
        <w:ind w:left="36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2872B6C"/>
    <w:multiLevelType w:val="hybridMultilevel"/>
    <w:tmpl w:val="E444C76A"/>
    <w:lvl w:ilvl="0" w:tplc="A92A399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DAB5D64"/>
    <w:multiLevelType w:val="hybridMultilevel"/>
    <w:tmpl w:val="068EBF4C"/>
    <w:lvl w:ilvl="0" w:tplc="2214C0DA">
      <w:start w:val="1"/>
      <w:numFmt w:val="bullet"/>
      <w:lvlText w:val="-"/>
      <w:lvlJc w:val="left"/>
      <w:pPr>
        <w:ind w:left="720" w:hanging="360"/>
      </w:pPr>
      <w:rPr>
        <w:rFonts w:ascii="Times New Roman" w:eastAsia="TimesNewRomanPSMT"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1830464">
    <w:abstractNumId w:val="7"/>
  </w:num>
  <w:num w:numId="2" w16cid:durableId="1284192462">
    <w:abstractNumId w:val="3"/>
  </w:num>
  <w:num w:numId="3" w16cid:durableId="207840753">
    <w:abstractNumId w:val="1"/>
  </w:num>
  <w:num w:numId="4" w16cid:durableId="1249850669">
    <w:abstractNumId w:val="0"/>
  </w:num>
  <w:num w:numId="5" w16cid:durableId="1361390927">
    <w:abstractNumId w:val="4"/>
  </w:num>
  <w:num w:numId="6" w16cid:durableId="1003506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5689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2114269">
    <w:abstractNumId w:val="8"/>
  </w:num>
  <w:num w:numId="9" w16cid:durableId="713165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648"/>
    <w:rsid w:val="00003885"/>
    <w:rsid w:val="00024018"/>
    <w:rsid w:val="0004684C"/>
    <w:rsid w:val="00056B16"/>
    <w:rsid w:val="0005780E"/>
    <w:rsid w:val="00064F73"/>
    <w:rsid w:val="00065CC6"/>
    <w:rsid w:val="00090D46"/>
    <w:rsid w:val="00094F4B"/>
    <w:rsid w:val="000A71F7"/>
    <w:rsid w:val="000B43EF"/>
    <w:rsid w:val="000C67D8"/>
    <w:rsid w:val="000D5F87"/>
    <w:rsid w:val="000F09E4"/>
    <w:rsid w:val="000F16FD"/>
    <w:rsid w:val="000F5AAF"/>
    <w:rsid w:val="00103EBB"/>
    <w:rsid w:val="00120DB9"/>
    <w:rsid w:val="001222E5"/>
    <w:rsid w:val="00130191"/>
    <w:rsid w:val="00133D49"/>
    <w:rsid w:val="00143520"/>
    <w:rsid w:val="00153AD2"/>
    <w:rsid w:val="00167CCE"/>
    <w:rsid w:val="001779EA"/>
    <w:rsid w:val="00182027"/>
    <w:rsid w:val="00184297"/>
    <w:rsid w:val="0018718F"/>
    <w:rsid w:val="001C3EEA"/>
    <w:rsid w:val="001D3246"/>
    <w:rsid w:val="001E4E16"/>
    <w:rsid w:val="001F40A4"/>
    <w:rsid w:val="00216E9F"/>
    <w:rsid w:val="002279BA"/>
    <w:rsid w:val="002329F3"/>
    <w:rsid w:val="00243F0D"/>
    <w:rsid w:val="00260767"/>
    <w:rsid w:val="002647BB"/>
    <w:rsid w:val="002754C1"/>
    <w:rsid w:val="002841C8"/>
    <w:rsid w:val="0028516B"/>
    <w:rsid w:val="002972B0"/>
    <w:rsid w:val="002A1A82"/>
    <w:rsid w:val="002C6F90"/>
    <w:rsid w:val="002E4FB5"/>
    <w:rsid w:val="002E5CA9"/>
    <w:rsid w:val="00302FB8"/>
    <w:rsid w:val="00304EA1"/>
    <w:rsid w:val="00310329"/>
    <w:rsid w:val="0031134D"/>
    <w:rsid w:val="00314D81"/>
    <w:rsid w:val="00322B93"/>
    <w:rsid w:val="00322FC6"/>
    <w:rsid w:val="0034223C"/>
    <w:rsid w:val="00350651"/>
    <w:rsid w:val="0035293F"/>
    <w:rsid w:val="0035504C"/>
    <w:rsid w:val="0036285C"/>
    <w:rsid w:val="00364374"/>
    <w:rsid w:val="0038371C"/>
    <w:rsid w:val="00385147"/>
    <w:rsid w:val="00391986"/>
    <w:rsid w:val="00393127"/>
    <w:rsid w:val="003A00B4"/>
    <w:rsid w:val="003A7579"/>
    <w:rsid w:val="003B2257"/>
    <w:rsid w:val="003C5E71"/>
    <w:rsid w:val="003C6C6D"/>
    <w:rsid w:val="003D5EC4"/>
    <w:rsid w:val="003D6CB8"/>
    <w:rsid w:val="003D6CBD"/>
    <w:rsid w:val="003F2AF0"/>
    <w:rsid w:val="00400537"/>
    <w:rsid w:val="00410303"/>
    <w:rsid w:val="00415318"/>
    <w:rsid w:val="00417AA3"/>
    <w:rsid w:val="00425DFE"/>
    <w:rsid w:val="00434EDB"/>
    <w:rsid w:val="00440B32"/>
    <w:rsid w:val="0044213C"/>
    <w:rsid w:val="00446F6D"/>
    <w:rsid w:val="0046078D"/>
    <w:rsid w:val="00467F8D"/>
    <w:rsid w:val="004773C2"/>
    <w:rsid w:val="00495C80"/>
    <w:rsid w:val="004A2ED8"/>
    <w:rsid w:val="004B72E9"/>
    <w:rsid w:val="004E487F"/>
    <w:rsid w:val="004F4871"/>
    <w:rsid w:val="004F5BDA"/>
    <w:rsid w:val="005038B3"/>
    <w:rsid w:val="00504A26"/>
    <w:rsid w:val="00506EC6"/>
    <w:rsid w:val="00514CBA"/>
    <w:rsid w:val="0051631E"/>
    <w:rsid w:val="0052089F"/>
    <w:rsid w:val="00533E77"/>
    <w:rsid w:val="00537A1F"/>
    <w:rsid w:val="0054605C"/>
    <w:rsid w:val="005545E1"/>
    <w:rsid w:val="005570CF"/>
    <w:rsid w:val="00566029"/>
    <w:rsid w:val="00567EB8"/>
    <w:rsid w:val="00573AF0"/>
    <w:rsid w:val="00577D2C"/>
    <w:rsid w:val="005923CB"/>
    <w:rsid w:val="005B391B"/>
    <w:rsid w:val="005D3D78"/>
    <w:rsid w:val="005E07BA"/>
    <w:rsid w:val="005E2EF0"/>
    <w:rsid w:val="005F0569"/>
    <w:rsid w:val="005F063D"/>
    <w:rsid w:val="005F3B40"/>
    <w:rsid w:val="005F4092"/>
    <w:rsid w:val="005F7D70"/>
    <w:rsid w:val="00607E90"/>
    <w:rsid w:val="00611B14"/>
    <w:rsid w:val="00612560"/>
    <w:rsid w:val="006336D3"/>
    <w:rsid w:val="00637135"/>
    <w:rsid w:val="00637C91"/>
    <w:rsid w:val="00645800"/>
    <w:rsid w:val="0065266A"/>
    <w:rsid w:val="006528B5"/>
    <w:rsid w:val="00654883"/>
    <w:rsid w:val="006663C6"/>
    <w:rsid w:val="006733A1"/>
    <w:rsid w:val="00677CBE"/>
    <w:rsid w:val="0068471E"/>
    <w:rsid w:val="00684F98"/>
    <w:rsid w:val="006920DB"/>
    <w:rsid w:val="00693FFD"/>
    <w:rsid w:val="006B2E71"/>
    <w:rsid w:val="006B5DD8"/>
    <w:rsid w:val="006C3A05"/>
    <w:rsid w:val="006C621F"/>
    <w:rsid w:val="006D2159"/>
    <w:rsid w:val="006F6DDF"/>
    <w:rsid w:val="006F787C"/>
    <w:rsid w:val="00702636"/>
    <w:rsid w:val="00707158"/>
    <w:rsid w:val="00724507"/>
    <w:rsid w:val="00736E4F"/>
    <w:rsid w:val="007467EC"/>
    <w:rsid w:val="00747109"/>
    <w:rsid w:val="00750C56"/>
    <w:rsid w:val="00754564"/>
    <w:rsid w:val="00754F68"/>
    <w:rsid w:val="00763AE5"/>
    <w:rsid w:val="00764753"/>
    <w:rsid w:val="00773E6C"/>
    <w:rsid w:val="00774F82"/>
    <w:rsid w:val="00781FB1"/>
    <w:rsid w:val="0079358F"/>
    <w:rsid w:val="007A4B91"/>
    <w:rsid w:val="007B455F"/>
    <w:rsid w:val="007C3556"/>
    <w:rsid w:val="007C4F5F"/>
    <w:rsid w:val="007C600D"/>
    <w:rsid w:val="007D1B6D"/>
    <w:rsid w:val="007E7D91"/>
    <w:rsid w:val="007F2CB8"/>
    <w:rsid w:val="00805C28"/>
    <w:rsid w:val="00813C37"/>
    <w:rsid w:val="008154B5"/>
    <w:rsid w:val="00816E27"/>
    <w:rsid w:val="00823962"/>
    <w:rsid w:val="008266C0"/>
    <w:rsid w:val="00832125"/>
    <w:rsid w:val="00835A94"/>
    <w:rsid w:val="008428B1"/>
    <w:rsid w:val="00850410"/>
    <w:rsid w:val="00852719"/>
    <w:rsid w:val="00860115"/>
    <w:rsid w:val="008602BB"/>
    <w:rsid w:val="00881B4B"/>
    <w:rsid w:val="0088783C"/>
    <w:rsid w:val="008A0271"/>
    <w:rsid w:val="008A32F3"/>
    <w:rsid w:val="008A33D4"/>
    <w:rsid w:val="008C753B"/>
    <w:rsid w:val="008D2906"/>
    <w:rsid w:val="008E324D"/>
    <w:rsid w:val="008F0D15"/>
    <w:rsid w:val="00901FB9"/>
    <w:rsid w:val="0091049F"/>
    <w:rsid w:val="009370BC"/>
    <w:rsid w:val="00956C7C"/>
    <w:rsid w:val="00970580"/>
    <w:rsid w:val="009719B6"/>
    <w:rsid w:val="009729C8"/>
    <w:rsid w:val="00985694"/>
    <w:rsid w:val="0098739B"/>
    <w:rsid w:val="009906B5"/>
    <w:rsid w:val="009A0C47"/>
    <w:rsid w:val="009A7C0B"/>
    <w:rsid w:val="009B61E5"/>
    <w:rsid w:val="009C060B"/>
    <w:rsid w:val="009D0E9E"/>
    <w:rsid w:val="009D1E89"/>
    <w:rsid w:val="009D56E6"/>
    <w:rsid w:val="009E5707"/>
    <w:rsid w:val="009F48BB"/>
    <w:rsid w:val="00A17661"/>
    <w:rsid w:val="00A24B2D"/>
    <w:rsid w:val="00A34430"/>
    <w:rsid w:val="00A40966"/>
    <w:rsid w:val="00A4287E"/>
    <w:rsid w:val="00A60A44"/>
    <w:rsid w:val="00A7408B"/>
    <w:rsid w:val="00A81695"/>
    <w:rsid w:val="00A921E0"/>
    <w:rsid w:val="00A922F4"/>
    <w:rsid w:val="00A94469"/>
    <w:rsid w:val="00A944B9"/>
    <w:rsid w:val="00AA54FA"/>
    <w:rsid w:val="00AB66F3"/>
    <w:rsid w:val="00AB7CBC"/>
    <w:rsid w:val="00AC448F"/>
    <w:rsid w:val="00AD321C"/>
    <w:rsid w:val="00AD4793"/>
    <w:rsid w:val="00AE5526"/>
    <w:rsid w:val="00AF051B"/>
    <w:rsid w:val="00AF35DE"/>
    <w:rsid w:val="00B01578"/>
    <w:rsid w:val="00B0738F"/>
    <w:rsid w:val="00B1354F"/>
    <w:rsid w:val="00B13D3B"/>
    <w:rsid w:val="00B22A6A"/>
    <w:rsid w:val="00B230DB"/>
    <w:rsid w:val="00B26601"/>
    <w:rsid w:val="00B34DE1"/>
    <w:rsid w:val="00B35810"/>
    <w:rsid w:val="00B373D0"/>
    <w:rsid w:val="00B41951"/>
    <w:rsid w:val="00B53229"/>
    <w:rsid w:val="00B62480"/>
    <w:rsid w:val="00B717F4"/>
    <w:rsid w:val="00B752E4"/>
    <w:rsid w:val="00B81B70"/>
    <w:rsid w:val="00B9392D"/>
    <w:rsid w:val="00B95DCF"/>
    <w:rsid w:val="00BA181F"/>
    <w:rsid w:val="00BB0696"/>
    <w:rsid w:val="00BB3BAB"/>
    <w:rsid w:val="00BC6756"/>
    <w:rsid w:val="00BD0724"/>
    <w:rsid w:val="00BD2B91"/>
    <w:rsid w:val="00BD4CDA"/>
    <w:rsid w:val="00BE5521"/>
    <w:rsid w:val="00BF0BBA"/>
    <w:rsid w:val="00BF6C23"/>
    <w:rsid w:val="00C16778"/>
    <w:rsid w:val="00C27489"/>
    <w:rsid w:val="00C33E63"/>
    <w:rsid w:val="00C35203"/>
    <w:rsid w:val="00C53263"/>
    <w:rsid w:val="00C561CE"/>
    <w:rsid w:val="00C66246"/>
    <w:rsid w:val="00C75F1D"/>
    <w:rsid w:val="00C95156"/>
    <w:rsid w:val="00CA0DC2"/>
    <w:rsid w:val="00CB4443"/>
    <w:rsid w:val="00CB68E8"/>
    <w:rsid w:val="00CF4376"/>
    <w:rsid w:val="00D04F01"/>
    <w:rsid w:val="00D06414"/>
    <w:rsid w:val="00D10AA4"/>
    <w:rsid w:val="00D14D6E"/>
    <w:rsid w:val="00D20ED9"/>
    <w:rsid w:val="00D24E5A"/>
    <w:rsid w:val="00D338E4"/>
    <w:rsid w:val="00D45207"/>
    <w:rsid w:val="00D51947"/>
    <w:rsid w:val="00D532F0"/>
    <w:rsid w:val="00D56E0F"/>
    <w:rsid w:val="00D655CF"/>
    <w:rsid w:val="00D65B40"/>
    <w:rsid w:val="00D77413"/>
    <w:rsid w:val="00D82759"/>
    <w:rsid w:val="00D8429C"/>
    <w:rsid w:val="00D86DE4"/>
    <w:rsid w:val="00DA42F9"/>
    <w:rsid w:val="00DB07DA"/>
    <w:rsid w:val="00DB1DD6"/>
    <w:rsid w:val="00DB200C"/>
    <w:rsid w:val="00DE1909"/>
    <w:rsid w:val="00DE51DB"/>
    <w:rsid w:val="00DF4A82"/>
    <w:rsid w:val="00E12E48"/>
    <w:rsid w:val="00E16354"/>
    <w:rsid w:val="00E23CB0"/>
    <w:rsid w:val="00E23F1D"/>
    <w:rsid w:val="00E249A9"/>
    <w:rsid w:val="00E24D4A"/>
    <w:rsid w:val="00E30E05"/>
    <w:rsid w:val="00E34C0B"/>
    <w:rsid w:val="00E35622"/>
    <w:rsid w:val="00E36361"/>
    <w:rsid w:val="00E55AE9"/>
    <w:rsid w:val="00E606D1"/>
    <w:rsid w:val="00E64F71"/>
    <w:rsid w:val="00E77238"/>
    <w:rsid w:val="00EA69B0"/>
    <w:rsid w:val="00EA7EC9"/>
    <w:rsid w:val="00EB0C84"/>
    <w:rsid w:val="00EC0B54"/>
    <w:rsid w:val="00EC3A08"/>
    <w:rsid w:val="00EC66E8"/>
    <w:rsid w:val="00ED7C61"/>
    <w:rsid w:val="00EF4188"/>
    <w:rsid w:val="00F17FDE"/>
    <w:rsid w:val="00F40D53"/>
    <w:rsid w:val="00F41BAB"/>
    <w:rsid w:val="00F4525C"/>
    <w:rsid w:val="00F50D86"/>
    <w:rsid w:val="00F64C1E"/>
    <w:rsid w:val="00F66454"/>
    <w:rsid w:val="00F67A5A"/>
    <w:rsid w:val="00FC5EDF"/>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C4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D65B40"/>
    <w:pPr>
      <w:numPr>
        <w:numId w:val="1"/>
      </w:numPr>
      <w:tabs>
        <w:tab w:val="left" w:pos="425"/>
      </w:tabs>
      <w:spacing w:before="60" w:after="60"/>
      <w:ind w:left="425" w:hanging="425"/>
      <w:contextualSpacing/>
    </w:pPr>
    <w:rPr>
      <w:rFonts w:eastAsia="Times New Roman" w:cstheme="minorHAnsi"/>
      <w:iCs/>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612560"/>
    <w:rPr>
      <w:rFonts w:ascii="Calibri" w:hAnsi="Calibri"/>
      <w:szCs w:val="24"/>
    </w:rPr>
  </w:style>
  <w:style w:type="paragraph" w:styleId="ListParagraph">
    <w:name w:val="List Paragraph"/>
    <w:basedOn w:val="Normal"/>
    <w:link w:val="ListParagraphChar"/>
    <w:uiPriority w:val="34"/>
    <w:qFormat/>
    <w:rsid w:val="00612560"/>
    <w:pPr>
      <w:spacing w:after="0" w:line="240" w:lineRule="auto"/>
      <w:ind w:left="720"/>
      <w:contextualSpacing/>
    </w:pPr>
    <w:rPr>
      <w:rFonts w:ascii="Calibri" w:hAnsi="Calibri"/>
      <w:szCs w:val="24"/>
    </w:rPr>
  </w:style>
  <w:style w:type="paragraph" w:styleId="NoSpacing">
    <w:name w:val="No Spacing"/>
    <w:uiPriority w:val="1"/>
    <w:qFormat/>
    <w:rsid w:val="00612560"/>
    <w:pPr>
      <w:spacing w:after="0" w:line="240" w:lineRule="auto"/>
    </w:pPr>
    <w:rPr>
      <w:rFonts w:ascii="Calibri" w:eastAsia="Calibri" w:hAnsi="Calibri" w:cs="Times New Roman"/>
      <w:lang w:val="en-AU"/>
    </w:rPr>
  </w:style>
  <w:style w:type="paragraph" w:styleId="Caption">
    <w:name w:val="caption"/>
    <w:basedOn w:val="Normal"/>
    <w:next w:val="Normal"/>
    <w:uiPriority w:val="35"/>
    <w:semiHidden/>
    <w:unhideWhenUsed/>
    <w:qFormat/>
    <w:rsid w:val="00612560"/>
    <w:pPr>
      <w:spacing w:line="240" w:lineRule="auto"/>
    </w:pPr>
    <w:rPr>
      <w:rFonts w:ascii="Times New Roman" w:eastAsiaTheme="minorEastAsia" w:hAnsi="Times New Roman" w:cs="Times New Roman"/>
      <w:i/>
      <w:iCs/>
      <w:color w:val="1F497D" w:themeColor="text2"/>
      <w:sz w:val="18"/>
      <w:szCs w:val="18"/>
      <w:lang w:eastAsia="zh-CN"/>
    </w:rPr>
  </w:style>
  <w:style w:type="paragraph" w:styleId="BodyText">
    <w:name w:val="Body Text"/>
    <w:basedOn w:val="Normal"/>
    <w:link w:val="BodyTextChar"/>
    <w:uiPriority w:val="1"/>
    <w:semiHidden/>
    <w:unhideWhenUsed/>
    <w:qFormat/>
    <w:rsid w:val="00612560"/>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612560"/>
    <w:rPr>
      <w:rFonts w:ascii="Times New Roman" w:eastAsia="Times New Roman" w:hAnsi="Times New Roman" w:cs="Times New Roman"/>
      <w:lang w:bidi="en-US"/>
    </w:rPr>
  </w:style>
  <w:style w:type="paragraph" w:styleId="Revision">
    <w:name w:val="Revision"/>
    <w:hidden/>
    <w:uiPriority w:val="99"/>
    <w:semiHidden/>
    <w:rsid w:val="00763AE5"/>
    <w:pPr>
      <w:spacing w:after="0" w:line="240" w:lineRule="auto"/>
    </w:pPr>
  </w:style>
  <w:style w:type="character" w:customStyle="1" w:styleId="VCAAitalics">
    <w:name w:val="VCAA italics"/>
    <w:uiPriority w:val="1"/>
    <w:qFormat/>
    <w:rsid w:val="007C4F5F"/>
    <w:rPr>
      <w:rFonts w:asciiTheme="minorHAnsi" w:hAnsiTheme="minorHAnsi" w:cstheme="minorHAnsi"/>
      <w:i/>
      <w:iCs/>
      <w:sz w:val="20"/>
      <w:szCs w:val="20"/>
      <w:lang w:bidi="th-TH"/>
    </w:rPr>
  </w:style>
  <w:style w:type="character" w:customStyle="1" w:styleId="VCAAtablecondenseditalic">
    <w:name w:val="VCAA table condensed italic"/>
    <w:uiPriority w:val="1"/>
    <w:qFormat/>
    <w:rsid w:val="00E23CB0"/>
    <w:rPr>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2DA0B2C-DAFB-4075-B052-5F5FA19B50E2}">
  <ds:schemaRefs>
    <ds:schemaRef ds:uri="http://schemas.openxmlformats.org/officeDocument/2006/bibliography"/>
  </ds:schemaRefs>
</ds:datastoreItem>
</file>

<file path=customXml/itemProps2.xml><?xml version="1.0" encoding="utf-8"?>
<ds:datastoreItem xmlns:ds="http://schemas.openxmlformats.org/officeDocument/2006/customXml" ds:itemID="{CF7E0441-0B3E-4595-A0EC-9336D682AFD6}"/>
</file>

<file path=customXml/itemProps3.xml><?xml version="1.0" encoding="utf-8"?>
<ds:datastoreItem xmlns:ds="http://schemas.openxmlformats.org/officeDocument/2006/customXml" ds:itemID="{F430936D-97BE-4876-B730-012D6E9F544A}"/>
</file>

<file path=customXml/itemProps4.xml><?xml version="1.0" encoding="utf-8"?>
<ds:datastoreItem xmlns:ds="http://schemas.openxmlformats.org/officeDocument/2006/customXml" ds:itemID="{3EB69303-DE80-4A9E-82C9-ABA0D4951184}"/>
</file>

<file path=docProps/app.xml><?xml version="1.0" encoding="utf-8"?>
<Properties xmlns="http://schemas.openxmlformats.org/officeDocument/2006/extended-properties" xmlns:vt="http://schemas.openxmlformats.org/officeDocument/2006/docPropsVTypes">
  <Template>Normal.dotm</Template>
  <TotalTime>0</TotalTime>
  <Pages>9</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2022 VCE Indigenous Languages of Victoria – Revival and Reclamation written examination report</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Indigenous Languages of Victoria – Revival and Reclamation written examination report</dc:title>
  <dc:creator/>
  <cp:lastModifiedBy/>
  <cp:revision>1</cp:revision>
  <dcterms:created xsi:type="dcterms:W3CDTF">2023-08-20T10:45:00Z</dcterms:created>
  <dcterms:modified xsi:type="dcterms:W3CDTF">2023-08-20T10:47:00Z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