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09DE8" w14:textId="5346BFDB" w:rsidR="009D0E9E" w:rsidRDefault="00024018" w:rsidP="006C4A1F">
      <w:pPr>
        <w:pStyle w:val="VCAADocumenttitle"/>
      </w:pPr>
      <w:r>
        <w:t xml:space="preserve">2020 </w:t>
      </w:r>
      <w:r w:rsidR="003A109D" w:rsidRPr="006C4A1F">
        <w:t>VCE Hungarian</w:t>
      </w:r>
      <w:r w:rsidRPr="006C4A1F">
        <w:t xml:space="preserve"> </w:t>
      </w:r>
      <w:r w:rsidR="006946BE">
        <w:t>oral</w:t>
      </w:r>
      <w:r w:rsidR="00400537">
        <w:t xml:space="preserve"> </w:t>
      </w:r>
      <w:r>
        <w:t>examination report</w:t>
      </w:r>
      <w:bookmarkStart w:id="0" w:name="TemplateOverview"/>
      <w:bookmarkEnd w:id="0"/>
    </w:p>
    <w:p w14:paraId="20BCCDD4" w14:textId="7CD1F83A" w:rsidR="00866D6E" w:rsidRDefault="00866D6E" w:rsidP="00866D6E">
      <w:pPr>
        <w:pStyle w:val="VCAAHeading1"/>
      </w:pPr>
      <w:r>
        <w:t>General comments</w:t>
      </w:r>
    </w:p>
    <w:p w14:paraId="1761FF64" w14:textId="5A99A8C0" w:rsidR="00866D6E" w:rsidRDefault="00866D6E" w:rsidP="00866D6E">
      <w:pPr>
        <w:pStyle w:val="VCAAbody"/>
      </w:pPr>
      <w:r>
        <w:t xml:space="preserve">The Hungarian oral examination assesses students’ knowledge and skills in using spoken language. The examination has two sections – a Conversation of approximately 7 minutes, during which students converse with the assessors about their personal world, and a Discussion of approximately 8 minutes. </w:t>
      </w:r>
    </w:p>
    <w:p w14:paraId="258F64A4" w14:textId="49AEAFCC" w:rsidR="00866D6E" w:rsidRDefault="00866D6E" w:rsidP="00866D6E">
      <w:pPr>
        <w:pStyle w:val="VCAAbody"/>
      </w:pPr>
      <w:r>
        <w:rPr>
          <w:lang w:val="en-AU"/>
        </w:rPr>
        <w:t xml:space="preserve">Following the Conversation, the student will indicate to the assessor(s)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w:t>
      </w:r>
      <w:r>
        <w:t xml:space="preserve">The support material must have minimal writing, which includes only a heading, </w:t>
      </w:r>
      <w:proofErr w:type="gramStart"/>
      <w:r>
        <w:t>name</w:t>
      </w:r>
      <w:proofErr w:type="gramEnd"/>
      <w:r>
        <w:t xml:space="preserve"> or title.</w:t>
      </w:r>
    </w:p>
    <w:p w14:paraId="09149BBB" w14:textId="77777777" w:rsidR="00866D6E" w:rsidRDefault="00866D6E" w:rsidP="00866D6E">
      <w:pPr>
        <w:pStyle w:val="VCAAbody"/>
        <w:rPr>
          <w:lang w:val="en-AU"/>
        </w:rPr>
      </w:pPr>
      <w:r>
        <w:t xml:space="preserve">The one-minute introduction should give assessors an indication of the area of discussion. The purpose is for students to briefly introduce their chosen subtopic; it is not an opportunity for students to list all their information or texts. </w:t>
      </w:r>
    </w:p>
    <w:p w14:paraId="76A71897" w14:textId="7B9566AC" w:rsidR="00866D6E" w:rsidRDefault="00866D6E" w:rsidP="00866D6E">
      <w:pPr>
        <w:pStyle w:val="VCAAbody"/>
      </w:pPr>
      <w:r>
        <w:rPr>
          <w:lang w:val="en-AU"/>
        </w:rPr>
        <w:t xml:space="preserve">The focus of the Discussion </w:t>
      </w:r>
      <w:r w:rsidR="0089722E">
        <w:rPr>
          <w:lang w:val="en-AU"/>
        </w:rPr>
        <w:t>is</w:t>
      </w:r>
      <w:r>
        <w:rPr>
          <w:lang w:val="en-AU"/>
        </w:rPr>
        <w:t xml:space="preserve"> to explore aspects of the language and culture of communities in which Hungarian is spoken, with the student being expected to </w:t>
      </w:r>
      <w:proofErr w:type="gramStart"/>
      <w:r>
        <w:rPr>
          <w:lang w:val="en-AU"/>
        </w:rPr>
        <w:t>make reference</w:t>
      </w:r>
      <w:proofErr w:type="gramEnd"/>
      <w:r>
        <w:rPr>
          <w:lang w:val="en-AU"/>
        </w:rPr>
        <w:t xml:space="preserve"> to the texts studied. </w:t>
      </w:r>
    </w:p>
    <w:p w14:paraId="036759E3" w14:textId="3B003ED3" w:rsidR="00866D6E" w:rsidRDefault="00866D6E" w:rsidP="00866D6E">
      <w:pPr>
        <w:pStyle w:val="VCAAbody"/>
      </w:pPr>
      <w:r>
        <w:t xml:space="preserve">The choice of subtopic for the Detailed Study is very important. It should be an engaging subtopic that motivates students to become familiar with the content and vocabulary needed, and thus be more skilled to support and elaborate on information, </w:t>
      </w:r>
      <w:proofErr w:type="gramStart"/>
      <w:r>
        <w:t>ideas</w:t>
      </w:r>
      <w:proofErr w:type="gramEnd"/>
      <w:r>
        <w:t xml:space="preserve"> and opinions. It is important that students and teachers select materials for the Detailed Study carefully so that students are exposed to a variety of views. The type of texts used by students should vary in complexity and be in Hungarian so that students can become aware of key vocabulary related to their subtopic. Students are reminded that they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Hungarian-speaking community.</w:t>
      </w:r>
    </w:p>
    <w:p w14:paraId="2EF004DA" w14:textId="77777777" w:rsidR="00866D6E" w:rsidRDefault="00866D6E" w:rsidP="00866D6E">
      <w:pPr>
        <w:pStyle w:val="VCAAbody"/>
      </w:pPr>
      <w:r>
        <w:t xml:space="preserve">Students are not expected to be ‘experts’; they are expected to have learnt strategies </w:t>
      </w:r>
      <w:proofErr w:type="gramStart"/>
      <w:r>
        <w:t>in order to</w:t>
      </w:r>
      <w:proofErr w:type="gramEnd"/>
      <w:r>
        <w:t xml:space="preserve"> respond to unexpected questions. It would be valuable for students to learn phrases such as, ‘I have not studied this aspect of the subtopic, but I think …’, ‘I don’t know, but I feel …’ and ‘I am not sure about this question but I know …’</w:t>
      </w:r>
    </w:p>
    <w:p w14:paraId="48F6D931" w14:textId="77777777" w:rsidR="00866D6E" w:rsidRDefault="00866D6E" w:rsidP="00866D6E">
      <w:pPr>
        <w:pStyle w:val="VCAAbody"/>
      </w:pPr>
      <w:r>
        <w:t>It should be noted that during the oral examination:</w:t>
      </w:r>
    </w:p>
    <w:p w14:paraId="40F6F6E8" w14:textId="29C32419" w:rsidR="00866D6E" w:rsidRDefault="00176B31" w:rsidP="00866D6E">
      <w:pPr>
        <w:pStyle w:val="VCAAbullet"/>
        <w:numPr>
          <w:ilvl w:val="0"/>
          <w:numId w:val="7"/>
        </w:numPr>
        <w:ind w:left="426" w:hanging="426"/>
      </w:pPr>
      <w:r>
        <w:t>s</w:t>
      </w:r>
      <w:r w:rsidR="00866D6E">
        <w:t xml:space="preserve">tudents may be asked a variety of questions with varying levels of difficulty. Questions may also be asked in a different order from the one </w:t>
      </w:r>
      <w:proofErr w:type="gramStart"/>
      <w:r w:rsidR="00866D6E">
        <w:t>students</w:t>
      </w:r>
      <w:proofErr w:type="gramEnd"/>
      <w:r w:rsidR="00866D6E">
        <w:t xml:space="preserve"> anticipate</w:t>
      </w:r>
    </w:p>
    <w:p w14:paraId="5D6AEE68" w14:textId="1C0BE882" w:rsidR="00866D6E" w:rsidRDefault="00176B31" w:rsidP="00866D6E">
      <w:pPr>
        <w:pStyle w:val="VCAAbullet"/>
        <w:numPr>
          <w:ilvl w:val="0"/>
          <w:numId w:val="7"/>
        </w:numPr>
        <w:ind w:left="426" w:hanging="426"/>
      </w:pPr>
      <w:r>
        <w:t>a</w:t>
      </w:r>
      <w:r w:rsidR="00866D6E">
        <w:t>ssessors may interrupt students to ask questions during either section of the examination; this should be regarded as a normal process in a discussion</w:t>
      </w:r>
    </w:p>
    <w:p w14:paraId="6A48FA99" w14:textId="25367E97" w:rsidR="00866D6E" w:rsidRDefault="00176B31" w:rsidP="00866D6E">
      <w:pPr>
        <w:pStyle w:val="VCAAbullet"/>
        <w:numPr>
          <w:ilvl w:val="0"/>
          <w:numId w:val="7"/>
        </w:numPr>
        <w:ind w:left="426" w:hanging="426"/>
      </w:pPr>
      <w:r>
        <w:t>a</w:t>
      </w:r>
      <w:r w:rsidR="00866D6E">
        <w:t>ssessors may also repeat or rephrase questions</w:t>
      </w:r>
    </w:p>
    <w:p w14:paraId="0CC2B23A" w14:textId="36A32559" w:rsidR="00866D6E" w:rsidRDefault="00176B31" w:rsidP="00866D6E">
      <w:pPr>
        <w:pStyle w:val="VCAAbullet"/>
        <w:numPr>
          <w:ilvl w:val="0"/>
          <w:numId w:val="7"/>
        </w:numPr>
        <w:ind w:left="426" w:hanging="426"/>
      </w:pPr>
      <w:r>
        <w:t>n</w:t>
      </w:r>
      <w:r w:rsidR="00866D6E">
        <w:t>ormal variation in assessor body language is acceptable.</w:t>
      </w:r>
    </w:p>
    <w:p w14:paraId="50CC604C" w14:textId="77777777" w:rsidR="00EB157C" w:rsidRDefault="00866D6E" w:rsidP="00866D6E">
      <w:pPr>
        <w:pStyle w:val="VCAAbody"/>
        <w:sectPr w:rsidR="00EB157C"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pPr>
      <w:r w:rsidRPr="00ED4E16">
        <w:t xml:space="preserve">Three criteria are used in assessing both the Conversation and the Discussion: communication, </w:t>
      </w:r>
      <w:proofErr w:type="gramStart"/>
      <w:r w:rsidRPr="00ED4E16">
        <w:t>content</w:t>
      </w:r>
      <w:proofErr w:type="gramEnd"/>
      <w:r w:rsidRPr="00ED4E16">
        <w:t xml:space="preserve"> and language. 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w:t>
      </w:r>
      <w:r>
        <w:t xml:space="preserve"> the </w:t>
      </w:r>
    </w:p>
    <w:p w14:paraId="1E2CBA70" w14:textId="0BE0F965" w:rsidR="00866D6E" w:rsidRDefault="00866D6E" w:rsidP="00866D6E">
      <w:pPr>
        <w:pStyle w:val="VCAAbody"/>
      </w:pPr>
      <w:r>
        <w:t>Conversation and Discussion sections of the examination, the criteria assess two very different aspects of performance. Students who are well prepared are generally able to demonstrate their abilities and proficiency in the language.</w:t>
      </w:r>
    </w:p>
    <w:p w14:paraId="197CBD43" w14:textId="2B240ABD" w:rsidR="00B11E76" w:rsidRDefault="00B11E76" w:rsidP="00866D6E">
      <w:pPr>
        <w:pStyle w:val="VCAAHeading1"/>
      </w:pPr>
      <w:r>
        <w:t>Section 1 – Conversation</w:t>
      </w:r>
    </w:p>
    <w:p w14:paraId="1ADAA547" w14:textId="1A4FBE0F" w:rsidR="00536AD0" w:rsidRDefault="00B11E76" w:rsidP="00290207">
      <w:pPr>
        <w:pStyle w:val="VCAAbody"/>
      </w:pPr>
      <w:r>
        <w:t xml:space="preserve">Most </w:t>
      </w:r>
      <w:r w:rsidR="007E15C2">
        <w:t>student</w:t>
      </w:r>
      <w:r>
        <w:t xml:space="preserve">s </w:t>
      </w:r>
      <w:r w:rsidR="008A7EF7">
        <w:t>prepared well for th</w:t>
      </w:r>
      <w:r>
        <w:t>is section</w:t>
      </w:r>
      <w:r w:rsidR="008A7EF7">
        <w:t xml:space="preserve"> and communicated with fluency</w:t>
      </w:r>
      <w:r w:rsidR="009C6678">
        <w:t xml:space="preserve">, </w:t>
      </w:r>
      <w:proofErr w:type="gramStart"/>
      <w:r w:rsidR="009C6678">
        <w:t>spontaneity</w:t>
      </w:r>
      <w:proofErr w:type="gramEnd"/>
      <w:r w:rsidR="008A7EF7">
        <w:t xml:space="preserve"> and confidence</w:t>
      </w:r>
      <w:r>
        <w:t xml:space="preserve"> with the assessor</w:t>
      </w:r>
      <w:r w:rsidR="009C6678">
        <w:t>s</w:t>
      </w:r>
      <w:r>
        <w:t>.</w:t>
      </w:r>
      <w:r w:rsidR="00994905">
        <w:t xml:space="preserve"> </w:t>
      </w:r>
      <w:r w:rsidR="009C6678">
        <w:t xml:space="preserve">They used </w:t>
      </w:r>
      <w:r>
        <w:t>well</w:t>
      </w:r>
      <w:r w:rsidR="009C6678">
        <w:t>-</w:t>
      </w:r>
      <w:r>
        <w:t>thought out and carefully structured sentences</w:t>
      </w:r>
      <w:r w:rsidR="009C6678">
        <w:t xml:space="preserve"> </w:t>
      </w:r>
      <w:r w:rsidR="00994905">
        <w:t>and were able to elaborate on their ideas and opinions.</w:t>
      </w:r>
      <w:r w:rsidR="00536AD0">
        <w:t xml:space="preserve"> Students who scored highly presented an excellent range of information, </w:t>
      </w:r>
      <w:proofErr w:type="gramStart"/>
      <w:r w:rsidR="00536AD0">
        <w:t>opinions</w:t>
      </w:r>
      <w:proofErr w:type="gramEnd"/>
      <w:r w:rsidR="00536AD0">
        <w:t xml:space="preserve"> and ideas clearly and logically.</w:t>
      </w:r>
    </w:p>
    <w:p w14:paraId="4683F4F6" w14:textId="53284D64" w:rsidR="00D97AE0" w:rsidRDefault="009C6678">
      <w:pPr>
        <w:pStyle w:val="VCAAbody"/>
      </w:pPr>
      <w:r>
        <w:t>Overall</w:t>
      </w:r>
      <w:r w:rsidR="003278E3">
        <w:t>,</w:t>
      </w:r>
      <w:r>
        <w:t xml:space="preserve"> pronunciation was good; however, a common error was the</w:t>
      </w:r>
      <w:r w:rsidR="00B11E76">
        <w:t xml:space="preserve"> near missing of the </w:t>
      </w:r>
      <w:r w:rsidR="00303C3D">
        <w:t>‘</w:t>
      </w:r>
      <w:r w:rsidR="00B11E76">
        <w:t>Rs</w:t>
      </w:r>
      <w:r w:rsidR="00CE1323">
        <w:t>’</w:t>
      </w:r>
      <w:r w:rsidR="00B11E76">
        <w:t xml:space="preserve"> and rather weak </w:t>
      </w:r>
      <w:r w:rsidR="00303C3D">
        <w:t>‘</w:t>
      </w:r>
      <w:r w:rsidR="00B11E76">
        <w:t>Ts</w:t>
      </w:r>
      <w:r w:rsidR="00CE1323">
        <w:t>’</w:t>
      </w:r>
      <w:r w:rsidR="00B11E76">
        <w:t>. In some cases</w:t>
      </w:r>
      <w:r w:rsidR="003278E3">
        <w:t>,</w:t>
      </w:r>
      <w:r w:rsidR="00B11E76">
        <w:t xml:space="preserve"> the </w:t>
      </w:r>
      <w:r w:rsidR="00303C3D">
        <w:t>‘</w:t>
      </w:r>
      <w:r w:rsidR="00B11E76">
        <w:t>T</w:t>
      </w:r>
      <w:r w:rsidR="00303C3D">
        <w:t>’</w:t>
      </w:r>
      <w:r w:rsidR="00B11E76">
        <w:t xml:space="preserve"> </w:t>
      </w:r>
      <w:r>
        <w:t xml:space="preserve">and ‘R’ </w:t>
      </w:r>
      <w:r w:rsidR="00B11E76">
        <w:t>sound</w:t>
      </w:r>
      <w:r>
        <w:t xml:space="preserve">s were </w:t>
      </w:r>
      <w:r w:rsidR="00B11E76">
        <w:t xml:space="preserve">either weak or </w:t>
      </w:r>
      <w:r w:rsidR="00303C3D">
        <w:t>‘</w:t>
      </w:r>
      <w:r w:rsidR="00B11E76">
        <w:t>swallowed</w:t>
      </w:r>
      <w:r w:rsidR="00303C3D">
        <w:t>’</w:t>
      </w:r>
      <w:r w:rsidR="00B11E76">
        <w:t xml:space="preserve"> altogether.</w:t>
      </w:r>
    </w:p>
    <w:p w14:paraId="0F0F7D06" w14:textId="60343B32" w:rsidR="00B11E76" w:rsidRDefault="00D97AE0" w:rsidP="00290207">
      <w:pPr>
        <w:pStyle w:val="VCAAbody"/>
      </w:pPr>
      <w:r>
        <w:t>There was a tendency in some cases towards a</w:t>
      </w:r>
      <w:r w:rsidR="00B11E76">
        <w:t xml:space="preserve"> </w:t>
      </w:r>
      <w:r>
        <w:t>level o</w:t>
      </w:r>
      <w:r w:rsidR="00536AD0">
        <w:t>f</w:t>
      </w:r>
      <w:r>
        <w:t xml:space="preserve"> upward i</w:t>
      </w:r>
      <w:r w:rsidR="00B11E76">
        <w:t xml:space="preserve">ntonation </w:t>
      </w:r>
      <w:r>
        <w:t xml:space="preserve">of the voice at </w:t>
      </w:r>
      <w:r w:rsidR="00B11E76">
        <w:t xml:space="preserve">the end of </w:t>
      </w:r>
      <w:r>
        <w:t xml:space="preserve">an indicative </w:t>
      </w:r>
      <w:r w:rsidR="00B11E76">
        <w:t>sentence</w:t>
      </w:r>
      <w:r>
        <w:t xml:space="preserve">, rather than the descending mode used </w:t>
      </w:r>
      <w:r w:rsidR="00B11E76">
        <w:t xml:space="preserve">in </w:t>
      </w:r>
      <w:r>
        <w:t xml:space="preserve">the </w:t>
      </w:r>
      <w:r w:rsidR="00B11E76">
        <w:t>Hungarian</w:t>
      </w:r>
      <w:r>
        <w:t xml:space="preserve"> language, both in words and in indicative sentences.</w:t>
      </w:r>
      <w:r w:rsidR="00290207">
        <w:t xml:space="preserve"> </w:t>
      </w:r>
      <w:r>
        <w:t>S</w:t>
      </w:r>
      <w:r w:rsidR="00B11E76">
        <w:t xml:space="preserve">tress </w:t>
      </w:r>
      <w:r>
        <w:t>was</w:t>
      </w:r>
      <w:r w:rsidR="00B11E76">
        <w:t xml:space="preserve"> not always on the first syllable of the word, which is </w:t>
      </w:r>
      <w:r>
        <w:t xml:space="preserve">a </w:t>
      </w:r>
      <w:r w:rsidR="00605050">
        <w:t xml:space="preserve">fundamental </w:t>
      </w:r>
      <w:r w:rsidR="00B11E76">
        <w:t xml:space="preserve">rule of </w:t>
      </w:r>
      <w:r>
        <w:t xml:space="preserve">the </w:t>
      </w:r>
      <w:r w:rsidR="00B11E76">
        <w:t xml:space="preserve">Hungarian language. </w:t>
      </w:r>
    </w:p>
    <w:p w14:paraId="25132D88" w14:textId="4C2DC9D9" w:rsidR="00C121A0" w:rsidRDefault="0036224B" w:rsidP="00290207">
      <w:pPr>
        <w:pStyle w:val="VCAAbody"/>
      </w:pPr>
      <w:r>
        <w:t>V</w:t>
      </w:r>
      <w:r w:rsidR="00B11E76" w:rsidRPr="00322AD9">
        <w:t xml:space="preserve">ocabulary was well used and accurate, </w:t>
      </w:r>
      <w:r w:rsidR="00536AD0">
        <w:t xml:space="preserve">and students who scored highly </w:t>
      </w:r>
      <w:r w:rsidR="00290207">
        <w:t xml:space="preserve">were able to use a good range of vocabulary appropriate to the context. </w:t>
      </w:r>
      <w:r w:rsidR="00A1157C" w:rsidRPr="0021538A">
        <w:t>Greetings were culturally correct</w:t>
      </w:r>
      <w:r w:rsidR="003278E3">
        <w:t>,</w:t>
      </w:r>
      <w:r w:rsidR="00A1157C">
        <w:t xml:space="preserve"> and</w:t>
      </w:r>
      <w:r w:rsidR="00A1157C" w:rsidRPr="0021538A">
        <w:t xml:space="preserve"> </w:t>
      </w:r>
      <w:r w:rsidR="00A1157C">
        <w:t>student</w:t>
      </w:r>
      <w:r w:rsidR="00A1157C" w:rsidRPr="0021538A">
        <w:t>s were able to address assessors in a polite manner.</w:t>
      </w:r>
      <w:r w:rsidR="00A1157C">
        <w:t xml:space="preserve"> Errors included </w:t>
      </w:r>
      <w:r w:rsidR="005B568B">
        <w:t>omission</w:t>
      </w:r>
      <w:r w:rsidR="00A1157C">
        <w:t xml:space="preserve"> of the accusative </w:t>
      </w:r>
      <w:r w:rsidR="00303C3D">
        <w:t>‘</w:t>
      </w:r>
      <w:r w:rsidR="00B11E76" w:rsidRPr="00322AD9">
        <w:t>t</w:t>
      </w:r>
      <w:r w:rsidR="00303C3D">
        <w:t>’</w:t>
      </w:r>
      <w:r w:rsidR="00A1157C">
        <w:t>, using</w:t>
      </w:r>
      <w:r w:rsidR="00C121A0">
        <w:t xml:space="preserve"> the</w:t>
      </w:r>
      <w:r w:rsidR="00A1157C">
        <w:t xml:space="preserve"> </w:t>
      </w:r>
      <w:r w:rsidR="00B11E76" w:rsidRPr="00496D57">
        <w:t>plural with numerals instead of the singular (</w:t>
      </w:r>
      <w:r w:rsidR="00B11E76" w:rsidRPr="00322AD9">
        <w:rPr>
          <w:rStyle w:val="VCAAitalics"/>
        </w:rPr>
        <w:t xml:space="preserve">mind a </w:t>
      </w:r>
      <w:proofErr w:type="spellStart"/>
      <w:r w:rsidR="00B11E76" w:rsidRPr="00322AD9">
        <w:rPr>
          <w:rStyle w:val="VCAAitalics"/>
        </w:rPr>
        <w:t>hidak</w:t>
      </w:r>
      <w:proofErr w:type="spellEnd"/>
      <w:r w:rsidR="00B11E76" w:rsidRPr="00322AD9">
        <w:rPr>
          <w:rStyle w:val="VCAAitalics"/>
        </w:rPr>
        <w:t xml:space="preserve"> </w:t>
      </w:r>
      <w:r w:rsidR="00B11E76" w:rsidRPr="00496D57">
        <w:t>instead of</w:t>
      </w:r>
      <w:r w:rsidR="00B11E76" w:rsidRPr="00322AD9">
        <w:rPr>
          <w:rStyle w:val="VCAAitalics"/>
        </w:rPr>
        <w:t xml:space="preserve"> </w:t>
      </w:r>
      <w:proofErr w:type="spellStart"/>
      <w:r w:rsidR="00B11E76" w:rsidRPr="00322AD9">
        <w:rPr>
          <w:rStyle w:val="VCAAitalics"/>
        </w:rPr>
        <w:t>minden</w:t>
      </w:r>
      <w:proofErr w:type="spellEnd"/>
      <w:r w:rsidR="00B11E76" w:rsidRPr="00322AD9">
        <w:rPr>
          <w:rStyle w:val="VCAAitalics"/>
        </w:rPr>
        <w:t xml:space="preserve"> hid</w:t>
      </w:r>
      <w:r w:rsidR="00B11E76" w:rsidRPr="00496D57">
        <w:t>)</w:t>
      </w:r>
      <w:r w:rsidR="00C121A0">
        <w:t xml:space="preserve">, confusion over </w:t>
      </w:r>
      <w:r w:rsidR="00B11E76" w:rsidRPr="00496D57">
        <w:t xml:space="preserve">direct and indirect </w:t>
      </w:r>
      <w:r w:rsidR="00C121A0">
        <w:t>conjugation (</w:t>
      </w:r>
      <w:proofErr w:type="spellStart"/>
      <w:r w:rsidR="00C121A0">
        <w:rPr>
          <w:rStyle w:val="VCAAitalics"/>
        </w:rPr>
        <w:t>n</w:t>
      </w:r>
      <w:r w:rsidR="00B11E76" w:rsidRPr="00322AD9">
        <w:rPr>
          <w:rStyle w:val="VCAAitalics"/>
        </w:rPr>
        <w:t>em</w:t>
      </w:r>
      <w:proofErr w:type="spellEnd"/>
      <w:r w:rsidR="00B11E76" w:rsidRPr="00322AD9">
        <w:rPr>
          <w:rStyle w:val="VCAAitalics"/>
        </w:rPr>
        <w:t xml:space="preserve"> </w:t>
      </w:r>
      <w:proofErr w:type="spellStart"/>
      <w:r w:rsidR="00B11E76" w:rsidRPr="00322AD9">
        <w:rPr>
          <w:rStyle w:val="VCAAitalics"/>
        </w:rPr>
        <w:t>tudom</w:t>
      </w:r>
      <w:proofErr w:type="spellEnd"/>
      <w:r w:rsidR="00B11E76" w:rsidRPr="00322AD9">
        <w:rPr>
          <w:rStyle w:val="VCAAitalics"/>
        </w:rPr>
        <w:t xml:space="preserve"> </w:t>
      </w:r>
      <w:proofErr w:type="spellStart"/>
      <w:r w:rsidR="00B11E76" w:rsidRPr="00322AD9">
        <w:rPr>
          <w:rStyle w:val="VCAAitalics"/>
        </w:rPr>
        <w:t>játszani</w:t>
      </w:r>
      <w:proofErr w:type="spellEnd"/>
      <w:r w:rsidR="00B11E76" w:rsidRPr="00496D57">
        <w:t xml:space="preserve"> instead of </w:t>
      </w:r>
      <w:proofErr w:type="spellStart"/>
      <w:r w:rsidR="00B11E76" w:rsidRPr="00322AD9">
        <w:rPr>
          <w:rStyle w:val="VCAAitalics"/>
        </w:rPr>
        <w:t>nem</w:t>
      </w:r>
      <w:proofErr w:type="spellEnd"/>
      <w:r w:rsidR="00B11E76" w:rsidRPr="00322AD9">
        <w:rPr>
          <w:rStyle w:val="VCAAitalics"/>
        </w:rPr>
        <w:t xml:space="preserve"> </w:t>
      </w:r>
      <w:proofErr w:type="spellStart"/>
      <w:r w:rsidR="00B11E76" w:rsidRPr="00322AD9">
        <w:rPr>
          <w:rStyle w:val="VCAAitalics"/>
        </w:rPr>
        <w:t>tudok</w:t>
      </w:r>
      <w:proofErr w:type="spellEnd"/>
      <w:r w:rsidR="00B11E76" w:rsidRPr="00322AD9">
        <w:rPr>
          <w:rStyle w:val="VCAAitalics"/>
        </w:rPr>
        <w:t xml:space="preserve"> </w:t>
      </w:r>
      <w:proofErr w:type="spellStart"/>
      <w:r w:rsidR="00B11E76" w:rsidRPr="00322AD9">
        <w:rPr>
          <w:rStyle w:val="VCAAitalics"/>
        </w:rPr>
        <w:t>játszani</w:t>
      </w:r>
      <w:proofErr w:type="spellEnd"/>
      <w:r w:rsidR="00C121A0">
        <w:rPr>
          <w:rStyle w:val="VCAAitalics"/>
        </w:rPr>
        <w:t>)</w:t>
      </w:r>
      <w:r w:rsidR="005B568B">
        <w:rPr>
          <w:rStyle w:val="VCAAitalics"/>
        </w:rPr>
        <w:t>,</w:t>
      </w:r>
      <w:r w:rsidR="005B568B" w:rsidRPr="005B568B">
        <w:t xml:space="preserve"> </w:t>
      </w:r>
      <w:r w:rsidR="005B568B" w:rsidRPr="00D7281C">
        <w:t xml:space="preserve">confusion </w:t>
      </w:r>
      <w:r w:rsidR="005B568B">
        <w:t xml:space="preserve">between </w:t>
      </w:r>
      <w:r w:rsidR="005B568B" w:rsidRPr="00D7281C">
        <w:t xml:space="preserve">the indicative </w:t>
      </w:r>
      <w:r w:rsidR="005B568B">
        <w:t xml:space="preserve">and imperative </w:t>
      </w:r>
      <w:r w:rsidR="005B568B" w:rsidRPr="00D7281C">
        <w:t>form</w:t>
      </w:r>
      <w:r w:rsidR="005B568B">
        <w:t>s</w:t>
      </w:r>
      <w:r w:rsidR="005B568B" w:rsidRPr="00D7281C">
        <w:t xml:space="preserve"> </w:t>
      </w:r>
      <w:r w:rsidR="005B568B">
        <w:t>(</w:t>
      </w:r>
      <w:proofErr w:type="spellStart"/>
      <w:r w:rsidR="005B568B" w:rsidRPr="00D7281C">
        <w:rPr>
          <w:rStyle w:val="VCAAitalics"/>
        </w:rPr>
        <w:t>mutatják</w:t>
      </w:r>
      <w:proofErr w:type="spellEnd"/>
      <w:r w:rsidR="005B568B" w:rsidRPr="00D7281C">
        <w:rPr>
          <w:rStyle w:val="VCAAitalics"/>
        </w:rPr>
        <w:t xml:space="preserve"> </w:t>
      </w:r>
      <w:r w:rsidR="005B568B" w:rsidRPr="00D7281C">
        <w:t xml:space="preserve">with </w:t>
      </w:r>
      <w:proofErr w:type="spellStart"/>
      <w:r w:rsidR="005B568B" w:rsidRPr="00D7281C">
        <w:rPr>
          <w:rStyle w:val="VCAAitalics"/>
        </w:rPr>
        <w:t>mutassák</w:t>
      </w:r>
      <w:proofErr w:type="spellEnd"/>
      <w:r w:rsidR="005B568B">
        <w:rPr>
          <w:rStyle w:val="VCAAitalics"/>
        </w:rPr>
        <w:t xml:space="preserve"> </w:t>
      </w:r>
      <w:r w:rsidR="005B568B" w:rsidRPr="00322AD9">
        <w:t>and</w:t>
      </w:r>
      <w:r w:rsidR="005B568B" w:rsidRPr="00B34500">
        <w:t xml:space="preserve"> </w:t>
      </w:r>
      <w:proofErr w:type="spellStart"/>
      <w:r w:rsidR="005B568B" w:rsidRPr="00D7281C">
        <w:rPr>
          <w:rStyle w:val="VCAAitalics"/>
        </w:rPr>
        <w:t>meglássák</w:t>
      </w:r>
      <w:proofErr w:type="spellEnd"/>
      <w:r w:rsidR="005B568B" w:rsidRPr="00D7281C">
        <w:rPr>
          <w:rStyle w:val="VCAAitalics"/>
        </w:rPr>
        <w:t xml:space="preserve"> </w:t>
      </w:r>
      <w:r w:rsidR="005B568B" w:rsidRPr="00322AD9">
        <w:t>instead of</w:t>
      </w:r>
      <w:r w:rsidR="00ED7558">
        <w:t xml:space="preserve"> </w:t>
      </w:r>
      <w:proofErr w:type="spellStart"/>
      <w:r w:rsidR="005B568B" w:rsidRPr="00D7281C">
        <w:rPr>
          <w:rStyle w:val="VCAAitalics"/>
        </w:rPr>
        <w:t>meglátják</w:t>
      </w:r>
      <w:proofErr w:type="spellEnd"/>
      <w:r w:rsidR="005B568B">
        <w:rPr>
          <w:rStyle w:val="VCAAitalics"/>
        </w:rPr>
        <w:t>)</w:t>
      </w:r>
      <w:r w:rsidR="00F207AE" w:rsidRPr="00866D6E">
        <w:t xml:space="preserve"> </w:t>
      </w:r>
      <w:r w:rsidR="00DD6FC1" w:rsidRPr="00866D6E">
        <w:t>and</w:t>
      </w:r>
      <w:r w:rsidR="00DD6FC1">
        <w:rPr>
          <w:rStyle w:val="VCAAitalics"/>
        </w:rPr>
        <w:t xml:space="preserve"> </w:t>
      </w:r>
      <w:r w:rsidR="00F207AE" w:rsidRPr="00322AD9">
        <w:t>wrong usage of case endings</w:t>
      </w:r>
      <w:r w:rsidR="00F207AE">
        <w:rPr>
          <w:rStyle w:val="VCAAitalics"/>
        </w:rPr>
        <w:t xml:space="preserve"> </w:t>
      </w:r>
      <w:r w:rsidR="00F207AE">
        <w:t>–</w:t>
      </w:r>
      <w:proofErr w:type="spellStart"/>
      <w:r w:rsidR="00F207AE" w:rsidRPr="00D7281C">
        <w:rPr>
          <w:rStyle w:val="VCAAitalics"/>
        </w:rPr>
        <w:t>ba</w:t>
      </w:r>
      <w:proofErr w:type="spellEnd"/>
      <w:r w:rsidR="00F207AE" w:rsidRPr="00D7281C">
        <w:rPr>
          <w:rStyle w:val="VCAAitalics"/>
        </w:rPr>
        <w:t xml:space="preserve">, </w:t>
      </w:r>
      <w:r w:rsidR="00F207AE">
        <w:rPr>
          <w:rStyle w:val="VCAAitalics"/>
        </w:rPr>
        <w:t>–</w:t>
      </w:r>
      <w:r w:rsidR="00F207AE" w:rsidRPr="00D7281C">
        <w:rPr>
          <w:rStyle w:val="VCAAitalics"/>
        </w:rPr>
        <w:t xml:space="preserve">be </w:t>
      </w:r>
      <w:r w:rsidR="00F207AE" w:rsidRPr="00322AD9">
        <w:t>and</w:t>
      </w:r>
      <w:r w:rsidR="00F207AE" w:rsidRPr="00D7281C">
        <w:t xml:space="preserve"> </w:t>
      </w:r>
      <w:r w:rsidR="00F207AE">
        <w:t>–</w:t>
      </w:r>
      <w:proofErr w:type="spellStart"/>
      <w:r w:rsidR="00F207AE" w:rsidRPr="00D7281C">
        <w:rPr>
          <w:rStyle w:val="VCAAitalics"/>
        </w:rPr>
        <w:t>hoz</w:t>
      </w:r>
      <w:proofErr w:type="spellEnd"/>
      <w:r w:rsidR="00F207AE" w:rsidRPr="00D7281C">
        <w:rPr>
          <w:rStyle w:val="VCAAitalics"/>
        </w:rPr>
        <w:t xml:space="preserve">, </w:t>
      </w:r>
      <w:r w:rsidR="00F207AE">
        <w:rPr>
          <w:rStyle w:val="VCAAitalics"/>
        </w:rPr>
        <w:t>–</w:t>
      </w:r>
      <w:proofErr w:type="spellStart"/>
      <w:r w:rsidR="00F207AE" w:rsidRPr="00D7281C">
        <w:rPr>
          <w:rStyle w:val="VCAAitalics"/>
        </w:rPr>
        <w:t>hez</w:t>
      </w:r>
      <w:proofErr w:type="spellEnd"/>
      <w:r w:rsidR="00B11E76" w:rsidRPr="00496D57">
        <w:t>.</w:t>
      </w:r>
    </w:p>
    <w:p w14:paraId="2ADD53B8" w14:textId="5C24416D" w:rsidR="00B11E76" w:rsidRPr="00290207" w:rsidRDefault="00290207">
      <w:pPr>
        <w:pStyle w:val="VCAAbody"/>
      </w:pPr>
      <w:r>
        <w:t>Students should avoid using literal translation and a</w:t>
      </w:r>
      <w:r w:rsidR="00B11E76" w:rsidRPr="00290207">
        <w:t>nglici</w:t>
      </w:r>
      <w:r w:rsidR="00F207AE" w:rsidRPr="00290207">
        <w:t>sms</w:t>
      </w:r>
      <w:r>
        <w:t xml:space="preserve">. The </w:t>
      </w:r>
      <w:r w:rsidR="00F207AE" w:rsidRPr="00290207">
        <w:t>most common</w:t>
      </w:r>
      <w:r>
        <w:t xml:space="preserve"> error was</w:t>
      </w:r>
      <w:r w:rsidR="00F207AE" w:rsidRPr="00290207">
        <w:t xml:space="preserve"> </w:t>
      </w:r>
      <w:proofErr w:type="spellStart"/>
      <w:r w:rsidR="00B11E76" w:rsidRPr="00290207">
        <w:rPr>
          <w:rStyle w:val="VCAAitalics"/>
        </w:rPr>
        <w:t>magyart</w:t>
      </w:r>
      <w:proofErr w:type="spellEnd"/>
      <w:r w:rsidR="00B11E76" w:rsidRPr="00290207">
        <w:rPr>
          <w:rStyle w:val="VCAAitalics"/>
        </w:rPr>
        <w:t xml:space="preserve"> </w:t>
      </w:r>
      <w:proofErr w:type="spellStart"/>
      <w:r w:rsidR="00B11E76" w:rsidRPr="00290207">
        <w:rPr>
          <w:rStyle w:val="VCAAitalics"/>
        </w:rPr>
        <w:t>csinálok</w:t>
      </w:r>
      <w:proofErr w:type="spellEnd"/>
      <w:r w:rsidR="00B11E76" w:rsidRPr="00290207">
        <w:t xml:space="preserve"> instead of </w:t>
      </w:r>
      <w:proofErr w:type="spellStart"/>
      <w:r w:rsidR="00B11E76" w:rsidRPr="00290207">
        <w:rPr>
          <w:rStyle w:val="VCAAitalics"/>
        </w:rPr>
        <w:t>magyarból</w:t>
      </w:r>
      <w:proofErr w:type="spellEnd"/>
      <w:r w:rsidR="00B11E76" w:rsidRPr="00290207">
        <w:rPr>
          <w:rStyle w:val="VCAAitalics"/>
        </w:rPr>
        <w:t xml:space="preserve"> </w:t>
      </w:r>
      <w:proofErr w:type="spellStart"/>
      <w:r w:rsidR="00B11E76" w:rsidRPr="00290207">
        <w:rPr>
          <w:rStyle w:val="VCAAitalics"/>
        </w:rPr>
        <w:t>érettségizem</w:t>
      </w:r>
      <w:proofErr w:type="spellEnd"/>
      <w:r w:rsidR="00ED7558" w:rsidRPr="00290207">
        <w:t>.</w:t>
      </w:r>
      <w:r w:rsidR="00B11E76" w:rsidRPr="00290207">
        <w:t xml:space="preserve"> </w:t>
      </w:r>
    </w:p>
    <w:p w14:paraId="07E17B13" w14:textId="13A55F7A" w:rsidR="00B11E76" w:rsidRPr="00322AD9" w:rsidRDefault="00F207AE" w:rsidP="003A109D">
      <w:pPr>
        <w:pStyle w:val="VCAAbody"/>
      </w:pPr>
      <w:r w:rsidRPr="00290207">
        <w:t xml:space="preserve">Students </w:t>
      </w:r>
      <w:r w:rsidR="00B11E76" w:rsidRPr="00290207">
        <w:t xml:space="preserve">often </w:t>
      </w:r>
      <w:r w:rsidRPr="00290207">
        <w:t xml:space="preserve">gave the names of their subjects </w:t>
      </w:r>
      <w:r w:rsidR="00B11E76" w:rsidRPr="00290207">
        <w:t>in English</w:t>
      </w:r>
      <w:r w:rsidR="003278E3">
        <w:t>,</w:t>
      </w:r>
      <w:r w:rsidRPr="00290207">
        <w:t xml:space="preserve"> but </w:t>
      </w:r>
      <w:r w:rsidR="007D601F">
        <w:t xml:space="preserve">they </w:t>
      </w:r>
      <w:r w:rsidRPr="00290207">
        <w:t>s</w:t>
      </w:r>
      <w:r w:rsidR="00B11E76" w:rsidRPr="00290207">
        <w:t xml:space="preserve">hould </w:t>
      </w:r>
      <w:r w:rsidR="00290207">
        <w:t xml:space="preserve">know </w:t>
      </w:r>
      <w:r w:rsidR="00B11E76" w:rsidRPr="00290207">
        <w:t>the</w:t>
      </w:r>
      <w:r w:rsidRPr="00290207">
        <w:t>ir</w:t>
      </w:r>
      <w:r w:rsidR="00B11E76" w:rsidRPr="00290207">
        <w:t xml:space="preserve"> correct Hungarian name and pronunciation.</w:t>
      </w:r>
    </w:p>
    <w:p w14:paraId="617580F7" w14:textId="58BB0029" w:rsidR="00B11E76" w:rsidRPr="00496D57" w:rsidRDefault="00B11E76">
      <w:pPr>
        <w:pStyle w:val="VCAAbody"/>
      </w:pPr>
      <w:r w:rsidRPr="00322AD9">
        <w:t xml:space="preserve">The instrumental </w:t>
      </w:r>
      <w:r w:rsidRPr="00322AD9">
        <w:rPr>
          <w:rStyle w:val="VCAAitalics"/>
        </w:rPr>
        <w:t>–</w:t>
      </w:r>
      <w:proofErr w:type="spellStart"/>
      <w:r w:rsidRPr="00322AD9">
        <w:rPr>
          <w:rStyle w:val="VCAAitalics"/>
        </w:rPr>
        <w:t>val</w:t>
      </w:r>
      <w:proofErr w:type="spellEnd"/>
      <w:r w:rsidRPr="00322AD9">
        <w:rPr>
          <w:rStyle w:val="VCAAitalics"/>
        </w:rPr>
        <w:t xml:space="preserve">, </w:t>
      </w:r>
      <w:r w:rsidR="00605050">
        <w:rPr>
          <w:rStyle w:val="VCAAitalics"/>
        </w:rPr>
        <w:t>–</w:t>
      </w:r>
      <w:r w:rsidRPr="00322AD9">
        <w:rPr>
          <w:rStyle w:val="VCAAitalics"/>
        </w:rPr>
        <w:t xml:space="preserve">vel </w:t>
      </w:r>
      <w:r w:rsidR="00605050" w:rsidRPr="00322AD9">
        <w:t>was</w:t>
      </w:r>
      <w:r w:rsidR="00605050">
        <w:rPr>
          <w:rStyle w:val="VCAAitalics"/>
        </w:rPr>
        <w:t xml:space="preserve"> </w:t>
      </w:r>
      <w:r w:rsidRPr="00322AD9">
        <w:t xml:space="preserve">used by </w:t>
      </w:r>
      <w:r w:rsidR="00605050">
        <w:t>some</w:t>
      </w:r>
      <w:r w:rsidRPr="00322AD9">
        <w:t xml:space="preserve"> </w:t>
      </w:r>
      <w:r w:rsidR="007E15C2">
        <w:t>student</w:t>
      </w:r>
      <w:r w:rsidRPr="00322AD9">
        <w:t xml:space="preserve">s instead of using the assimilation with doubling the </w:t>
      </w:r>
      <w:r w:rsidR="00605050">
        <w:t>final</w:t>
      </w:r>
      <w:r w:rsidRPr="00322AD9">
        <w:t xml:space="preserve"> consonants </w:t>
      </w:r>
      <w:r w:rsidR="00B458B6">
        <w:t xml:space="preserve">such </w:t>
      </w:r>
      <w:r w:rsidRPr="00322AD9">
        <w:t xml:space="preserve">as </w:t>
      </w:r>
      <w:r w:rsidRPr="00322AD9">
        <w:rPr>
          <w:rStyle w:val="VCAAitalics"/>
        </w:rPr>
        <w:t xml:space="preserve">–z, </w:t>
      </w:r>
      <w:r w:rsidR="00605050">
        <w:rPr>
          <w:rStyle w:val="VCAAitalics"/>
        </w:rPr>
        <w:t>–</w:t>
      </w:r>
      <w:r w:rsidRPr="00322AD9">
        <w:rPr>
          <w:rStyle w:val="VCAAitalics"/>
        </w:rPr>
        <w:t xml:space="preserve">s, </w:t>
      </w:r>
      <w:r w:rsidR="00605050">
        <w:rPr>
          <w:rStyle w:val="VCAAitalics"/>
        </w:rPr>
        <w:t>–</w:t>
      </w:r>
      <w:r w:rsidRPr="00322AD9">
        <w:rPr>
          <w:rStyle w:val="VCAAitalics"/>
        </w:rPr>
        <w:t xml:space="preserve">g </w:t>
      </w:r>
      <w:r w:rsidRPr="00322AD9">
        <w:t>and others</w:t>
      </w:r>
      <w:r w:rsidR="003278E3">
        <w:t>:</w:t>
      </w:r>
      <w:r w:rsidR="00605050">
        <w:t xml:space="preserve"> </w:t>
      </w:r>
      <w:r w:rsidR="003278E3">
        <w:t>f</w:t>
      </w:r>
      <w:r w:rsidR="00605050">
        <w:t>or example,</w:t>
      </w:r>
      <w:r w:rsidRPr="00322AD9">
        <w:t xml:space="preserve"> </w:t>
      </w:r>
      <w:proofErr w:type="spellStart"/>
      <w:r w:rsidR="00ED7558">
        <w:rPr>
          <w:rStyle w:val="VCAAitalics"/>
        </w:rPr>
        <w:t>k</w:t>
      </w:r>
      <w:r w:rsidRPr="00322AD9">
        <w:rPr>
          <w:rStyle w:val="VCAAitalics"/>
        </w:rPr>
        <w:t>ézvel</w:t>
      </w:r>
      <w:proofErr w:type="spellEnd"/>
      <w:r w:rsidRPr="00322AD9">
        <w:rPr>
          <w:rStyle w:val="VCAAitalics"/>
        </w:rPr>
        <w:t xml:space="preserve"> </w:t>
      </w:r>
      <w:r w:rsidRPr="00322AD9">
        <w:t xml:space="preserve">instead of </w:t>
      </w:r>
      <w:proofErr w:type="spellStart"/>
      <w:r w:rsidRPr="00322AD9">
        <w:rPr>
          <w:rStyle w:val="VCAAitalics"/>
        </w:rPr>
        <w:t>kézzel</w:t>
      </w:r>
      <w:proofErr w:type="spellEnd"/>
      <w:r w:rsidR="00605050">
        <w:rPr>
          <w:rStyle w:val="VCAAitalics"/>
        </w:rPr>
        <w:t xml:space="preserve"> </w:t>
      </w:r>
      <w:r w:rsidR="00605050" w:rsidRPr="00322AD9">
        <w:t>or</w:t>
      </w:r>
      <w:r w:rsidRPr="00322AD9">
        <w:t xml:space="preserve"> </w:t>
      </w:r>
      <w:proofErr w:type="spellStart"/>
      <w:r w:rsidRPr="00322AD9">
        <w:rPr>
          <w:rStyle w:val="VCAAitalics"/>
        </w:rPr>
        <w:t>szüleimvel</w:t>
      </w:r>
      <w:proofErr w:type="spellEnd"/>
      <w:r w:rsidRPr="00322AD9">
        <w:rPr>
          <w:rStyle w:val="VCAAitalics"/>
        </w:rPr>
        <w:t xml:space="preserve"> </w:t>
      </w:r>
      <w:r w:rsidRPr="00322AD9">
        <w:t xml:space="preserve">instead of </w:t>
      </w:r>
      <w:proofErr w:type="spellStart"/>
      <w:r w:rsidRPr="00322AD9">
        <w:rPr>
          <w:rStyle w:val="VCAAitalics"/>
        </w:rPr>
        <w:t>szüleimmel</w:t>
      </w:r>
      <w:proofErr w:type="spellEnd"/>
      <w:r w:rsidRPr="00322AD9">
        <w:t xml:space="preserve">. The use of singular nouns following definite or indefinite numerals </w:t>
      </w:r>
      <w:r w:rsidR="00605050">
        <w:t>was often incorrect</w:t>
      </w:r>
      <w:r w:rsidR="003278E3">
        <w:t xml:space="preserve"> (</w:t>
      </w:r>
      <w:r w:rsidRPr="00322AD9">
        <w:t xml:space="preserve">e.g. </w:t>
      </w:r>
      <w:proofErr w:type="spellStart"/>
      <w:r w:rsidRPr="00322AD9">
        <w:rPr>
          <w:rStyle w:val="VCAAitalics"/>
        </w:rPr>
        <w:t>minden</w:t>
      </w:r>
      <w:proofErr w:type="spellEnd"/>
      <w:r w:rsidRPr="00322AD9">
        <w:rPr>
          <w:rStyle w:val="VCAAitalics"/>
        </w:rPr>
        <w:t xml:space="preserve"> </w:t>
      </w:r>
      <w:proofErr w:type="spellStart"/>
      <w:r w:rsidRPr="00322AD9">
        <w:rPr>
          <w:rStyle w:val="VCAAitalics"/>
        </w:rPr>
        <w:t>tárgyakat</w:t>
      </w:r>
      <w:proofErr w:type="spellEnd"/>
      <w:r w:rsidR="003278E3">
        <w:rPr>
          <w:rStyle w:val="VCAAitalics"/>
          <w:i w:val="0"/>
          <w:iCs w:val="0"/>
        </w:rPr>
        <w:t>)</w:t>
      </w:r>
      <w:r w:rsidRPr="00322AD9">
        <w:rPr>
          <w:rStyle w:val="VCAAitalics"/>
        </w:rPr>
        <w:t>.</w:t>
      </w:r>
    </w:p>
    <w:p w14:paraId="651B869A" w14:textId="68CC4913" w:rsidR="006946BE" w:rsidRDefault="006946BE" w:rsidP="00866D6E">
      <w:pPr>
        <w:pStyle w:val="VCAAHeading1"/>
      </w:pPr>
      <w:r>
        <w:t>Section 2 – Discussion</w:t>
      </w:r>
    </w:p>
    <w:p w14:paraId="0358A3C9" w14:textId="4EB11246" w:rsidR="00290207" w:rsidRDefault="00290207" w:rsidP="00B34500">
      <w:pPr>
        <w:pStyle w:val="VCAAbody"/>
      </w:pPr>
      <w:r w:rsidRPr="00290207">
        <w:t xml:space="preserve">Students are reminded that they will be expected to discuss their detailed study in this section of the oral examination. The </w:t>
      </w:r>
      <w:r w:rsidR="003278E3">
        <w:t>D</w:t>
      </w:r>
      <w:r w:rsidRPr="00290207">
        <w:t xml:space="preserve">etailed </w:t>
      </w:r>
      <w:r w:rsidR="003278E3">
        <w:t>S</w:t>
      </w:r>
      <w:r w:rsidRPr="00290207">
        <w:t>tudy should be based on a subtopic related to one or more of the selected prescribed topics listed in the table o</w:t>
      </w:r>
      <w:r w:rsidR="003278E3">
        <w:t>n</w:t>
      </w:r>
      <w:r w:rsidRPr="00290207">
        <w:t xml:space="preserve"> page 13</w:t>
      </w:r>
      <w:r>
        <w:t xml:space="preserve"> of the</w:t>
      </w:r>
      <w:r w:rsidRPr="00290207">
        <w:t xml:space="preserve"> </w:t>
      </w:r>
      <w:r w:rsidRPr="00EB157C">
        <w:rPr>
          <w:rStyle w:val="VCAAitalics"/>
          <w:i w:val="0"/>
          <w:iCs w:val="0"/>
        </w:rPr>
        <w:t>VCE Hungarian Study Design</w:t>
      </w:r>
      <w:r w:rsidRPr="00290207">
        <w:t>.</w:t>
      </w:r>
    </w:p>
    <w:p w14:paraId="0CE88253" w14:textId="7A16E9A8" w:rsidR="00B34500" w:rsidRPr="001D328D" w:rsidRDefault="007D601F" w:rsidP="00B34500">
      <w:pPr>
        <w:pStyle w:val="VCAAbody"/>
      </w:pPr>
      <w:r>
        <w:t>Generally</w:t>
      </w:r>
      <w:r w:rsidR="00176B31">
        <w:t>,</w:t>
      </w:r>
      <w:r>
        <w:t xml:space="preserve"> students had prepared well for their subtopic.</w:t>
      </w:r>
      <w:r w:rsidR="00290207">
        <w:t xml:space="preserve"> </w:t>
      </w:r>
      <w:r w:rsidR="00B11E76">
        <w:t xml:space="preserve">They expressed </w:t>
      </w:r>
      <w:r w:rsidR="00E2434A">
        <w:t xml:space="preserve">their ideas and opinions </w:t>
      </w:r>
      <w:r w:rsidR="00B11E76">
        <w:t>clearly</w:t>
      </w:r>
      <w:r w:rsidR="00E2434A">
        <w:t>,</w:t>
      </w:r>
      <w:r w:rsidR="00B11E76">
        <w:t xml:space="preserve"> with excellent pronunciation, intonation, </w:t>
      </w:r>
      <w:proofErr w:type="gramStart"/>
      <w:r w:rsidR="00B11E76">
        <w:t>stress</w:t>
      </w:r>
      <w:proofErr w:type="gramEnd"/>
      <w:r w:rsidR="00B11E76">
        <w:t xml:space="preserve"> and tempo.</w:t>
      </w:r>
      <w:r w:rsidR="00E2434A">
        <w:t xml:space="preserve"> They engage</w:t>
      </w:r>
      <w:r w:rsidR="00B34500">
        <w:t>d</w:t>
      </w:r>
      <w:r w:rsidR="00E2434A">
        <w:t xml:space="preserve"> with the assessors and presented int</w:t>
      </w:r>
      <w:r w:rsidR="00B11E76">
        <w:t>eresting stories and anecdotal evidence.</w:t>
      </w:r>
      <w:r w:rsidR="00B34500" w:rsidRPr="00B34500">
        <w:t xml:space="preserve"> </w:t>
      </w:r>
      <w:r w:rsidR="00B34500">
        <w:t>The</w:t>
      </w:r>
      <w:r w:rsidR="001558D8">
        <w:t>y</w:t>
      </w:r>
      <w:r w:rsidR="00B34500">
        <w:t xml:space="preserve"> communicated effectively and with clarity despite </w:t>
      </w:r>
      <w:r w:rsidR="00B34500" w:rsidRPr="001D328D">
        <w:t xml:space="preserve">grammatical errors </w:t>
      </w:r>
      <w:r w:rsidR="00B34500">
        <w:t xml:space="preserve">and a limited but well-selected </w:t>
      </w:r>
      <w:r w:rsidR="00B34500" w:rsidRPr="001D328D">
        <w:t>vocabulary.</w:t>
      </w:r>
    </w:p>
    <w:p w14:paraId="5251CF91" w14:textId="03C086A4" w:rsidR="00B11E76" w:rsidRDefault="00E2434A">
      <w:pPr>
        <w:pStyle w:val="VCAAbody"/>
      </w:pPr>
      <w:r>
        <w:t xml:space="preserve">They were generally able to answer the assessors’ questions </w:t>
      </w:r>
      <w:r w:rsidRPr="00866D6E">
        <w:t xml:space="preserve">but did not always </w:t>
      </w:r>
      <w:r w:rsidR="007D601F" w:rsidRPr="00866D6E">
        <w:t>expand on their responses</w:t>
      </w:r>
      <w:r w:rsidR="00B11E76" w:rsidRPr="00866D6E">
        <w:t>.</w:t>
      </w:r>
    </w:p>
    <w:p w14:paraId="0DEEBD6C" w14:textId="77777777" w:rsidR="003278E3" w:rsidRDefault="00E2434A">
      <w:pPr>
        <w:pStyle w:val="VCAAbody"/>
        <w:sectPr w:rsidR="003278E3" w:rsidSect="00B230DB">
          <w:headerReference w:type="first" r:id="rId14"/>
          <w:footerReference w:type="first" r:id="rId15"/>
          <w:type w:val="continuous"/>
          <w:pgSz w:w="11907" w:h="16840" w:code="9"/>
          <w:pgMar w:top="1418" w:right="1134" w:bottom="567" w:left="1134" w:header="283" w:footer="283" w:gutter="0"/>
          <w:cols w:space="708"/>
          <w:titlePg/>
          <w:docGrid w:linePitch="360"/>
        </w:sectPr>
      </w:pPr>
      <w:r w:rsidRPr="00322AD9">
        <w:t>The grammatical and syntactical errors that occurred in the Conversation also occurred in the Discussion</w:t>
      </w:r>
      <w:r w:rsidR="00EF298C">
        <w:t xml:space="preserve">, such as </w:t>
      </w:r>
      <w:r w:rsidRPr="00322AD9">
        <w:t>anglicisms</w:t>
      </w:r>
      <w:r w:rsidR="00EF298C">
        <w:t xml:space="preserve"> (</w:t>
      </w:r>
      <w:proofErr w:type="spellStart"/>
      <w:r w:rsidRPr="00322AD9">
        <w:rPr>
          <w:rStyle w:val="VCAAitalics"/>
        </w:rPr>
        <w:t>influenzált</w:t>
      </w:r>
      <w:proofErr w:type="spellEnd"/>
      <w:r w:rsidRPr="00322AD9">
        <w:rPr>
          <w:rStyle w:val="VCAAitalics"/>
        </w:rPr>
        <w:t xml:space="preserve"> </w:t>
      </w:r>
      <w:proofErr w:type="spellStart"/>
      <w:r w:rsidRPr="00322AD9">
        <w:rPr>
          <w:rStyle w:val="VCAAitalics"/>
        </w:rPr>
        <w:t>engem</w:t>
      </w:r>
      <w:proofErr w:type="spellEnd"/>
      <w:r w:rsidRPr="00322AD9">
        <w:t xml:space="preserve"> instead of </w:t>
      </w:r>
      <w:proofErr w:type="spellStart"/>
      <w:r w:rsidRPr="00322AD9">
        <w:rPr>
          <w:rStyle w:val="VCAAitalics"/>
        </w:rPr>
        <w:t>hatott</w:t>
      </w:r>
      <w:proofErr w:type="spellEnd"/>
      <w:r w:rsidRPr="00322AD9">
        <w:rPr>
          <w:rStyle w:val="VCAAitalics"/>
        </w:rPr>
        <w:t xml:space="preserve"> </w:t>
      </w:r>
      <w:proofErr w:type="spellStart"/>
      <w:r w:rsidRPr="00322AD9">
        <w:rPr>
          <w:rStyle w:val="VCAAitalics"/>
        </w:rPr>
        <w:t>rám</w:t>
      </w:r>
      <w:proofErr w:type="spellEnd"/>
      <w:r w:rsidRPr="00322AD9">
        <w:t xml:space="preserve">, </w:t>
      </w:r>
      <w:proofErr w:type="spellStart"/>
      <w:r w:rsidRPr="00322AD9">
        <w:rPr>
          <w:rStyle w:val="VCAAitalics"/>
        </w:rPr>
        <w:t>dezertált</w:t>
      </w:r>
      <w:proofErr w:type="spellEnd"/>
      <w:r w:rsidRPr="00322AD9">
        <w:t xml:space="preserve"> instead of </w:t>
      </w:r>
      <w:proofErr w:type="spellStart"/>
      <w:r w:rsidRPr="00322AD9">
        <w:rPr>
          <w:rStyle w:val="VCAAitalics"/>
        </w:rPr>
        <w:t>disidált</w:t>
      </w:r>
      <w:proofErr w:type="spellEnd"/>
      <w:r w:rsidR="00EF298C" w:rsidRPr="00322AD9">
        <w:t>)</w:t>
      </w:r>
      <w:r w:rsidR="00EF298C">
        <w:t>.</w:t>
      </w:r>
      <w:r w:rsidR="00DD6FC1">
        <w:t xml:space="preserve"> </w:t>
      </w:r>
      <w:r w:rsidR="00F406BC">
        <w:t>V</w:t>
      </w:r>
      <w:r w:rsidR="00B11E76">
        <w:t xml:space="preserve">erbal prefixes </w:t>
      </w:r>
      <w:r w:rsidR="00EF298C">
        <w:t xml:space="preserve">were </w:t>
      </w:r>
      <w:r w:rsidR="00B11E76">
        <w:t xml:space="preserve">often </w:t>
      </w:r>
      <w:r w:rsidR="00F406BC">
        <w:t xml:space="preserve">used </w:t>
      </w:r>
      <w:r w:rsidR="00B11E76">
        <w:t>haphazardly</w:t>
      </w:r>
      <w:r w:rsidR="003278E3">
        <w:t>,</w:t>
      </w:r>
      <w:r w:rsidR="00F406BC">
        <w:t xml:space="preserve"> and not enough attention was given to correct case endings and </w:t>
      </w:r>
      <w:r w:rsidR="00B11E76">
        <w:t>idiomatic expressions.</w:t>
      </w:r>
      <w:r w:rsidR="00F406BC">
        <w:t xml:space="preserve"> </w:t>
      </w:r>
    </w:p>
    <w:p w14:paraId="2B8251C0" w14:textId="0F6417B9" w:rsidR="00322AD9" w:rsidRDefault="007D601F">
      <w:pPr>
        <w:pStyle w:val="VCAAbody"/>
      </w:pPr>
      <w:r>
        <w:lastRenderedPageBreak/>
        <w:t>Examples of incorrect literal translations are:</w:t>
      </w:r>
    </w:p>
    <w:p w14:paraId="1F0593AC" w14:textId="44A3E3CA" w:rsidR="00DD6FC1" w:rsidRDefault="00B11E76" w:rsidP="00322AD9">
      <w:pPr>
        <w:pStyle w:val="VCAAbullet"/>
      </w:pPr>
      <w:proofErr w:type="spellStart"/>
      <w:r w:rsidRPr="00322AD9">
        <w:rPr>
          <w:rStyle w:val="VCAAitalics"/>
        </w:rPr>
        <w:t>királyos</w:t>
      </w:r>
      <w:proofErr w:type="spellEnd"/>
      <w:r w:rsidRPr="00322AD9">
        <w:rPr>
          <w:rStyle w:val="VCAAitalics"/>
        </w:rPr>
        <w:t xml:space="preserve"> </w:t>
      </w:r>
      <w:r>
        <w:t xml:space="preserve">instead of </w:t>
      </w:r>
      <w:proofErr w:type="spellStart"/>
      <w:r w:rsidRPr="00322AD9">
        <w:rPr>
          <w:rStyle w:val="VCAAitalics"/>
        </w:rPr>
        <w:t>királyi</w:t>
      </w:r>
      <w:proofErr w:type="spellEnd"/>
      <w:r w:rsidR="00F406BC">
        <w:rPr>
          <w:rStyle w:val="VCAAitalics"/>
        </w:rPr>
        <w:t>,</w:t>
      </w:r>
      <w:r w:rsidRPr="00322AD9">
        <w:rPr>
          <w:rStyle w:val="VCAAitalics"/>
        </w:rPr>
        <w:t xml:space="preserve"> </w:t>
      </w:r>
      <w:r w:rsidR="00F406BC">
        <w:t>or</w:t>
      </w:r>
      <w:r>
        <w:t xml:space="preserve"> </w:t>
      </w:r>
      <w:proofErr w:type="spellStart"/>
      <w:r w:rsidRPr="00322AD9">
        <w:rPr>
          <w:rStyle w:val="VCAAitalics"/>
        </w:rPr>
        <w:t>gazdag</w:t>
      </w:r>
      <w:proofErr w:type="spellEnd"/>
      <w:r w:rsidRPr="00322AD9">
        <w:rPr>
          <w:rStyle w:val="VCAAitalics"/>
        </w:rPr>
        <w:t xml:space="preserve"> </w:t>
      </w:r>
      <w:r>
        <w:t>whe</w:t>
      </w:r>
      <w:r w:rsidR="00F406BC">
        <w:t>n</w:t>
      </w:r>
      <w:r>
        <w:t xml:space="preserve"> a plain </w:t>
      </w:r>
      <w:r w:rsidR="00303C3D">
        <w:rPr>
          <w:rStyle w:val="VCAAitalics"/>
        </w:rPr>
        <w:t>‘</w:t>
      </w:r>
      <w:proofErr w:type="spellStart"/>
      <w:r w:rsidRPr="00322AD9">
        <w:rPr>
          <w:rStyle w:val="VCAAitalics"/>
        </w:rPr>
        <w:t>sok</w:t>
      </w:r>
      <w:proofErr w:type="spellEnd"/>
      <w:r w:rsidR="00303C3D">
        <w:rPr>
          <w:rStyle w:val="VCAAitalics"/>
        </w:rPr>
        <w:t>’</w:t>
      </w:r>
      <w:r w:rsidRPr="00322AD9">
        <w:rPr>
          <w:rStyle w:val="VCAAitalics"/>
        </w:rPr>
        <w:t xml:space="preserve"> </w:t>
      </w:r>
      <w:r w:rsidR="00322AD9">
        <w:t>would be better</w:t>
      </w:r>
    </w:p>
    <w:p w14:paraId="1CA70F9C" w14:textId="71E56065" w:rsidR="006C4A1F" w:rsidRDefault="00F406BC">
      <w:pPr>
        <w:pStyle w:val="VCAAbullet"/>
      </w:pPr>
      <w:proofErr w:type="spellStart"/>
      <w:r>
        <w:rPr>
          <w:rStyle w:val="VCAAitalics"/>
        </w:rPr>
        <w:t>p</w:t>
      </w:r>
      <w:r w:rsidR="006C4A1F" w:rsidRPr="00322AD9">
        <w:rPr>
          <w:rStyle w:val="VCAAitalics"/>
        </w:rPr>
        <w:t>ár</w:t>
      </w:r>
      <w:proofErr w:type="spellEnd"/>
      <w:r w:rsidR="006C4A1F" w:rsidRPr="008D1710">
        <w:t xml:space="preserve"> governs</w:t>
      </w:r>
      <w:r w:rsidR="006C4A1F">
        <w:t xml:space="preserve"> </w:t>
      </w:r>
      <w:r w:rsidR="006C4A1F" w:rsidRPr="008D1710">
        <w:t>the singular</w:t>
      </w:r>
      <w:r w:rsidR="003278E3">
        <w:t xml:space="preserve"> (</w:t>
      </w:r>
      <w:r>
        <w:t>e.g.</w:t>
      </w:r>
      <w:bookmarkStart w:id="1" w:name="OLE_LINK2"/>
      <w:r w:rsidR="006C4A1F" w:rsidRPr="00322AD9">
        <w:rPr>
          <w:rStyle w:val="VCAAitalics"/>
        </w:rPr>
        <w:t xml:space="preserve"> p</w:t>
      </w:r>
      <w:proofErr w:type="spellStart"/>
      <w:r w:rsidR="006C4A1F" w:rsidRPr="00322AD9">
        <w:rPr>
          <w:rStyle w:val="VCAAitalics"/>
        </w:rPr>
        <w:t>ár</w:t>
      </w:r>
      <w:proofErr w:type="spellEnd"/>
      <w:r w:rsidR="006C4A1F" w:rsidRPr="00322AD9">
        <w:rPr>
          <w:rStyle w:val="VCAAitalics"/>
        </w:rPr>
        <w:t xml:space="preserve"> </w:t>
      </w:r>
      <w:proofErr w:type="spellStart"/>
      <w:r w:rsidR="006C4A1F" w:rsidRPr="00322AD9">
        <w:rPr>
          <w:rStyle w:val="VCAAitalics"/>
        </w:rPr>
        <w:t>haverral</w:t>
      </w:r>
      <w:proofErr w:type="spellEnd"/>
      <w:r w:rsidR="006C4A1F" w:rsidRPr="008D1710">
        <w:t xml:space="preserve"> not </w:t>
      </w:r>
      <w:proofErr w:type="spellStart"/>
      <w:r w:rsidR="006C4A1F" w:rsidRPr="00322AD9">
        <w:rPr>
          <w:rStyle w:val="VCAAitalics"/>
        </w:rPr>
        <w:t>haverokkal</w:t>
      </w:r>
      <w:bookmarkEnd w:id="1"/>
      <w:proofErr w:type="spellEnd"/>
      <w:r w:rsidR="003278E3" w:rsidRPr="00EB157C">
        <w:t>)</w:t>
      </w:r>
    </w:p>
    <w:p w14:paraId="500E917D" w14:textId="34A2E66D" w:rsidR="006C4A1F" w:rsidRDefault="00F406BC" w:rsidP="006C4A1F">
      <w:pPr>
        <w:pStyle w:val="VCAAbullet"/>
      </w:pPr>
      <w:proofErr w:type="spellStart"/>
      <w:r>
        <w:rPr>
          <w:rStyle w:val="VCAAitalics"/>
        </w:rPr>
        <w:t>g</w:t>
      </w:r>
      <w:r w:rsidR="006C4A1F" w:rsidRPr="00322AD9">
        <w:rPr>
          <w:rStyle w:val="VCAAitalics"/>
        </w:rPr>
        <w:t>ondoskodni</w:t>
      </w:r>
      <w:proofErr w:type="spellEnd"/>
      <w:r w:rsidR="00ED7558">
        <w:rPr>
          <w:rStyle w:val="VCAAitalics"/>
        </w:rPr>
        <w:t xml:space="preserve"> </w:t>
      </w:r>
      <w:r w:rsidR="006C4A1F">
        <w:t xml:space="preserve">means take care (of) </w:t>
      </w:r>
      <w:r w:rsidR="000804D6">
        <w:t xml:space="preserve">whereas </w:t>
      </w:r>
      <w:proofErr w:type="spellStart"/>
      <w:r w:rsidR="006C4A1F" w:rsidRPr="00322AD9">
        <w:rPr>
          <w:rStyle w:val="VCAAitalics"/>
        </w:rPr>
        <w:t>gondolkodni</w:t>
      </w:r>
      <w:proofErr w:type="spellEnd"/>
      <w:r w:rsidR="006C4A1F" w:rsidRPr="00322AD9">
        <w:rPr>
          <w:rStyle w:val="VCAAitalics"/>
        </w:rPr>
        <w:t xml:space="preserve"> </w:t>
      </w:r>
      <w:r w:rsidR="000804D6">
        <w:t>means t</w:t>
      </w:r>
      <w:r w:rsidR="006C4A1F">
        <w:t>hink (about)</w:t>
      </w:r>
    </w:p>
    <w:p w14:paraId="59F03CA1" w14:textId="7BB3DFDD" w:rsidR="006C4A1F" w:rsidRDefault="006C4A1F" w:rsidP="006C4A1F">
      <w:pPr>
        <w:pStyle w:val="VCAAbullet"/>
      </w:pPr>
      <w:proofErr w:type="spellStart"/>
      <w:r w:rsidRPr="00322AD9">
        <w:rPr>
          <w:rStyle w:val="VCAAitalics"/>
        </w:rPr>
        <w:t>egyórás</w:t>
      </w:r>
      <w:proofErr w:type="spellEnd"/>
      <w:r>
        <w:t xml:space="preserve"> </w:t>
      </w:r>
      <w:proofErr w:type="spellStart"/>
      <w:r w:rsidRPr="00322AD9">
        <w:rPr>
          <w:rStyle w:val="VCAAitalics"/>
        </w:rPr>
        <w:t>időként</w:t>
      </w:r>
      <w:proofErr w:type="spellEnd"/>
      <w:r>
        <w:t xml:space="preserve"> should be </w:t>
      </w:r>
      <w:proofErr w:type="spellStart"/>
      <w:r w:rsidRPr="00322AD9">
        <w:rPr>
          <w:rStyle w:val="VCAAitalics"/>
        </w:rPr>
        <w:t>óránként</w:t>
      </w:r>
      <w:proofErr w:type="spellEnd"/>
      <w:r>
        <w:t xml:space="preserve"> – the ‘</w:t>
      </w:r>
      <w:proofErr w:type="spellStart"/>
      <w:r w:rsidRPr="00322AD9">
        <w:rPr>
          <w:rStyle w:val="VCAAitalics"/>
        </w:rPr>
        <w:t>egy</w:t>
      </w:r>
      <w:proofErr w:type="spellEnd"/>
      <w:r>
        <w:t>’ is implied</w:t>
      </w:r>
    </w:p>
    <w:p w14:paraId="48C0551A" w14:textId="092080FD" w:rsidR="000804D6" w:rsidRDefault="000804D6" w:rsidP="006C4A1F">
      <w:pPr>
        <w:pStyle w:val="VCAAbullet"/>
      </w:pPr>
      <w:r>
        <w:rPr>
          <w:rStyle w:val="VCAAitalics"/>
        </w:rPr>
        <w:t>m</w:t>
      </w:r>
      <w:r w:rsidR="006C4A1F" w:rsidRPr="00322AD9">
        <w:rPr>
          <w:rStyle w:val="VCAAitalics"/>
        </w:rPr>
        <w:t>ind</w:t>
      </w:r>
      <w:r>
        <w:rPr>
          <w:rStyle w:val="VCAAitalics"/>
        </w:rPr>
        <w:t>,</w:t>
      </w:r>
      <w:r w:rsidR="006C4A1F">
        <w:t xml:space="preserve"> </w:t>
      </w:r>
      <w:r>
        <w:t xml:space="preserve">which governs the plural, </w:t>
      </w:r>
      <w:r w:rsidR="006C4A1F">
        <w:t xml:space="preserve">was often confused with </w:t>
      </w:r>
      <w:proofErr w:type="spellStart"/>
      <w:r w:rsidR="006C4A1F" w:rsidRPr="00322AD9">
        <w:rPr>
          <w:rStyle w:val="VCAAitalics"/>
        </w:rPr>
        <w:t>minden</w:t>
      </w:r>
      <w:proofErr w:type="spellEnd"/>
      <w:r w:rsidR="006C4A1F">
        <w:t>,</w:t>
      </w:r>
      <w:r w:rsidR="006C4A1F" w:rsidRPr="00322AD9">
        <w:rPr>
          <w:rStyle w:val="VCAAitalics"/>
        </w:rPr>
        <w:t xml:space="preserve"> </w:t>
      </w:r>
      <w:r w:rsidR="006C4A1F">
        <w:t xml:space="preserve">which </w:t>
      </w:r>
      <w:r>
        <w:t xml:space="preserve">governs the singular and means </w:t>
      </w:r>
      <w:r w:rsidR="006C4A1F">
        <w:t>‘everything’ or ‘anything’.</w:t>
      </w:r>
    </w:p>
    <w:p w14:paraId="0AC60392" w14:textId="07B00824" w:rsidR="00432DF5" w:rsidRDefault="00432DF5" w:rsidP="007C1E4D">
      <w:pPr>
        <w:pStyle w:val="VCAAbody"/>
        <w:rPr>
          <w:lang w:val="hu-HU"/>
        </w:rPr>
      </w:pPr>
      <w:r>
        <w:t>Some s</w:t>
      </w:r>
      <w:r w:rsidR="006C4A1F" w:rsidRPr="00624DAE">
        <w:t>tudents d</w:t>
      </w:r>
      <w:r>
        <w:t>id</w:t>
      </w:r>
      <w:r w:rsidR="006C4A1F" w:rsidRPr="00624DAE">
        <w:t xml:space="preserve"> not </w:t>
      </w:r>
      <w:proofErr w:type="spellStart"/>
      <w:r w:rsidR="006C4A1F" w:rsidRPr="00624DAE">
        <w:t>realise</w:t>
      </w:r>
      <w:proofErr w:type="spellEnd"/>
      <w:r w:rsidR="006C4A1F" w:rsidRPr="00624DAE">
        <w:t xml:space="preserve"> th</w:t>
      </w:r>
      <w:r>
        <w:t xml:space="preserve">at the noun is always in the singular in </w:t>
      </w:r>
      <w:r w:rsidR="006C4A1F" w:rsidRPr="00624DAE">
        <w:t>definite or indefinite</w:t>
      </w:r>
      <w:r>
        <w:t xml:space="preserve"> numerical adjectives</w:t>
      </w:r>
      <w:r w:rsidR="003278E3">
        <w:t>:</w:t>
      </w:r>
      <w:r>
        <w:t xml:space="preserve"> for example, </w:t>
      </w:r>
      <w:proofErr w:type="spellStart"/>
      <w:r w:rsidR="006C4A1F" w:rsidRPr="00322AD9">
        <w:rPr>
          <w:rStyle w:val="VCAAitalics"/>
        </w:rPr>
        <w:t>egy</w:t>
      </w:r>
      <w:proofErr w:type="spellEnd"/>
      <w:r w:rsidR="006C4A1F" w:rsidRPr="00322AD9">
        <w:rPr>
          <w:rStyle w:val="VCAAitalics"/>
        </w:rPr>
        <w:t xml:space="preserve"> </w:t>
      </w:r>
      <w:proofErr w:type="spellStart"/>
      <w:r w:rsidR="006C4A1F" w:rsidRPr="00322AD9">
        <w:rPr>
          <w:rStyle w:val="VCAAitalics"/>
        </w:rPr>
        <w:t>barát</w:t>
      </w:r>
      <w:proofErr w:type="spellEnd"/>
      <w:r w:rsidR="006C4A1F" w:rsidRPr="00322AD9">
        <w:rPr>
          <w:rStyle w:val="VCAAitalics"/>
        </w:rPr>
        <w:t xml:space="preserve">, </w:t>
      </w:r>
      <w:proofErr w:type="spellStart"/>
      <w:r w:rsidR="006C4A1F" w:rsidRPr="00322AD9">
        <w:rPr>
          <w:rStyle w:val="VCAAitalics"/>
        </w:rPr>
        <w:t>két</w:t>
      </w:r>
      <w:proofErr w:type="spellEnd"/>
      <w:r w:rsidR="006C4A1F" w:rsidRPr="00322AD9">
        <w:rPr>
          <w:rStyle w:val="VCAAitalics"/>
        </w:rPr>
        <w:t xml:space="preserve"> </w:t>
      </w:r>
      <w:proofErr w:type="spellStart"/>
      <w:r w:rsidR="006C4A1F" w:rsidRPr="00322AD9">
        <w:rPr>
          <w:rStyle w:val="VCAAitalics"/>
        </w:rPr>
        <w:t>barát</w:t>
      </w:r>
      <w:proofErr w:type="spellEnd"/>
      <w:r w:rsidR="006C4A1F" w:rsidRPr="00322AD9">
        <w:rPr>
          <w:rStyle w:val="VCAAitalics"/>
        </w:rPr>
        <w:t xml:space="preserve">, </w:t>
      </w:r>
      <w:proofErr w:type="spellStart"/>
      <w:r w:rsidR="006C4A1F" w:rsidRPr="00322AD9">
        <w:rPr>
          <w:rStyle w:val="VCAAitalics"/>
        </w:rPr>
        <w:t>több</w:t>
      </w:r>
      <w:proofErr w:type="spellEnd"/>
      <w:r w:rsidR="006C4A1F" w:rsidRPr="00322AD9">
        <w:rPr>
          <w:rStyle w:val="VCAAitalics"/>
        </w:rPr>
        <w:t xml:space="preserve"> </w:t>
      </w:r>
      <w:proofErr w:type="spellStart"/>
      <w:r w:rsidR="006C4A1F" w:rsidRPr="00322AD9">
        <w:rPr>
          <w:rStyle w:val="VCAAitalics"/>
        </w:rPr>
        <w:t>barát</w:t>
      </w:r>
      <w:proofErr w:type="spellEnd"/>
      <w:r w:rsidR="006C4A1F" w:rsidRPr="00322AD9">
        <w:rPr>
          <w:rStyle w:val="VCAAitalics"/>
        </w:rPr>
        <w:t xml:space="preserve">, </w:t>
      </w:r>
      <w:proofErr w:type="spellStart"/>
      <w:r w:rsidR="006C4A1F" w:rsidRPr="00322AD9">
        <w:rPr>
          <w:rStyle w:val="VCAAitalics"/>
        </w:rPr>
        <w:t>egy</w:t>
      </w:r>
      <w:proofErr w:type="spellEnd"/>
      <w:r w:rsidR="006C4A1F" w:rsidRPr="00322AD9">
        <w:rPr>
          <w:rStyle w:val="VCAAitalics"/>
        </w:rPr>
        <w:t xml:space="preserve"> </w:t>
      </w:r>
      <w:proofErr w:type="spellStart"/>
      <w:r w:rsidR="006C4A1F" w:rsidRPr="00322AD9">
        <w:rPr>
          <w:rStyle w:val="VCAAitalics"/>
        </w:rPr>
        <w:t>regény</w:t>
      </w:r>
      <w:proofErr w:type="spellEnd"/>
      <w:r w:rsidR="006C4A1F" w:rsidRPr="00322AD9">
        <w:rPr>
          <w:rStyle w:val="VCAAitalics"/>
        </w:rPr>
        <w:t xml:space="preserve">, </w:t>
      </w:r>
      <w:proofErr w:type="spellStart"/>
      <w:r w:rsidR="006C4A1F" w:rsidRPr="00322AD9">
        <w:rPr>
          <w:rStyle w:val="VCAAitalics"/>
        </w:rPr>
        <w:t>négy</w:t>
      </w:r>
      <w:proofErr w:type="spellEnd"/>
      <w:r w:rsidR="006C4A1F" w:rsidRPr="00322AD9">
        <w:rPr>
          <w:rStyle w:val="VCAAitalics"/>
        </w:rPr>
        <w:t xml:space="preserve"> </w:t>
      </w:r>
      <w:proofErr w:type="spellStart"/>
      <w:r w:rsidR="006C4A1F" w:rsidRPr="00322AD9">
        <w:rPr>
          <w:rStyle w:val="VCAAitalics"/>
        </w:rPr>
        <w:t>regény</w:t>
      </w:r>
      <w:proofErr w:type="spellEnd"/>
      <w:r w:rsidR="006C4A1F" w:rsidRPr="00322AD9">
        <w:rPr>
          <w:rStyle w:val="VCAAitalics"/>
        </w:rPr>
        <w:t xml:space="preserve">, </w:t>
      </w:r>
      <w:proofErr w:type="spellStart"/>
      <w:r w:rsidR="006C4A1F" w:rsidRPr="00322AD9">
        <w:rPr>
          <w:rStyle w:val="VCAAitalics"/>
        </w:rPr>
        <w:t>számos</w:t>
      </w:r>
      <w:proofErr w:type="spellEnd"/>
      <w:r w:rsidR="006C4A1F" w:rsidRPr="00322AD9">
        <w:rPr>
          <w:rStyle w:val="VCAAitalics"/>
        </w:rPr>
        <w:t xml:space="preserve"> </w:t>
      </w:r>
      <w:proofErr w:type="spellStart"/>
      <w:r w:rsidR="006C4A1F" w:rsidRPr="00322AD9">
        <w:rPr>
          <w:rStyle w:val="VCAAitalics"/>
        </w:rPr>
        <w:t>regény</w:t>
      </w:r>
      <w:proofErr w:type="spellEnd"/>
      <w:r w:rsidR="006C4A1F" w:rsidRPr="00624DAE">
        <w:rPr>
          <w:lang w:val="hu-HU"/>
        </w:rPr>
        <w:t>.</w:t>
      </w:r>
    </w:p>
    <w:p w14:paraId="6C07AA2B" w14:textId="3C00A457" w:rsidR="004D068B" w:rsidRDefault="006C4A1F">
      <w:pPr>
        <w:pStyle w:val="VCAAbody"/>
      </w:pPr>
      <w:r w:rsidRPr="00322AD9">
        <w:t xml:space="preserve">Word order is flexible in Hungarian, </w:t>
      </w:r>
      <w:r w:rsidR="00432DF5">
        <w:t>so it is advisable to mix word order in sentences instead of using only subject/</w:t>
      </w:r>
      <w:r w:rsidRPr="00322AD9">
        <w:t xml:space="preserve">predicate </w:t>
      </w:r>
      <w:r w:rsidR="00432DF5">
        <w:t>structures</w:t>
      </w:r>
      <w:r w:rsidR="007D601F">
        <w:t>.</w:t>
      </w:r>
    </w:p>
    <w:sectPr w:rsidR="004D068B" w:rsidSect="00B230DB">
      <w:head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28526" w14:textId="77777777" w:rsidR="00176B31" w:rsidRDefault="00176B31" w:rsidP="00304EA1">
      <w:r>
        <w:separator/>
      </w:r>
    </w:p>
  </w:endnote>
  <w:endnote w:type="continuationSeparator" w:id="0">
    <w:p w14:paraId="1AA32AE3" w14:textId="77777777" w:rsidR="00176B31" w:rsidRDefault="00176B31"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Switzerland">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176B31" w:rsidRPr="00D06414" w14:paraId="22E7D49B" w14:textId="77777777" w:rsidTr="00BB3BAB">
      <w:trPr>
        <w:trHeight w:val="476"/>
      </w:trPr>
      <w:tc>
        <w:tcPr>
          <w:tcW w:w="1667" w:type="pct"/>
          <w:tcMar>
            <w:left w:w="0" w:type="dxa"/>
            <w:right w:w="0" w:type="dxa"/>
          </w:tcMar>
        </w:tcPr>
        <w:p w14:paraId="3511834E" w14:textId="77777777" w:rsidR="00176B31" w:rsidRPr="00D06414" w:rsidRDefault="00176B3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BE70C57" w14:textId="77777777" w:rsidR="00176B31" w:rsidRPr="00D06414" w:rsidRDefault="00176B3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9D170F8" w14:textId="69E4994F" w:rsidR="00176B31" w:rsidRPr="00D06414" w:rsidRDefault="00176B3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2D3F11C" w14:textId="77777777" w:rsidR="00176B31" w:rsidRPr="00D06414" w:rsidRDefault="00176B3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109F1275" wp14:editId="4193C814">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372" w:type="pct"/>
      <w:tblInd w:w="567" w:type="dxa"/>
      <w:tblLook w:val="04A0" w:firstRow="1" w:lastRow="0" w:firstColumn="1" w:lastColumn="0" w:noHBand="0" w:noVBand="1"/>
    </w:tblPr>
    <w:tblGrid>
      <w:gridCol w:w="2648"/>
      <w:gridCol w:w="6425"/>
      <w:gridCol w:w="3211"/>
    </w:tblGrid>
    <w:tr w:rsidR="00176B31" w:rsidRPr="00D06414" w14:paraId="610ADCC1" w14:textId="77777777" w:rsidTr="00EB157C">
      <w:tc>
        <w:tcPr>
          <w:tcW w:w="1078" w:type="pct"/>
          <w:tcMar>
            <w:left w:w="0" w:type="dxa"/>
            <w:right w:w="0" w:type="dxa"/>
          </w:tcMar>
        </w:tcPr>
        <w:p w14:paraId="1F9D007A" w14:textId="77777777" w:rsidR="00176B31" w:rsidRPr="00D06414" w:rsidRDefault="00176B3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2615" w:type="pct"/>
          <w:tcMar>
            <w:left w:w="0" w:type="dxa"/>
            <w:right w:w="0" w:type="dxa"/>
          </w:tcMar>
        </w:tcPr>
        <w:p w14:paraId="65280DEE" w14:textId="22B9CAA9" w:rsidR="00176B31" w:rsidRPr="00D06414" w:rsidRDefault="00176B31" w:rsidP="00EB157C">
          <w:pPr>
            <w:tabs>
              <w:tab w:val="right" w:pos="9639"/>
            </w:tabs>
            <w:spacing w:before="120" w:line="240" w:lineRule="exact"/>
            <w:jc w:val="right"/>
            <w:rPr>
              <w:rFonts w:asciiTheme="majorHAnsi" w:hAnsiTheme="majorHAnsi" w:cs="Arial"/>
              <w:color w:val="999999" w:themeColor="accent2"/>
              <w:sz w:val="18"/>
              <w:szCs w:val="18"/>
            </w:rPr>
          </w:pPr>
        </w:p>
      </w:tc>
      <w:tc>
        <w:tcPr>
          <w:tcW w:w="1307" w:type="pct"/>
          <w:tcMar>
            <w:left w:w="0" w:type="dxa"/>
            <w:right w:w="0" w:type="dxa"/>
          </w:tcMar>
        </w:tcPr>
        <w:p w14:paraId="4CAB41DF" w14:textId="77777777" w:rsidR="00176B31" w:rsidRPr="00D06414" w:rsidRDefault="00176B3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8C3C2A8" w14:textId="77777777" w:rsidR="00176B31" w:rsidRPr="00D06414" w:rsidRDefault="00176B3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5EF5F72E" wp14:editId="1D187BF3">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372" w:type="pct"/>
      <w:tblInd w:w="567" w:type="dxa"/>
      <w:tblLook w:val="04A0" w:firstRow="1" w:lastRow="0" w:firstColumn="1" w:lastColumn="0" w:noHBand="0" w:noVBand="1"/>
    </w:tblPr>
    <w:tblGrid>
      <w:gridCol w:w="2648"/>
      <w:gridCol w:w="6425"/>
      <w:gridCol w:w="3211"/>
    </w:tblGrid>
    <w:tr w:rsidR="00EB157C" w:rsidRPr="00D06414" w14:paraId="02B8EA49" w14:textId="77777777" w:rsidTr="00EB157C">
      <w:tc>
        <w:tcPr>
          <w:tcW w:w="1078" w:type="pct"/>
          <w:tcMar>
            <w:left w:w="0" w:type="dxa"/>
            <w:right w:w="0" w:type="dxa"/>
          </w:tcMar>
        </w:tcPr>
        <w:p w14:paraId="789A4083" w14:textId="77777777" w:rsidR="00EB157C" w:rsidRPr="00D06414" w:rsidRDefault="00EB157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2615" w:type="pct"/>
          <w:tcMar>
            <w:left w:w="0" w:type="dxa"/>
            <w:right w:w="0" w:type="dxa"/>
          </w:tcMar>
        </w:tcPr>
        <w:p w14:paraId="50A9D55A" w14:textId="77777777" w:rsidR="00EB157C" w:rsidRPr="00D06414" w:rsidRDefault="00EB157C" w:rsidP="00EB157C">
          <w:pPr>
            <w:tabs>
              <w:tab w:val="right" w:pos="9639"/>
            </w:tabs>
            <w:spacing w:before="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sidRPr="003278E3">
            <w:rPr>
              <w:rFonts w:asciiTheme="majorHAnsi" w:hAnsiTheme="majorHAnsi" w:cs="Arial"/>
              <w:color w:val="999999" w:themeColor="accent2"/>
              <w:sz w:val="18"/>
              <w:szCs w:val="18"/>
            </w:rPr>
            <w:fldChar w:fldCharType="begin"/>
          </w:r>
          <w:r w:rsidRPr="003278E3">
            <w:rPr>
              <w:rFonts w:asciiTheme="majorHAnsi" w:hAnsiTheme="majorHAnsi" w:cs="Arial"/>
              <w:color w:val="999999" w:themeColor="accent2"/>
              <w:sz w:val="18"/>
              <w:szCs w:val="18"/>
            </w:rPr>
            <w:instrText xml:space="preserve"> PAGE   \* MERGEFORMAT </w:instrText>
          </w:r>
          <w:r w:rsidRPr="003278E3">
            <w:rPr>
              <w:rFonts w:asciiTheme="majorHAnsi" w:hAnsiTheme="majorHAnsi" w:cs="Arial"/>
              <w:color w:val="999999" w:themeColor="accent2"/>
              <w:sz w:val="18"/>
              <w:szCs w:val="18"/>
            </w:rPr>
            <w:fldChar w:fldCharType="separate"/>
          </w:r>
          <w:r w:rsidRPr="003278E3">
            <w:rPr>
              <w:rFonts w:asciiTheme="majorHAnsi" w:hAnsiTheme="majorHAnsi" w:cs="Arial"/>
              <w:noProof/>
              <w:color w:val="999999" w:themeColor="accent2"/>
              <w:sz w:val="18"/>
              <w:szCs w:val="18"/>
            </w:rPr>
            <w:t>1</w:t>
          </w:r>
          <w:r w:rsidRPr="003278E3">
            <w:rPr>
              <w:rFonts w:asciiTheme="majorHAnsi" w:hAnsiTheme="majorHAnsi" w:cs="Arial"/>
              <w:noProof/>
              <w:color w:val="999999" w:themeColor="accent2"/>
              <w:sz w:val="18"/>
              <w:szCs w:val="18"/>
            </w:rPr>
            <w:fldChar w:fldCharType="end"/>
          </w:r>
        </w:p>
      </w:tc>
      <w:tc>
        <w:tcPr>
          <w:tcW w:w="1307" w:type="pct"/>
          <w:tcMar>
            <w:left w:w="0" w:type="dxa"/>
            <w:right w:w="0" w:type="dxa"/>
          </w:tcMar>
        </w:tcPr>
        <w:p w14:paraId="1E6ACFF7" w14:textId="77777777" w:rsidR="00EB157C" w:rsidRPr="00D06414" w:rsidRDefault="00EB157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B00A4CD" w14:textId="77777777" w:rsidR="00EB157C" w:rsidRPr="00D06414" w:rsidRDefault="00EB157C"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4384" behindDoc="1" locked="1" layoutInCell="1" allowOverlap="1" wp14:anchorId="32BEFB62" wp14:editId="63BE9DD4">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1C8F3" w14:textId="77777777" w:rsidR="00176B31" w:rsidRDefault="00176B31" w:rsidP="00304EA1">
      <w:r>
        <w:separator/>
      </w:r>
    </w:p>
  </w:footnote>
  <w:footnote w:type="continuationSeparator" w:id="0">
    <w:p w14:paraId="7D584FFC" w14:textId="77777777" w:rsidR="00176B31" w:rsidRDefault="00176B31"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0FAD" w14:textId="77777777" w:rsidR="00176B31" w:rsidRPr="009370BC" w:rsidRDefault="00176B31" w:rsidP="00970580">
    <w:pPr>
      <w:ind w:right="-142"/>
      <w:jc w:val="right"/>
    </w:pPr>
    <w:r>
      <w:rPr>
        <w:noProof/>
        <w:lang w:eastAsia="en-AU"/>
      </w:rPr>
      <w:drawing>
        <wp:anchor distT="0" distB="0" distL="114300" distR="114300" simplePos="0" relativeHeight="251660288" behindDoc="1" locked="1" layoutInCell="1" allowOverlap="1" wp14:anchorId="5D6F7C3C" wp14:editId="18FDE2E4">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300A" w14:textId="01B14A0A" w:rsidR="00EB157C" w:rsidRPr="009370BC" w:rsidRDefault="00EB157C" w:rsidP="00970580">
    <w:pPr>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3C19" w14:textId="49AFF1BE" w:rsidR="003278E3" w:rsidRPr="009370BC" w:rsidRDefault="003278E3" w:rsidP="00970580">
    <w:pPr>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2CA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2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1E22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86F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88BB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6460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7C9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327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00E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80F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B0AD8"/>
    <w:multiLevelType w:val="hybridMultilevel"/>
    <w:tmpl w:val="459275E6"/>
    <w:lvl w:ilvl="0" w:tplc="25CC510C">
      <w:start w:val="1"/>
      <w:numFmt w:val="bullet"/>
      <w:lvlText w:val=""/>
      <w:lvlJc w:val="left"/>
      <w:pPr>
        <w:tabs>
          <w:tab w:val="num" w:pos="720"/>
        </w:tabs>
        <w:ind w:left="720" w:hanging="360"/>
      </w:pPr>
      <w:rPr>
        <w:rFonts w:ascii="Symbol" w:hAnsi="Symbol" w:hint="default"/>
      </w:rPr>
    </w:lvl>
    <w:lvl w:ilvl="1" w:tplc="CFB4B832" w:tentative="1">
      <w:start w:val="1"/>
      <w:numFmt w:val="bullet"/>
      <w:lvlText w:val="o"/>
      <w:lvlJc w:val="left"/>
      <w:pPr>
        <w:tabs>
          <w:tab w:val="num" w:pos="1440"/>
        </w:tabs>
        <w:ind w:left="1440" w:hanging="360"/>
      </w:pPr>
      <w:rPr>
        <w:rFonts w:ascii="Courier New" w:hAnsi="Courier New" w:hint="default"/>
      </w:rPr>
    </w:lvl>
    <w:lvl w:ilvl="2" w:tplc="E6C6EF3C" w:tentative="1">
      <w:start w:val="1"/>
      <w:numFmt w:val="bullet"/>
      <w:lvlText w:val=""/>
      <w:lvlJc w:val="left"/>
      <w:pPr>
        <w:tabs>
          <w:tab w:val="num" w:pos="2160"/>
        </w:tabs>
        <w:ind w:left="2160" w:hanging="360"/>
      </w:pPr>
      <w:rPr>
        <w:rFonts w:ascii="Wingdings" w:hAnsi="Wingdings" w:hint="default"/>
      </w:rPr>
    </w:lvl>
    <w:lvl w:ilvl="3" w:tplc="515A822E" w:tentative="1">
      <w:start w:val="1"/>
      <w:numFmt w:val="bullet"/>
      <w:lvlText w:val=""/>
      <w:lvlJc w:val="left"/>
      <w:pPr>
        <w:tabs>
          <w:tab w:val="num" w:pos="2880"/>
        </w:tabs>
        <w:ind w:left="2880" w:hanging="360"/>
      </w:pPr>
      <w:rPr>
        <w:rFonts w:ascii="Symbol" w:hAnsi="Symbol" w:hint="default"/>
      </w:rPr>
    </w:lvl>
    <w:lvl w:ilvl="4" w:tplc="AE2675AE" w:tentative="1">
      <w:start w:val="1"/>
      <w:numFmt w:val="bullet"/>
      <w:lvlText w:val="o"/>
      <w:lvlJc w:val="left"/>
      <w:pPr>
        <w:tabs>
          <w:tab w:val="num" w:pos="3600"/>
        </w:tabs>
        <w:ind w:left="3600" w:hanging="360"/>
      </w:pPr>
      <w:rPr>
        <w:rFonts w:ascii="Courier New" w:hAnsi="Courier New" w:hint="default"/>
      </w:rPr>
    </w:lvl>
    <w:lvl w:ilvl="5" w:tplc="F13088AA" w:tentative="1">
      <w:start w:val="1"/>
      <w:numFmt w:val="bullet"/>
      <w:lvlText w:val=""/>
      <w:lvlJc w:val="left"/>
      <w:pPr>
        <w:tabs>
          <w:tab w:val="num" w:pos="4320"/>
        </w:tabs>
        <w:ind w:left="4320" w:hanging="360"/>
      </w:pPr>
      <w:rPr>
        <w:rFonts w:ascii="Wingdings" w:hAnsi="Wingdings" w:hint="default"/>
      </w:rPr>
    </w:lvl>
    <w:lvl w:ilvl="6" w:tplc="6C78D460" w:tentative="1">
      <w:start w:val="1"/>
      <w:numFmt w:val="bullet"/>
      <w:lvlText w:val=""/>
      <w:lvlJc w:val="left"/>
      <w:pPr>
        <w:tabs>
          <w:tab w:val="num" w:pos="5040"/>
        </w:tabs>
        <w:ind w:left="5040" w:hanging="360"/>
      </w:pPr>
      <w:rPr>
        <w:rFonts w:ascii="Symbol" w:hAnsi="Symbol" w:hint="default"/>
      </w:rPr>
    </w:lvl>
    <w:lvl w:ilvl="7" w:tplc="250C93B6" w:tentative="1">
      <w:start w:val="1"/>
      <w:numFmt w:val="bullet"/>
      <w:lvlText w:val="o"/>
      <w:lvlJc w:val="left"/>
      <w:pPr>
        <w:tabs>
          <w:tab w:val="num" w:pos="5760"/>
        </w:tabs>
        <w:ind w:left="5760" w:hanging="360"/>
      </w:pPr>
      <w:rPr>
        <w:rFonts w:ascii="Courier New" w:hAnsi="Courier New" w:hint="default"/>
      </w:rPr>
    </w:lvl>
    <w:lvl w:ilvl="8" w:tplc="2E2A558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A176B05C"/>
    <w:lvl w:ilvl="0" w:tplc="27F2EE64">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6"/>
  </w:num>
  <w:num w:numId="2">
    <w:abstractNumId w:val="14"/>
  </w:num>
  <w:num w:numId="3">
    <w:abstractNumId w:val="13"/>
  </w:num>
  <w:num w:numId="4">
    <w:abstractNumId w:val="11"/>
  </w:num>
  <w:num w:numId="5">
    <w:abstractNumId w:val="15"/>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76"/>
    <w:rsid w:val="00003885"/>
    <w:rsid w:val="00012B97"/>
    <w:rsid w:val="00024018"/>
    <w:rsid w:val="00036F86"/>
    <w:rsid w:val="0005780E"/>
    <w:rsid w:val="00065CC6"/>
    <w:rsid w:val="000804D6"/>
    <w:rsid w:val="000A1DD4"/>
    <w:rsid w:val="000A71F7"/>
    <w:rsid w:val="000B6C90"/>
    <w:rsid w:val="000F09E4"/>
    <w:rsid w:val="000F16FD"/>
    <w:rsid w:val="000F5AAF"/>
    <w:rsid w:val="001032DE"/>
    <w:rsid w:val="00143520"/>
    <w:rsid w:val="001436F3"/>
    <w:rsid w:val="00144389"/>
    <w:rsid w:val="00153AD2"/>
    <w:rsid w:val="001558D8"/>
    <w:rsid w:val="00176193"/>
    <w:rsid w:val="00176B31"/>
    <w:rsid w:val="001779EA"/>
    <w:rsid w:val="001C3EEA"/>
    <w:rsid w:val="001C4C7E"/>
    <w:rsid w:val="001D3246"/>
    <w:rsid w:val="001F364A"/>
    <w:rsid w:val="0020090D"/>
    <w:rsid w:val="002279BA"/>
    <w:rsid w:val="002329F3"/>
    <w:rsid w:val="00243F0D"/>
    <w:rsid w:val="00260767"/>
    <w:rsid w:val="002647BB"/>
    <w:rsid w:val="002754C1"/>
    <w:rsid w:val="002841C8"/>
    <w:rsid w:val="0028516B"/>
    <w:rsid w:val="00290207"/>
    <w:rsid w:val="002C6F90"/>
    <w:rsid w:val="002E4FB5"/>
    <w:rsid w:val="00302FB8"/>
    <w:rsid w:val="00303C3D"/>
    <w:rsid w:val="00304EA1"/>
    <w:rsid w:val="00314D81"/>
    <w:rsid w:val="00322AD9"/>
    <w:rsid w:val="00322FC6"/>
    <w:rsid w:val="003278E3"/>
    <w:rsid w:val="00350651"/>
    <w:rsid w:val="0035293F"/>
    <w:rsid w:val="0036224B"/>
    <w:rsid w:val="00385147"/>
    <w:rsid w:val="00391986"/>
    <w:rsid w:val="00394095"/>
    <w:rsid w:val="003A00B4"/>
    <w:rsid w:val="003A109D"/>
    <w:rsid w:val="003C5E71"/>
    <w:rsid w:val="003D6CBD"/>
    <w:rsid w:val="00400537"/>
    <w:rsid w:val="004049FB"/>
    <w:rsid w:val="00417AA3"/>
    <w:rsid w:val="00425DFE"/>
    <w:rsid w:val="00432DF5"/>
    <w:rsid w:val="00434EDB"/>
    <w:rsid w:val="00440B32"/>
    <w:rsid w:val="0044213C"/>
    <w:rsid w:val="00453DD8"/>
    <w:rsid w:val="0046078D"/>
    <w:rsid w:val="00495C80"/>
    <w:rsid w:val="00496D57"/>
    <w:rsid w:val="004A2ED8"/>
    <w:rsid w:val="004A5F20"/>
    <w:rsid w:val="004D068B"/>
    <w:rsid w:val="004F5BDA"/>
    <w:rsid w:val="0051631E"/>
    <w:rsid w:val="00523FF7"/>
    <w:rsid w:val="00536AD0"/>
    <w:rsid w:val="00537A1F"/>
    <w:rsid w:val="00566029"/>
    <w:rsid w:val="00587620"/>
    <w:rsid w:val="005923CB"/>
    <w:rsid w:val="005B391B"/>
    <w:rsid w:val="005B568B"/>
    <w:rsid w:val="005D3D78"/>
    <w:rsid w:val="005E2EF0"/>
    <w:rsid w:val="005F4092"/>
    <w:rsid w:val="00605050"/>
    <w:rsid w:val="00664729"/>
    <w:rsid w:val="006663C6"/>
    <w:rsid w:val="0068471E"/>
    <w:rsid w:val="00684F98"/>
    <w:rsid w:val="006928CD"/>
    <w:rsid w:val="00693FFD"/>
    <w:rsid w:val="006946BE"/>
    <w:rsid w:val="006C4A1F"/>
    <w:rsid w:val="006D2159"/>
    <w:rsid w:val="006E1EFB"/>
    <w:rsid w:val="006E48B6"/>
    <w:rsid w:val="006F787C"/>
    <w:rsid w:val="00702636"/>
    <w:rsid w:val="00724507"/>
    <w:rsid w:val="00747109"/>
    <w:rsid w:val="00760263"/>
    <w:rsid w:val="00773E6C"/>
    <w:rsid w:val="00781FB1"/>
    <w:rsid w:val="007A4B91"/>
    <w:rsid w:val="007B12CF"/>
    <w:rsid w:val="007C1E4D"/>
    <w:rsid w:val="007D0E40"/>
    <w:rsid w:val="007D1B6D"/>
    <w:rsid w:val="007D601F"/>
    <w:rsid w:val="007E15C2"/>
    <w:rsid w:val="00813C37"/>
    <w:rsid w:val="008154B5"/>
    <w:rsid w:val="00823962"/>
    <w:rsid w:val="00826DB3"/>
    <w:rsid w:val="00850410"/>
    <w:rsid w:val="00852719"/>
    <w:rsid w:val="0085654E"/>
    <w:rsid w:val="00860115"/>
    <w:rsid w:val="00866D6E"/>
    <w:rsid w:val="00867DA0"/>
    <w:rsid w:val="0088783C"/>
    <w:rsid w:val="0089722E"/>
    <w:rsid w:val="008A7EF7"/>
    <w:rsid w:val="00933E90"/>
    <w:rsid w:val="009370BC"/>
    <w:rsid w:val="00970580"/>
    <w:rsid w:val="0098739B"/>
    <w:rsid w:val="00994905"/>
    <w:rsid w:val="009B61E5"/>
    <w:rsid w:val="009B694A"/>
    <w:rsid w:val="009C6678"/>
    <w:rsid w:val="009D0E9E"/>
    <w:rsid w:val="009D1E89"/>
    <w:rsid w:val="009E5707"/>
    <w:rsid w:val="009E6E1C"/>
    <w:rsid w:val="00A01E87"/>
    <w:rsid w:val="00A1157C"/>
    <w:rsid w:val="00A17661"/>
    <w:rsid w:val="00A24B2D"/>
    <w:rsid w:val="00A40966"/>
    <w:rsid w:val="00A921E0"/>
    <w:rsid w:val="00A922F4"/>
    <w:rsid w:val="00AE434D"/>
    <w:rsid w:val="00AE5526"/>
    <w:rsid w:val="00AF051B"/>
    <w:rsid w:val="00B01578"/>
    <w:rsid w:val="00B0738F"/>
    <w:rsid w:val="00B11E76"/>
    <w:rsid w:val="00B13D3B"/>
    <w:rsid w:val="00B230DB"/>
    <w:rsid w:val="00B26601"/>
    <w:rsid w:val="00B319E6"/>
    <w:rsid w:val="00B34500"/>
    <w:rsid w:val="00B41951"/>
    <w:rsid w:val="00B458B6"/>
    <w:rsid w:val="00B47ADB"/>
    <w:rsid w:val="00B53229"/>
    <w:rsid w:val="00B62480"/>
    <w:rsid w:val="00B81B70"/>
    <w:rsid w:val="00B91DB1"/>
    <w:rsid w:val="00BB3BAB"/>
    <w:rsid w:val="00BD0724"/>
    <w:rsid w:val="00BD2B91"/>
    <w:rsid w:val="00BE5521"/>
    <w:rsid w:val="00BF6C23"/>
    <w:rsid w:val="00C121A0"/>
    <w:rsid w:val="00C13E2B"/>
    <w:rsid w:val="00C53263"/>
    <w:rsid w:val="00C63ED5"/>
    <w:rsid w:val="00C75F1D"/>
    <w:rsid w:val="00C95156"/>
    <w:rsid w:val="00CA0191"/>
    <w:rsid w:val="00CA0DC2"/>
    <w:rsid w:val="00CB68E8"/>
    <w:rsid w:val="00CC0DE9"/>
    <w:rsid w:val="00CE1323"/>
    <w:rsid w:val="00D04F01"/>
    <w:rsid w:val="00D06414"/>
    <w:rsid w:val="00D20ED9"/>
    <w:rsid w:val="00D24E5A"/>
    <w:rsid w:val="00D3103D"/>
    <w:rsid w:val="00D338E4"/>
    <w:rsid w:val="00D51124"/>
    <w:rsid w:val="00D51947"/>
    <w:rsid w:val="00D532F0"/>
    <w:rsid w:val="00D56E0E"/>
    <w:rsid w:val="00D56E0F"/>
    <w:rsid w:val="00D77413"/>
    <w:rsid w:val="00D82759"/>
    <w:rsid w:val="00D86DE4"/>
    <w:rsid w:val="00D97AE0"/>
    <w:rsid w:val="00DA2A5B"/>
    <w:rsid w:val="00DD138A"/>
    <w:rsid w:val="00DD6FC1"/>
    <w:rsid w:val="00DE1909"/>
    <w:rsid w:val="00DE51DB"/>
    <w:rsid w:val="00DF007F"/>
    <w:rsid w:val="00DF4A82"/>
    <w:rsid w:val="00E23F1D"/>
    <w:rsid w:val="00E2434A"/>
    <w:rsid w:val="00E30E05"/>
    <w:rsid w:val="00E35622"/>
    <w:rsid w:val="00E36361"/>
    <w:rsid w:val="00E55AE9"/>
    <w:rsid w:val="00E73D10"/>
    <w:rsid w:val="00EB0C84"/>
    <w:rsid w:val="00EB157C"/>
    <w:rsid w:val="00ED7558"/>
    <w:rsid w:val="00EF298C"/>
    <w:rsid w:val="00EF4188"/>
    <w:rsid w:val="00F17FDE"/>
    <w:rsid w:val="00F207AE"/>
    <w:rsid w:val="00F406BC"/>
    <w:rsid w:val="00F40D53"/>
    <w:rsid w:val="00F4525C"/>
    <w:rsid w:val="00F50D86"/>
    <w:rsid w:val="00F71CB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95214"/>
  <w15:docId w15:val="{2281FE0E-BAF2-44A4-A023-B6483CDE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D6E"/>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rsid w:val="00B11E76"/>
    <w:pPr>
      <w:keepNext/>
      <w:jc w:val="center"/>
      <w:outlineLvl w:val="0"/>
    </w:pPr>
    <w:rPr>
      <w:rFonts w:ascii="Tahoma" w:hAnsi="Tahoma" w:cs="HSwitzerland"/>
      <w:b/>
      <w:bCs/>
      <w:u w:val="single"/>
    </w:rPr>
  </w:style>
  <w:style w:type="paragraph" w:styleId="Heading5">
    <w:name w:val="heading 5"/>
    <w:basedOn w:val="Normal"/>
    <w:next w:val="Normal"/>
    <w:link w:val="Heading5Char"/>
    <w:uiPriority w:val="9"/>
    <w:semiHidden/>
    <w:unhideWhenUsed/>
    <w:qFormat/>
    <w:rsid w:val="006C4A1F"/>
    <w:pPr>
      <w:keepNext/>
      <w:keepLines/>
      <w:spacing w:before="4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E76"/>
    <w:rPr>
      <w:rFonts w:ascii="Tahoma" w:eastAsia="Times New Roman" w:hAnsi="Tahoma" w:cs="HSwitzerland"/>
      <w:b/>
      <w:bCs/>
      <w:sz w:val="24"/>
      <w:szCs w:val="24"/>
      <w:u w:val="single"/>
      <w:lang w:val="en-AU"/>
    </w:rPr>
  </w:style>
  <w:style w:type="character" w:customStyle="1" w:styleId="Heading5Char">
    <w:name w:val="Heading 5 Char"/>
    <w:basedOn w:val="DefaultParagraphFont"/>
    <w:link w:val="Heading5"/>
    <w:uiPriority w:val="9"/>
    <w:semiHidden/>
    <w:rsid w:val="006C4A1F"/>
    <w:rPr>
      <w:rFonts w:asciiTheme="majorHAnsi" w:eastAsiaTheme="majorEastAsia" w:hAnsiTheme="majorHAnsi" w:cstheme="majorBidi"/>
      <w:color w:val="0072AA" w:themeColor="accent1" w:themeShade="BF"/>
      <w:sz w:val="24"/>
      <w:szCs w:val="24"/>
      <w:lang w:val="en-AU"/>
    </w:rPr>
  </w:style>
  <w:style w:type="paragraph" w:styleId="Header">
    <w:name w:val="header"/>
    <w:basedOn w:val="Normal"/>
    <w:link w:val="HeaderChar"/>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BodyText">
    <w:name w:val="Body Text"/>
    <w:basedOn w:val="Normal"/>
    <w:link w:val="BodyTextChar"/>
    <w:semiHidden/>
    <w:rsid w:val="00B11E76"/>
  </w:style>
  <w:style w:type="character" w:customStyle="1" w:styleId="BodyTextChar">
    <w:name w:val="Body Text Char"/>
    <w:basedOn w:val="DefaultParagraphFont"/>
    <w:link w:val="BodyText"/>
    <w:semiHidden/>
    <w:rsid w:val="00B11E76"/>
    <w:rPr>
      <w:rFonts w:ascii="Times New Roman" w:eastAsia="Times New Roman" w:hAnsi="Times New Roman" w:cs="Times New Roman"/>
      <w:sz w:val="24"/>
      <w:szCs w:val="24"/>
      <w:lang w:val="en-AU"/>
    </w:rPr>
  </w:style>
  <w:style w:type="paragraph" w:styleId="BodyText2">
    <w:name w:val="Body Text 2"/>
    <w:basedOn w:val="Normal"/>
    <w:link w:val="BodyText2Char"/>
    <w:uiPriority w:val="99"/>
    <w:semiHidden/>
    <w:unhideWhenUsed/>
    <w:rsid w:val="00B11E76"/>
    <w:pPr>
      <w:spacing w:after="120" w:line="480" w:lineRule="auto"/>
    </w:pPr>
  </w:style>
  <w:style w:type="character" w:customStyle="1" w:styleId="BodyText2Char">
    <w:name w:val="Body Text 2 Char"/>
    <w:basedOn w:val="DefaultParagraphFont"/>
    <w:link w:val="BodyText2"/>
    <w:uiPriority w:val="99"/>
    <w:semiHidden/>
    <w:rsid w:val="00B11E76"/>
    <w:rPr>
      <w:rFonts w:ascii="Times New Roman" w:eastAsia="Times New Roman" w:hAnsi="Times New Roman" w:cs="Times New Roman"/>
      <w:sz w:val="24"/>
      <w:szCs w:val="24"/>
      <w:lang w:val="en-AU"/>
    </w:rPr>
  </w:style>
  <w:style w:type="paragraph" w:styleId="BodyText3">
    <w:name w:val="Body Text 3"/>
    <w:basedOn w:val="Normal"/>
    <w:link w:val="BodyText3Char"/>
    <w:uiPriority w:val="99"/>
    <w:semiHidden/>
    <w:unhideWhenUsed/>
    <w:rsid w:val="00B11E76"/>
    <w:pPr>
      <w:spacing w:after="120"/>
    </w:pPr>
    <w:rPr>
      <w:sz w:val="16"/>
      <w:szCs w:val="16"/>
    </w:rPr>
  </w:style>
  <w:style w:type="character" w:customStyle="1" w:styleId="BodyText3Char">
    <w:name w:val="Body Text 3 Char"/>
    <w:basedOn w:val="DefaultParagraphFont"/>
    <w:link w:val="BodyText3"/>
    <w:uiPriority w:val="99"/>
    <w:semiHidden/>
    <w:rsid w:val="00B11E76"/>
    <w:rPr>
      <w:rFonts w:ascii="Times New Roman" w:eastAsia="Times New Roman" w:hAnsi="Times New Roman" w:cs="Times New Roman"/>
      <w:sz w:val="16"/>
      <w:szCs w:val="16"/>
      <w:lang w:val="en-AU"/>
    </w:rPr>
  </w:style>
  <w:style w:type="character" w:customStyle="1" w:styleId="VCAAitalics">
    <w:name w:val="VCAA italics"/>
    <w:uiPriority w:val="1"/>
    <w:qFormat/>
    <w:rsid w:val="007C1E4D"/>
    <w:rPr>
      <w:i/>
      <w:iCs/>
    </w:rPr>
  </w:style>
  <w:style w:type="character" w:customStyle="1" w:styleId="VCAAitalicsunderline">
    <w:name w:val="VCAA italics underline"/>
    <w:uiPriority w:val="1"/>
    <w:qFormat/>
    <w:rsid w:val="00DD138A"/>
    <w:rPr>
      <w:rFonts w:cs="Tahoma"/>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oral%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050D1AC4-EB0D-4F91-8A18-0019205FDF5F}">
  <ds:schemaRefs>
    <ds:schemaRef ds:uri="http://schemas.openxmlformats.org/officeDocument/2006/bibliography"/>
  </ds:schemaRefs>
</ds:datastoreItem>
</file>

<file path=customXml/itemProps4.xml><?xml version="1.0" encoding="utf-8"?>
<ds:datastoreItem xmlns:ds="http://schemas.openxmlformats.org/officeDocument/2006/customXml" ds:itemID="{525D2F1F-5340-451D-97A1-D759174938AE}"/>
</file>

<file path=docProps/app.xml><?xml version="1.0" encoding="utf-8"?>
<Properties xmlns="http://schemas.openxmlformats.org/officeDocument/2006/extended-properties" xmlns:vt="http://schemas.openxmlformats.org/officeDocument/2006/docPropsVTypes">
  <Template>Template oral examination report 2020.dotx</Template>
  <TotalTime>1</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Hungarian oral examination report</dc:title>
  <dc:creator>vcaa@education.vic.gov.au</dc:creator>
  <cp:keywords>VCE; Victorian Certificate of Education; 2020; Hungarian; examination report; VCAA; Victorian Curriculum and Assessment Authority</cp:keywords>
  <cp:lastModifiedBy>Samantha Anderson 2</cp:lastModifiedBy>
  <cp:revision>2</cp:revision>
  <cp:lastPrinted>2015-05-15T02:36:00Z</cp:lastPrinted>
  <dcterms:created xsi:type="dcterms:W3CDTF">2021-05-10T05:09:00Z</dcterms:created>
  <dcterms:modified xsi:type="dcterms:W3CDTF">2021-05-10T05:09:00Z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