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A2E4" w14:textId="02922C82" w:rsidR="00AD4594" w:rsidRDefault="00504258">
      <w:pPr>
        <w:pStyle w:val="BodyText"/>
        <w:rPr>
          <w:rFonts w:ascii="Times New Roman"/>
        </w:rPr>
      </w:pPr>
      <w:r>
        <w:rPr>
          <w:noProof/>
          <w:lang w:eastAsia="en-AU"/>
        </w:rPr>
        <w:drawing>
          <wp:anchor distT="0" distB="0" distL="0" distR="0" simplePos="0" relativeHeight="487539200" behindDoc="1" locked="0" layoutInCell="1" allowOverlap="1" wp14:anchorId="4FC80AB6" wp14:editId="484FCF38">
            <wp:simplePos x="0" y="0"/>
            <wp:positionH relativeFrom="page">
              <wp:posOffset>1271</wp:posOffset>
            </wp:positionH>
            <wp:positionV relativeFrom="page">
              <wp:posOffset>0</wp:posOffset>
            </wp:positionV>
            <wp:extent cx="7559675" cy="718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03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8CD6EC9" wp14:editId="01004636">
                <wp:simplePos x="0" y="0"/>
                <wp:positionH relativeFrom="page">
                  <wp:posOffset>0</wp:posOffset>
                </wp:positionH>
                <wp:positionV relativeFrom="page">
                  <wp:posOffset>10143490</wp:posOffset>
                </wp:positionV>
                <wp:extent cx="2639060" cy="53784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537845"/>
                          <a:chOff x="0" y="15974"/>
                          <a:chExt cx="4156" cy="847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74"/>
                            <a:ext cx="4156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74"/>
                            <a:ext cx="4156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5E147" w14:textId="7A75DDC2" w:rsidR="00AD4594" w:rsidRDefault="00504258">
                              <w:pPr>
                                <w:spacing w:before="144"/>
                                <w:ind w:left="1400" w:right="204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© </w:t>
                              </w:r>
                              <w:hyperlink r:id="rId10">
                                <w:r>
                                  <w:rPr>
                                    <w:color w:val="FFFFFF"/>
                                    <w:sz w:val="18"/>
                                    <w:u w:val="single" w:color="FFFFFF"/>
                                  </w:rPr>
                                  <w:t>VCAA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D6EC9" id="docshapegroup1" o:spid="_x0000_s1026" style="position:absolute;margin-left:0;margin-top:798.7pt;width:207.8pt;height:42.35pt;z-index:15729664;mso-position-horizontal-relative:page;mso-position-vertical-relative:page" coordorigin=",15974" coordsize="4156,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5974;width:4156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5974;width:4156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FF5E147" w14:textId="7A75DDC2" w:rsidR="00AD4594" w:rsidRDefault="00504258">
                        <w:pPr>
                          <w:spacing w:before="144"/>
                          <w:ind w:left="1400" w:right="20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© </w:t>
                        </w:r>
                        <w:hyperlink r:id="rId12">
                          <w:r>
                            <w:rPr>
                              <w:color w:val="FFFFFF"/>
                              <w:sz w:val="18"/>
                              <w:u w:val="single" w:color="FFFFFF"/>
                            </w:rPr>
                            <w:t>VCAA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C14D7C5" w14:textId="77777777" w:rsidR="00AD4594" w:rsidRDefault="00AD4594">
      <w:pPr>
        <w:pStyle w:val="BodyText"/>
        <w:rPr>
          <w:rFonts w:ascii="Times New Roman"/>
        </w:rPr>
      </w:pPr>
    </w:p>
    <w:p w14:paraId="46A6A3B1" w14:textId="77777777" w:rsidR="00AD4594" w:rsidRDefault="00AD4594">
      <w:pPr>
        <w:pStyle w:val="BodyText"/>
        <w:rPr>
          <w:rFonts w:ascii="Times New Roman"/>
        </w:rPr>
      </w:pPr>
    </w:p>
    <w:p w14:paraId="01E29259" w14:textId="77777777" w:rsidR="00AD4594" w:rsidRDefault="00AD4594">
      <w:pPr>
        <w:pStyle w:val="BodyText"/>
        <w:rPr>
          <w:rFonts w:ascii="Times New Roman"/>
        </w:rPr>
      </w:pPr>
    </w:p>
    <w:p w14:paraId="6C151A06" w14:textId="77777777" w:rsidR="00AD4594" w:rsidRDefault="00AD4594">
      <w:pPr>
        <w:pStyle w:val="BodyText"/>
        <w:rPr>
          <w:rFonts w:ascii="Times New Roman"/>
        </w:rPr>
      </w:pPr>
    </w:p>
    <w:p w14:paraId="00945325" w14:textId="77777777" w:rsidR="00AD4594" w:rsidRDefault="00AD4594">
      <w:pPr>
        <w:pStyle w:val="BodyText"/>
        <w:rPr>
          <w:rFonts w:ascii="Times New Roman"/>
        </w:rPr>
      </w:pPr>
    </w:p>
    <w:p w14:paraId="55465954" w14:textId="77777777" w:rsidR="00AD4594" w:rsidRDefault="00AD4594">
      <w:pPr>
        <w:pStyle w:val="BodyText"/>
        <w:spacing w:before="6"/>
        <w:rPr>
          <w:rFonts w:ascii="Times New Roman"/>
        </w:rPr>
      </w:pPr>
    </w:p>
    <w:p w14:paraId="06DDCFC6" w14:textId="77777777" w:rsidR="00AD4594" w:rsidRDefault="00504258">
      <w:pPr>
        <w:pStyle w:val="Title"/>
      </w:pPr>
      <w:r>
        <w:rPr>
          <w:color w:val="0E7DB4"/>
        </w:rPr>
        <w:t>Fact</w:t>
      </w:r>
      <w:r>
        <w:rPr>
          <w:color w:val="0E7DB4"/>
          <w:spacing w:val="-1"/>
        </w:rPr>
        <w:t xml:space="preserve"> </w:t>
      </w:r>
      <w:r>
        <w:rPr>
          <w:color w:val="0E7DB4"/>
        </w:rPr>
        <w:t>Sheet</w:t>
      </w:r>
      <w:r>
        <w:rPr>
          <w:color w:val="0E7DB4"/>
          <w:spacing w:val="-1"/>
        </w:rPr>
        <w:t xml:space="preserve"> </w:t>
      </w:r>
      <w:r>
        <w:rPr>
          <w:color w:val="0E7DB4"/>
        </w:rPr>
        <w:t>– Special Provision</w:t>
      </w:r>
    </w:p>
    <w:p w14:paraId="06789F39" w14:textId="77777777" w:rsidR="00AD4594" w:rsidRDefault="00504258">
      <w:pPr>
        <w:pStyle w:val="Heading1"/>
        <w:spacing w:before="487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Provision?</w:t>
      </w:r>
    </w:p>
    <w:p w14:paraId="5C80FB56" w14:textId="77777777" w:rsidR="00AD4594" w:rsidRDefault="00AD4594">
      <w:pPr>
        <w:pStyle w:val="BodyText"/>
        <w:spacing w:before="4"/>
        <w:rPr>
          <w:b/>
        </w:rPr>
      </w:pPr>
    </w:p>
    <w:p w14:paraId="5B3703D5" w14:textId="08A9D95A" w:rsidR="00AD4594" w:rsidRDefault="00504258">
      <w:pPr>
        <w:pStyle w:val="BodyText"/>
        <w:spacing w:line="276" w:lineRule="auto"/>
        <w:ind w:left="110" w:right="113"/>
      </w:pPr>
      <w:r>
        <w:t xml:space="preserve">Special Provision provides students </w:t>
      </w:r>
      <w:r w:rsidR="006B14F4">
        <w:t>completing the VCE or V</w:t>
      </w:r>
      <w:r w:rsidR="00302C5B">
        <w:t xml:space="preserve">CE Vocational Major </w:t>
      </w:r>
      <w:r w:rsidR="006B14F4">
        <w:t xml:space="preserve">who are affected by illness, disability or other personal circumstances </w:t>
      </w:r>
      <w:r>
        <w:t xml:space="preserve">with an opportunity to </w:t>
      </w:r>
      <w:r w:rsidR="00A46A3C" w:rsidRPr="00E0205B">
        <w:t>participate in and complete their secondary level studies</w:t>
      </w:r>
      <w:r>
        <w:t>.</w:t>
      </w:r>
      <w:r w:rsidR="00A434D4">
        <w:t xml:space="preserve"> </w:t>
      </w:r>
      <w:r w:rsidR="006B14F4">
        <w:t xml:space="preserve">  </w:t>
      </w:r>
    </w:p>
    <w:p w14:paraId="689AEA4D" w14:textId="30F688F7" w:rsidR="00AD4594" w:rsidRDefault="00AD4594">
      <w:pPr>
        <w:pStyle w:val="BodyText"/>
        <w:spacing w:before="4"/>
        <w:rPr>
          <w:sz w:val="17"/>
        </w:rPr>
      </w:pPr>
    </w:p>
    <w:p w14:paraId="1A1B89B4" w14:textId="77777777" w:rsidR="00AD4594" w:rsidRDefault="00504258">
      <w:pPr>
        <w:pStyle w:val="BodyText"/>
        <w:ind w:left="110"/>
      </w:pPr>
      <w:r>
        <w:t>Special</w:t>
      </w:r>
      <w:r>
        <w:rPr>
          <w:spacing w:val="-1"/>
        </w:rPr>
        <w:t xml:space="preserve"> </w:t>
      </w:r>
      <w:r>
        <w:t>Provision is available for:</w:t>
      </w:r>
    </w:p>
    <w:p w14:paraId="2D7E904A" w14:textId="77777777" w:rsidR="00AD4594" w:rsidRDefault="00504258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35"/>
        <w:ind w:hanging="361"/>
        <w:rPr>
          <w:rFonts w:ascii="Symbol" w:hAnsi="Symbol"/>
          <w:sz w:val="20"/>
        </w:rPr>
      </w:pPr>
      <w:r>
        <w:rPr>
          <w:sz w:val="20"/>
        </w:rPr>
        <w:t>classroom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</w:p>
    <w:p w14:paraId="6B722ED0" w14:textId="77777777" w:rsidR="00AD4594" w:rsidRDefault="00504258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34"/>
        <w:ind w:hanging="361"/>
        <w:rPr>
          <w:rFonts w:ascii="Symbol" w:hAnsi="Symbol"/>
          <w:sz w:val="20"/>
        </w:rPr>
      </w:pPr>
      <w:r>
        <w:rPr>
          <w:sz w:val="20"/>
        </w:rPr>
        <w:t>school-based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assessments</w:t>
      </w:r>
    </w:p>
    <w:p w14:paraId="167AC9CA" w14:textId="77777777" w:rsidR="00AD4594" w:rsidRDefault="00504258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31"/>
        <w:ind w:hanging="361"/>
        <w:rPr>
          <w:rFonts w:ascii="Symbol" w:hAnsi="Symbol"/>
          <w:sz w:val="20"/>
        </w:rPr>
      </w:pPr>
      <w:r>
        <w:rPr>
          <w:sz w:val="20"/>
        </w:rPr>
        <w:t>VCE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assessments.</w:t>
      </w:r>
    </w:p>
    <w:p w14:paraId="057CF08D" w14:textId="1C5C7939" w:rsidR="00AD4594" w:rsidRPr="00A81021" w:rsidRDefault="00AD4594" w:rsidP="00A81021">
      <w:pPr>
        <w:tabs>
          <w:tab w:val="left" w:pos="830"/>
          <w:tab w:val="left" w:pos="831"/>
        </w:tabs>
        <w:spacing w:before="31"/>
        <w:rPr>
          <w:rFonts w:ascii="Symbol" w:hAnsi="Symbol"/>
          <w:sz w:val="20"/>
        </w:rPr>
      </w:pPr>
    </w:p>
    <w:p w14:paraId="045DBF5C" w14:textId="77777777" w:rsidR="00AD4594" w:rsidRDefault="00504258" w:rsidP="00A81021">
      <w:pPr>
        <w:pStyle w:val="Heading1"/>
        <w:ind w:left="0"/>
      </w:pPr>
      <w:r>
        <w:t>What</w:t>
      </w:r>
      <w:r>
        <w:rPr>
          <w:spacing w:val="-1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granted Special</w:t>
      </w:r>
      <w:r>
        <w:rPr>
          <w:spacing w:val="-2"/>
        </w:rPr>
        <w:t xml:space="preserve"> </w:t>
      </w:r>
      <w:r>
        <w:t>Provision?</w:t>
      </w:r>
    </w:p>
    <w:p w14:paraId="1B82D496" w14:textId="77777777" w:rsidR="00AD4594" w:rsidRDefault="00AD4594">
      <w:pPr>
        <w:pStyle w:val="BodyText"/>
        <w:spacing w:before="4"/>
        <w:rPr>
          <w:b/>
        </w:rPr>
      </w:pPr>
    </w:p>
    <w:p w14:paraId="05223FC2" w14:textId="6BD6F9F1" w:rsidR="00AD4594" w:rsidRDefault="00A81021" w:rsidP="00A81021">
      <w:pPr>
        <w:pStyle w:val="BodyText"/>
      </w:pPr>
      <w:r>
        <w:t>If you are approved s</w:t>
      </w:r>
      <w:r w:rsidR="00504258">
        <w:t xml:space="preserve">pecial </w:t>
      </w:r>
      <w:r>
        <w:t>p</w:t>
      </w:r>
      <w:r w:rsidR="00504258">
        <w:t>rovision</w:t>
      </w:r>
      <w:r w:rsidR="00504258">
        <w:rPr>
          <w:spacing w:val="-2"/>
        </w:rPr>
        <w:t xml:space="preserve"> </w:t>
      </w:r>
      <w:r w:rsidR="00C36796">
        <w:rPr>
          <w:spacing w:val="-2"/>
        </w:rPr>
        <w:t xml:space="preserve">for </w:t>
      </w:r>
      <w:r w:rsidR="00C36796" w:rsidRPr="00A81021">
        <w:rPr>
          <w:b/>
          <w:spacing w:val="-2"/>
        </w:rPr>
        <w:t xml:space="preserve">classroom learning </w:t>
      </w:r>
      <w:r w:rsidR="00C36796" w:rsidRPr="00A81021">
        <w:rPr>
          <w:spacing w:val="-2"/>
        </w:rPr>
        <w:t>and</w:t>
      </w:r>
      <w:r w:rsidRPr="00A81021">
        <w:rPr>
          <w:spacing w:val="-2"/>
        </w:rPr>
        <w:t>/or</w:t>
      </w:r>
      <w:r w:rsidR="00C36796" w:rsidRPr="00A81021">
        <w:rPr>
          <w:b/>
          <w:spacing w:val="-2"/>
        </w:rPr>
        <w:t xml:space="preserve"> school-based assessments</w:t>
      </w:r>
      <w:r w:rsidR="00C36796">
        <w:rPr>
          <w:spacing w:val="-2"/>
        </w:rPr>
        <w:t xml:space="preserve"> </w:t>
      </w:r>
      <w:r>
        <w:rPr>
          <w:spacing w:val="-2"/>
        </w:rPr>
        <w:t xml:space="preserve">it </w:t>
      </w:r>
      <w:r w:rsidR="00504258">
        <w:t>can take</w:t>
      </w:r>
      <w:r w:rsidR="00504258">
        <w:rPr>
          <w:spacing w:val="-1"/>
        </w:rPr>
        <w:t xml:space="preserve"> </w:t>
      </w:r>
      <w:r w:rsidR="00504258">
        <w:t>a number of</w:t>
      </w:r>
      <w:r w:rsidR="00504258">
        <w:rPr>
          <w:spacing w:val="-1"/>
        </w:rPr>
        <w:t xml:space="preserve"> </w:t>
      </w:r>
      <w:r w:rsidR="00504258">
        <w:t>forms including:</w:t>
      </w:r>
    </w:p>
    <w:p w14:paraId="0DF4B0F9" w14:textId="77777777" w:rsidR="00AD4594" w:rsidRDefault="0050425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5"/>
        <w:ind w:left="820" w:hanging="425"/>
        <w:rPr>
          <w:rFonts w:ascii="Symbol" w:hAnsi="Symbol"/>
          <w:sz w:val="20"/>
        </w:rPr>
      </w:pPr>
      <w:r>
        <w:rPr>
          <w:sz w:val="20"/>
        </w:rPr>
        <w:t>completing</w:t>
      </w:r>
      <w:r>
        <w:rPr>
          <w:spacing w:val="-1"/>
          <w:sz w:val="20"/>
        </w:rPr>
        <w:t xml:space="preserve"> </w:t>
      </w:r>
      <w:r>
        <w:rPr>
          <w:sz w:val="20"/>
        </w:rPr>
        <w:t>classroom activities and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tasks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 different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</w:p>
    <w:p w14:paraId="7F35FC79" w14:textId="77777777" w:rsidR="00AD4594" w:rsidRDefault="0050425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3"/>
        <w:ind w:left="820" w:hanging="425"/>
        <w:rPr>
          <w:rFonts w:ascii="Symbol" w:hAnsi="Symbol"/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extra time to complete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or 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tasks</w:t>
      </w:r>
    </w:p>
    <w:p w14:paraId="55239AC0" w14:textId="77777777" w:rsidR="00AD4594" w:rsidRDefault="0050425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4"/>
        <w:ind w:left="820" w:hanging="425"/>
        <w:rPr>
          <w:rFonts w:ascii="Symbol" w:hAnsi="Symbol"/>
          <w:sz w:val="20"/>
        </w:rPr>
      </w:pPr>
      <w:r>
        <w:rPr>
          <w:sz w:val="20"/>
        </w:rPr>
        <w:t>completing a</w:t>
      </w:r>
      <w:r>
        <w:rPr>
          <w:spacing w:val="-2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task</w:t>
      </w:r>
      <w:r>
        <w:rPr>
          <w:spacing w:val="-2"/>
          <w:sz w:val="20"/>
        </w:rPr>
        <w:t xml:space="preserve"> </w:t>
      </w:r>
      <w:r>
        <w:rPr>
          <w:sz w:val="20"/>
        </w:rPr>
        <w:t>or a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type of</w:t>
      </w:r>
      <w:r>
        <w:rPr>
          <w:spacing w:val="-1"/>
          <w:sz w:val="20"/>
        </w:rPr>
        <w:t xml:space="preserve"> </w:t>
      </w:r>
      <w:r>
        <w:rPr>
          <w:sz w:val="20"/>
        </w:rPr>
        <w:t>task</w:t>
      </w:r>
    </w:p>
    <w:p w14:paraId="32C66E62" w14:textId="6391B5A0" w:rsidR="00AD4594" w:rsidRPr="00A81021" w:rsidRDefault="00504258" w:rsidP="00A8102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20" w:hanging="425"/>
        <w:rPr>
          <w:rFonts w:ascii="Symbol" w:hAnsi="Symbol"/>
          <w:sz w:val="20"/>
        </w:rPr>
      </w:pP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2"/>
          <w:sz w:val="20"/>
        </w:rPr>
        <w:t xml:space="preserve"> </w:t>
      </w:r>
      <w:r>
        <w:rPr>
          <w:sz w:val="20"/>
        </w:rPr>
        <w:t>aide</w:t>
      </w:r>
      <w:r w:rsidR="000F01AD">
        <w:rPr>
          <w:sz w:val="20"/>
        </w:rPr>
        <w:t>s</w:t>
      </w:r>
      <w:r>
        <w:rPr>
          <w:sz w:val="20"/>
        </w:rPr>
        <w:t xml:space="preserve"> or</w:t>
      </w:r>
      <w:r>
        <w:rPr>
          <w:spacing w:val="-1"/>
          <w:sz w:val="20"/>
        </w:rPr>
        <w:t xml:space="preserve"> </w:t>
      </w:r>
      <w:r>
        <w:rPr>
          <w:sz w:val="20"/>
        </w:rPr>
        <w:t>other special</w:t>
      </w:r>
      <w:r>
        <w:rPr>
          <w:spacing w:val="-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assist with</w:t>
      </w:r>
      <w:r>
        <w:rPr>
          <w:spacing w:val="-3"/>
          <w:sz w:val="20"/>
        </w:rPr>
        <w:t xml:space="preserve"> </w:t>
      </w:r>
      <w:r>
        <w:rPr>
          <w:sz w:val="20"/>
        </w:rPr>
        <w:t>classroom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or 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tasks</w:t>
      </w:r>
    </w:p>
    <w:p w14:paraId="4A0A1A33" w14:textId="7888B747" w:rsidR="00A81021" w:rsidRDefault="00A81021" w:rsidP="00A81021">
      <w:pPr>
        <w:tabs>
          <w:tab w:val="left" w:pos="819"/>
          <w:tab w:val="left" w:pos="820"/>
        </w:tabs>
        <w:rPr>
          <w:rFonts w:ascii="Symbol" w:hAnsi="Symbol"/>
          <w:sz w:val="20"/>
        </w:rPr>
      </w:pPr>
    </w:p>
    <w:p w14:paraId="2FEC21FE" w14:textId="3560C400" w:rsidR="00A81021" w:rsidRPr="00A81021" w:rsidRDefault="00A81021" w:rsidP="00A81021">
      <w:pPr>
        <w:pStyle w:val="BodyText"/>
      </w:pPr>
      <w:r>
        <w:t xml:space="preserve">Your school has responsibility for determining if you are eligible for </w:t>
      </w:r>
      <w:r w:rsidR="00C6453A">
        <w:t>s</w:t>
      </w:r>
      <w:r>
        <w:t xml:space="preserve">pecial </w:t>
      </w:r>
      <w:r w:rsidR="00C6453A">
        <w:t>p</w:t>
      </w:r>
      <w:r>
        <w:t>rovision for classroom</w:t>
      </w:r>
      <w:r w:rsidRPr="00A81021">
        <w:t xml:space="preserve"> </w:t>
      </w:r>
      <w:r>
        <w:t>learning</w:t>
      </w:r>
      <w:r w:rsidRPr="00A81021">
        <w:t xml:space="preserve"> </w:t>
      </w:r>
      <w:r>
        <w:t>and/or</w:t>
      </w:r>
      <w:r w:rsidRPr="00A81021">
        <w:t xml:space="preserve"> </w:t>
      </w:r>
      <w:r>
        <w:t>school-based</w:t>
      </w:r>
      <w:r w:rsidRPr="00A81021">
        <w:t xml:space="preserve"> </w:t>
      </w:r>
      <w:r>
        <w:t>assessments.</w:t>
      </w:r>
    </w:p>
    <w:p w14:paraId="4EB79C25" w14:textId="6C0637D4" w:rsidR="00C36796" w:rsidRDefault="00C36796" w:rsidP="00C36796">
      <w:pPr>
        <w:pStyle w:val="ListParagraph"/>
        <w:tabs>
          <w:tab w:val="left" w:pos="819"/>
          <w:tab w:val="left" w:pos="820"/>
        </w:tabs>
        <w:ind w:left="820" w:firstLine="0"/>
        <w:rPr>
          <w:sz w:val="20"/>
        </w:rPr>
      </w:pPr>
    </w:p>
    <w:p w14:paraId="234A85B0" w14:textId="47404F1D" w:rsidR="00C36796" w:rsidRDefault="00A81021" w:rsidP="00A81021">
      <w:pPr>
        <w:pStyle w:val="BodyText"/>
      </w:pPr>
      <w:r>
        <w:t>If you are approved s</w:t>
      </w:r>
      <w:r w:rsidR="00C36796">
        <w:t xml:space="preserve">pecial </w:t>
      </w:r>
      <w:r>
        <w:t>p</w:t>
      </w:r>
      <w:r w:rsidR="00C36796">
        <w:t>rovision</w:t>
      </w:r>
      <w:r w:rsidR="00C36796" w:rsidRPr="009F6D99">
        <w:t xml:space="preserve"> for</w:t>
      </w:r>
      <w:r>
        <w:t xml:space="preserve"> one or more of your</w:t>
      </w:r>
      <w:r w:rsidR="00C36796" w:rsidRPr="009F6D99">
        <w:t xml:space="preserve"> </w:t>
      </w:r>
      <w:r w:rsidR="00C36796" w:rsidRPr="00A81021">
        <w:rPr>
          <w:b/>
        </w:rPr>
        <w:t>VCE external assessments</w:t>
      </w:r>
      <w:r>
        <w:t>, it can be in one or both of the following</w:t>
      </w:r>
      <w:r w:rsidR="00C36796">
        <w:t>:</w:t>
      </w:r>
    </w:p>
    <w:p w14:paraId="4CE25D52" w14:textId="77777777" w:rsidR="00A81021" w:rsidRDefault="00A81021" w:rsidP="00A81021">
      <w:pPr>
        <w:tabs>
          <w:tab w:val="left" w:pos="819"/>
          <w:tab w:val="left" w:pos="820"/>
        </w:tabs>
        <w:spacing w:before="35"/>
        <w:rPr>
          <w:b/>
          <w:sz w:val="20"/>
        </w:rPr>
      </w:pPr>
    </w:p>
    <w:p w14:paraId="7FC48385" w14:textId="43187F4A" w:rsidR="00A81021" w:rsidRDefault="007D6517" w:rsidP="00A81021">
      <w:pPr>
        <w:tabs>
          <w:tab w:val="left" w:pos="819"/>
          <w:tab w:val="left" w:pos="820"/>
        </w:tabs>
        <w:spacing w:before="35"/>
        <w:rPr>
          <w:sz w:val="20"/>
        </w:rPr>
      </w:pPr>
      <w:r w:rsidRPr="00A81021">
        <w:rPr>
          <w:b/>
          <w:sz w:val="20"/>
        </w:rPr>
        <w:t>Special Examination Arrangements</w:t>
      </w:r>
      <w:r w:rsidRPr="00A81021">
        <w:rPr>
          <w:sz w:val="20"/>
        </w:rPr>
        <w:t xml:space="preserve"> </w:t>
      </w:r>
    </w:p>
    <w:p w14:paraId="1C83B834" w14:textId="77777777" w:rsidR="00A81021" w:rsidRDefault="00A81021" w:rsidP="00A81021">
      <w:pPr>
        <w:tabs>
          <w:tab w:val="left" w:pos="819"/>
          <w:tab w:val="left" w:pos="820"/>
        </w:tabs>
        <w:spacing w:before="35"/>
        <w:rPr>
          <w:sz w:val="20"/>
        </w:rPr>
      </w:pPr>
    </w:p>
    <w:p w14:paraId="4598C144" w14:textId="07A1590D" w:rsidR="00C36796" w:rsidRDefault="00A81021" w:rsidP="00A81021">
      <w:pPr>
        <w:tabs>
          <w:tab w:val="left" w:pos="819"/>
          <w:tab w:val="left" w:pos="820"/>
        </w:tabs>
        <w:spacing w:before="35"/>
        <w:rPr>
          <w:sz w:val="20"/>
        </w:rPr>
      </w:pPr>
      <w:r>
        <w:rPr>
          <w:sz w:val="20"/>
        </w:rPr>
        <w:t>Common e</w:t>
      </w:r>
      <w:r w:rsidR="007D6517" w:rsidRPr="00A81021">
        <w:rPr>
          <w:sz w:val="20"/>
        </w:rPr>
        <w:t xml:space="preserve">xamples </w:t>
      </w:r>
      <w:r>
        <w:rPr>
          <w:sz w:val="20"/>
        </w:rPr>
        <w:t xml:space="preserve">of approved Special Examination Arrangements </w:t>
      </w:r>
      <w:r w:rsidR="007D6517" w:rsidRPr="00A81021">
        <w:rPr>
          <w:sz w:val="20"/>
        </w:rPr>
        <w:t>include r</w:t>
      </w:r>
      <w:r w:rsidR="00C36796" w:rsidRPr="00A81021">
        <w:rPr>
          <w:sz w:val="20"/>
        </w:rPr>
        <w:t xml:space="preserve">est breaks, </w:t>
      </w:r>
      <w:r>
        <w:rPr>
          <w:sz w:val="20"/>
        </w:rPr>
        <w:t>extra working time</w:t>
      </w:r>
      <w:r w:rsidR="00C36796" w:rsidRPr="00A81021">
        <w:rPr>
          <w:sz w:val="20"/>
        </w:rPr>
        <w:t xml:space="preserve"> </w:t>
      </w:r>
      <w:r w:rsidRPr="00A81021">
        <w:rPr>
          <w:sz w:val="20"/>
        </w:rPr>
        <w:t>and use</w:t>
      </w:r>
      <w:r w:rsidR="00C36796" w:rsidRPr="00A81021">
        <w:rPr>
          <w:sz w:val="20"/>
        </w:rPr>
        <w:t xml:space="preserve"> of computers and/or assistive technology</w:t>
      </w:r>
      <w:r w:rsidR="00C6453A">
        <w:rPr>
          <w:sz w:val="20"/>
        </w:rPr>
        <w:t>.</w:t>
      </w:r>
    </w:p>
    <w:p w14:paraId="53E20922" w14:textId="440193D1" w:rsidR="00C6453A" w:rsidRDefault="00C6453A" w:rsidP="00A81021">
      <w:pPr>
        <w:tabs>
          <w:tab w:val="left" w:pos="819"/>
          <w:tab w:val="left" w:pos="820"/>
        </w:tabs>
        <w:spacing w:before="35"/>
        <w:rPr>
          <w:sz w:val="20"/>
        </w:rPr>
      </w:pPr>
    </w:p>
    <w:p w14:paraId="45E22949" w14:textId="77777777" w:rsidR="00C6453A" w:rsidRDefault="00C6453A" w:rsidP="00C6453A">
      <w:pPr>
        <w:pStyle w:val="BodyText"/>
        <w:spacing w:line="276" w:lineRule="auto"/>
        <w:ind w:right="182"/>
      </w:pPr>
      <w:r>
        <w:t>The Victorian Curriculum and Assessment Authority (VCAA) has responsibility for determining if you are eligible for</w:t>
      </w:r>
      <w:r>
        <w:rPr>
          <w:spacing w:val="-53"/>
        </w:rPr>
        <w:t xml:space="preserve"> </w:t>
      </w:r>
      <w:r>
        <w:t>Special Examination Arrangements for</w:t>
      </w:r>
      <w:r>
        <w:rPr>
          <w:spacing w:val="-2"/>
        </w:rPr>
        <w:t xml:space="preserve"> </w:t>
      </w:r>
      <w:r>
        <w:t>VCE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 Achievement</w:t>
      </w:r>
      <w:r>
        <w:rPr>
          <w:spacing w:val="-1"/>
        </w:rPr>
        <w:t xml:space="preserve"> </w:t>
      </w:r>
      <w:r>
        <w:t>Test (GAT).</w:t>
      </w:r>
    </w:p>
    <w:p w14:paraId="1056BDE6" w14:textId="77777777" w:rsidR="00C6453A" w:rsidRDefault="00C6453A" w:rsidP="00C6453A">
      <w:pPr>
        <w:pStyle w:val="BodyText"/>
        <w:spacing w:before="4"/>
        <w:rPr>
          <w:sz w:val="17"/>
        </w:rPr>
      </w:pPr>
    </w:p>
    <w:p w14:paraId="6ABFD501" w14:textId="77777777" w:rsidR="00C6453A" w:rsidRDefault="00C6453A" w:rsidP="00C6453A">
      <w:pPr>
        <w:pStyle w:val="BodyText"/>
        <w:spacing w:line="276" w:lineRule="auto"/>
        <w:ind w:right="803"/>
      </w:pPr>
      <w:r>
        <w:t>Schools are responsible for submitting applications for Special Examination Arrangements on behalf of their</w:t>
      </w:r>
      <w:r>
        <w:rPr>
          <w:spacing w:val="-53"/>
        </w:rPr>
        <w:t xml:space="preserve"> </w:t>
      </w:r>
      <w:r>
        <w:t>students.</w:t>
      </w:r>
    </w:p>
    <w:p w14:paraId="058227F4" w14:textId="52C6ACD7" w:rsidR="00C6453A" w:rsidRPr="00A81021" w:rsidRDefault="00C6453A" w:rsidP="00A81021">
      <w:pPr>
        <w:tabs>
          <w:tab w:val="left" w:pos="819"/>
          <w:tab w:val="left" w:pos="820"/>
        </w:tabs>
        <w:spacing w:before="35"/>
        <w:rPr>
          <w:sz w:val="20"/>
        </w:rPr>
      </w:pPr>
    </w:p>
    <w:p w14:paraId="2C6AF36E" w14:textId="106A9107" w:rsidR="00C6453A" w:rsidRDefault="007D6517" w:rsidP="00C6453A">
      <w:pPr>
        <w:tabs>
          <w:tab w:val="left" w:pos="819"/>
          <w:tab w:val="left" w:pos="820"/>
        </w:tabs>
        <w:spacing w:before="35"/>
        <w:rPr>
          <w:sz w:val="20"/>
        </w:rPr>
      </w:pPr>
      <w:r w:rsidRPr="00C6453A">
        <w:rPr>
          <w:b/>
          <w:sz w:val="20"/>
        </w:rPr>
        <w:t>Derived Examination Score</w:t>
      </w:r>
      <w:r w:rsidR="009F6D99" w:rsidRPr="00C6453A">
        <w:rPr>
          <w:b/>
          <w:sz w:val="20"/>
        </w:rPr>
        <w:t>s</w:t>
      </w:r>
      <w:r w:rsidR="00EC02DF" w:rsidRPr="00C6453A">
        <w:rPr>
          <w:b/>
          <w:sz w:val="20"/>
        </w:rPr>
        <w:t xml:space="preserve"> (DES)</w:t>
      </w:r>
    </w:p>
    <w:p w14:paraId="6E89DBE8" w14:textId="77777777" w:rsidR="00C6453A" w:rsidRDefault="00C6453A" w:rsidP="00C6453A">
      <w:pPr>
        <w:tabs>
          <w:tab w:val="left" w:pos="819"/>
          <w:tab w:val="left" w:pos="820"/>
        </w:tabs>
        <w:spacing w:before="35"/>
        <w:rPr>
          <w:sz w:val="20"/>
        </w:rPr>
      </w:pPr>
    </w:p>
    <w:p w14:paraId="2E6F20D5" w14:textId="3FA13A1F" w:rsidR="00A81021" w:rsidRDefault="00C6453A" w:rsidP="00C6453A">
      <w:pPr>
        <w:tabs>
          <w:tab w:val="left" w:pos="819"/>
          <w:tab w:val="left" w:pos="820"/>
        </w:tabs>
        <w:spacing w:before="35"/>
        <w:rPr>
          <w:sz w:val="20"/>
        </w:rPr>
      </w:pPr>
      <w:r>
        <w:rPr>
          <w:sz w:val="20"/>
        </w:rPr>
        <w:t>If you are</w:t>
      </w:r>
      <w:r w:rsidR="007D6517" w:rsidRPr="00C6453A">
        <w:rPr>
          <w:sz w:val="20"/>
        </w:rPr>
        <w:t xml:space="preserve"> </w:t>
      </w:r>
      <w:r w:rsidR="009F6D99" w:rsidRPr="00C6453A">
        <w:rPr>
          <w:sz w:val="20"/>
        </w:rPr>
        <w:t>significantly affected by the onset of an illness,</w:t>
      </w:r>
      <w:r w:rsidR="007D6517" w:rsidRPr="00C6453A">
        <w:rPr>
          <w:sz w:val="20"/>
        </w:rPr>
        <w:t xml:space="preserve"> or </w:t>
      </w:r>
      <w:r w:rsidR="009F6D99" w:rsidRPr="00C6453A">
        <w:rPr>
          <w:sz w:val="20"/>
        </w:rPr>
        <w:t xml:space="preserve">the occurrence of an injury or personal trauma </w:t>
      </w:r>
      <w:r w:rsidR="007D6517" w:rsidRPr="00C6453A">
        <w:rPr>
          <w:sz w:val="20"/>
        </w:rPr>
        <w:t xml:space="preserve">at the time of </w:t>
      </w:r>
      <w:r>
        <w:rPr>
          <w:sz w:val="20"/>
        </w:rPr>
        <w:t>your</w:t>
      </w:r>
      <w:r w:rsidR="009F6D99" w:rsidRPr="00C6453A">
        <w:rPr>
          <w:sz w:val="20"/>
        </w:rPr>
        <w:t xml:space="preserve"> </w:t>
      </w:r>
      <w:r w:rsidR="007D6517" w:rsidRPr="00C6453A">
        <w:rPr>
          <w:sz w:val="20"/>
        </w:rPr>
        <w:t xml:space="preserve">VCE </w:t>
      </w:r>
      <w:r>
        <w:rPr>
          <w:sz w:val="20"/>
        </w:rPr>
        <w:t>examinations, you</w:t>
      </w:r>
      <w:r w:rsidR="00A81021" w:rsidRPr="00C6453A">
        <w:rPr>
          <w:sz w:val="20"/>
        </w:rPr>
        <w:t xml:space="preserve"> can apply for a DES</w:t>
      </w:r>
      <w:r w:rsidR="009F6D99" w:rsidRPr="00C6453A">
        <w:rPr>
          <w:sz w:val="20"/>
        </w:rPr>
        <w:t xml:space="preserve">.  </w:t>
      </w:r>
    </w:p>
    <w:p w14:paraId="273F7D79" w14:textId="49BD4600" w:rsidR="00C6453A" w:rsidRDefault="00C6453A" w:rsidP="00C6453A">
      <w:pPr>
        <w:tabs>
          <w:tab w:val="left" w:pos="819"/>
          <w:tab w:val="left" w:pos="820"/>
        </w:tabs>
        <w:spacing w:before="35"/>
        <w:rPr>
          <w:sz w:val="20"/>
        </w:rPr>
      </w:pPr>
    </w:p>
    <w:p w14:paraId="3C23FD16" w14:textId="1090A048" w:rsidR="00CC3506" w:rsidRDefault="00C6453A" w:rsidP="00C6453A">
      <w:pPr>
        <w:tabs>
          <w:tab w:val="left" w:pos="819"/>
          <w:tab w:val="left" w:pos="820"/>
        </w:tabs>
        <w:spacing w:before="35"/>
        <w:rPr>
          <w:sz w:val="20"/>
        </w:rPr>
      </w:pPr>
      <w:r>
        <w:rPr>
          <w:sz w:val="20"/>
        </w:rPr>
        <w:t>If the DES is approved, the</w:t>
      </w:r>
      <w:r w:rsidR="00EC02DF" w:rsidRPr="00EC02DF">
        <w:rPr>
          <w:sz w:val="20"/>
        </w:rPr>
        <w:t xml:space="preserve"> VCAA </w:t>
      </w:r>
      <w:r w:rsidR="00EC02DF">
        <w:rPr>
          <w:sz w:val="20"/>
        </w:rPr>
        <w:t>will r</w:t>
      </w:r>
      <w:r w:rsidR="007D6517" w:rsidRPr="00EC02DF">
        <w:rPr>
          <w:sz w:val="20"/>
        </w:rPr>
        <w:t xml:space="preserve">ecord the DES as the final score if </w:t>
      </w:r>
      <w:r>
        <w:rPr>
          <w:sz w:val="20"/>
        </w:rPr>
        <w:t>it</w:t>
      </w:r>
      <w:r w:rsidR="007D6517" w:rsidRPr="00EC02DF">
        <w:rPr>
          <w:sz w:val="20"/>
        </w:rPr>
        <w:t xml:space="preserve"> is greater than the achieved external assessment score</w:t>
      </w:r>
      <w:r w:rsidR="00EC02DF">
        <w:rPr>
          <w:sz w:val="20"/>
        </w:rPr>
        <w:t>.</w:t>
      </w:r>
    </w:p>
    <w:p w14:paraId="1761ABB9" w14:textId="23B2FE78" w:rsidR="00CC3506" w:rsidRDefault="00CC3506" w:rsidP="00C6453A">
      <w:pPr>
        <w:tabs>
          <w:tab w:val="left" w:pos="819"/>
          <w:tab w:val="left" w:pos="820"/>
        </w:tabs>
        <w:spacing w:before="35"/>
        <w:rPr>
          <w:sz w:val="20"/>
        </w:rPr>
      </w:pPr>
    </w:p>
    <w:p w14:paraId="7BE17D85" w14:textId="709C700A" w:rsidR="00CC3506" w:rsidRDefault="00CC3506" w:rsidP="00CC3506">
      <w:pPr>
        <w:pStyle w:val="BodyText"/>
        <w:spacing w:line="276" w:lineRule="auto"/>
        <w:ind w:right="803"/>
      </w:pPr>
      <w:r>
        <w:t>Students are primary responsible for submitting DES applications. The VCAA will assess each application and communicate the outcome to the student and their school.</w:t>
      </w:r>
    </w:p>
    <w:p w14:paraId="60E59F3A" w14:textId="77777777" w:rsidR="00A81021" w:rsidRDefault="00A81021">
      <w:pPr>
        <w:pStyle w:val="Heading1"/>
      </w:pPr>
    </w:p>
    <w:p w14:paraId="7A6E1899" w14:textId="4D9B7BB5" w:rsidR="00AD4594" w:rsidRDefault="00504258" w:rsidP="00C6453A">
      <w:pPr>
        <w:pStyle w:val="Heading1"/>
        <w:ind w:left="0"/>
      </w:pPr>
      <w:r>
        <w:t>How</w:t>
      </w:r>
      <w:r>
        <w:rPr>
          <w:spacing w:val="1"/>
        </w:rPr>
        <w:t xml:space="preserve"> </w:t>
      </w:r>
      <w:r>
        <w:t>do you apply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Provision?</w:t>
      </w:r>
    </w:p>
    <w:p w14:paraId="6CB29C31" w14:textId="77777777" w:rsidR="00AD4594" w:rsidRDefault="00AD4594">
      <w:pPr>
        <w:pStyle w:val="BodyText"/>
        <w:spacing w:before="3"/>
        <w:rPr>
          <w:b/>
        </w:rPr>
      </w:pPr>
    </w:p>
    <w:p w14:paraId="1B1EFDDD" w14:textId="014AF631" w:rsidR="00AD4594" w:rsidRDefault="00504258" w:rsidP="00C6453A">
      <w:pPr>
        <w:pStyle w:val="BodyText"/>
        <w:spacing w:line="276" w:lineRule="auto"/>
        <w:ind w:right="503"/>
      </w:pPr>
      <w:r>
        <w:t xml:space="preserve">If you think you may be eligible for Special Provision then you need to </w:t>
      </w:r>
      <w:r w:rsidR="00CC3506">
        <w:t>seek advice from your school initially.</w:t>
      </w:r>
    </w:p>
    <w:p w14:paraId="4C929390" w14:textId="2E33CF3C" w:rsidR="00CC3506" w:rsidRDefault="00CC3506" w:rsidP="00C6453A">
      <w:pPr>
        <w:pStyle w:val="BodyText"/>
        <w:spacing w:line="276" w:lineRule="auto"/>
        <w:ind w:right="503"/>
      </w:pPr>
    </w:p>
    <w:p w14:paraId="14A1F50F" w14:textId="24430622" w:rsidR="00CC3506" w:rsidRDefault="00CC3506" w:rsidP="00C6453A">
      <w:pPr>
        <w:pStyle w:val="BodyText"/>
        <w:spacing w:line="276" w:lineRule="auto"/>
        <w:ind w:right="503"/>
      </w:pPr>
    </w:p>
    <w:p w14:paraId="3A4F1D58" w14:textId="08258E64" w:rsidR="00CC3506" w:rsidRDefault="00CC3506" w:rsidP="00C6453A">
      <w:pPr>
        <w:pStyle w:val="BodyText"/>
        <w:spacing w:line="276" w:lineRule="auto"/>
        <w:ind w:right="503"/>
      </w:pPr>
    </w:p>
    <w:p w14:paraId="23D44881" w14:textId="21EE3CDB" w:rsidR="00CC3506" w:rsidRDefault="00CC3506" w:rsidP="00C6453A">
      <w:pPr>
        <w:pStyle w:val="BodyText"/>
        <w:spacing w:line="276" w:lineRule="auto"/>
        <w:ind w:right="503"/>
      </w:pPr>
    </w:p>
    <w:p w14:paraId="4BA155AE" w14:textId="77777777" w:rsidR="00CC3506" w:rsidRDefault="00CC3506" w:rsidP="00C6453A">
      <w:pPr>
        <w:pStyle w:val="BodyText"/>
        <w:spacing w:line="276" w:lineRule="auto"/>
        <w:ind w:right="503"/>
      </w:pPr>
    </w:p>
    <w:p w14:paraId="0EFDB6B8" w14:textId="77777777" w:rsidR="00AD4594" w:rsidRDefault="00AD4594">
      <w:pPr>
        <w:pStyle w:val="BodyText"/>
        <w:rPr>
          <w:sz w:val="21"/>
        </w:rPr>
      </w:pPr>
    </w:p>
    <w:p w14:paraId="4160F296" w14:textId="00F8AECD" w:rsidR="00AD4594" w:rsidRPr="00C6453A" w:rsidRDefault="00504258" w:rsidP="00C6453A">
      <w:pPr>
        <w:pStyle w:val="BodyText"/>
        <w:rPr>
          <w:rStyle w:val="Hyperlink"/>
        </w:rPr>
      </w:pP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found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hyperlink r:id="rId13" w:history="1">
        <w:r w:rsidRPr="004337D9">
          <w:rPr>
            <w:rStyle w:val="Hyperlink"/>
          </w:rPr>
          <w:t>VCAA</w:t>
        </w:r>
        <w:r w:rsidRPr="004337D9">
          <w:rPr>
            <w:rStyle w:val="Hyperlink"/>
            <w:spacing w:val="-1"/>
          </w:rPr>
          <w:t xml:space="preserve"> </w:t>
        </w:r>
        <w:r w:rsidRPr="004337D9">
          <w:rPr>
            <w:rStyle w:val="Hyperlink"/>
          </w:rPr>
          <w:t>website</w:t>
        </w:r>
      </w:hyperlink>
      <w:r w:rsidR="004337D9">
        <w:t>.</w:t>
      </w:r>
      <w:r>
        <w:rPr>
          <w:spacing w:val="-1"/>
        </w:rPr>
        <w:t xml:space="preserve"> </w:t>
      </w:r>
      <w:r w:rsidR="00C6453A">
        <w:rPr>
          <w:color w:val="0000FF"/>
          <w:u w:val="single" w:color="0000FF"/>
        </w:rPr>
        <w:fldChar w:fldCharType="begin"/>
      </w:r>
      <w:r w:rsidR="00C6453A">
        <w:rPr>
          <w:color w:val="0000FF"/>
          <w:u w:val="single" w:color="0000FF"/>
        </w:rPr>
        <w:instrText xml:space="preserve"> HYPERLINK "https://vcaa.vic.edu.au/administration/special-provision/Pages/SpecialProvisionVCEandVCAL.aspx" </w:instrText>
      </w:r>
      <w:r w:rsidR="00C6453A">
        <w:rPr>
          <w:color w:val="0000FF"/>
          <w:u w:val="single" w:color="0000FF"/>
        </w:rPr>
      </w:r>
      <w:r w:rsidR="00C6453A">
        <w:rPr>
          <w:color w:val="0000FF"/>
          <w:u w:val="single" w:color="0000FF"/>
        </w:rPr>
        <w:fldChar w:fldCharType="separate"/>
      </w:r>
    </w:p>
    <w:p w14:paraId="3F472CF3" w14:textId="77777777" w:rsidR="00AD4594" w:rsidRPr="00C6453A" w:rsidRDefault="00AD4594">
      <w:pPr>
        <w:pStyle w:val="BodyText"/>
        <w:spacing w:before="3"/>
        <w:rPr>
          <w:rStyle w:val="Hyperlink"/>
          <w:sz w:val="12"/>
        </w:rPr>
      </w:pPr>
    </w:p>
    <w:p w14:paraId="2894328E" w14:textId="0CE677EA" w:rsidR="00AD4594" w:rsidRDefault="00C6453A">
      <w:pPr>
        <w:pStyle w:val="BodyText"/>
        <w:spacing w:before="94"/>
        <w:ind w:left="110"/>
      </w:pPr>
      <w:r>
        <w:rPr>
          <w:color w:val="0000FF"/>
          <w:u w:val="single" w:color="0000FF"/>
        </w:rPr>
        <w:fldChar w:fldCharType="end"/>
      </w:r>
      <w:r w:rsidR="00504258">
        <w:t>You</w:t>
      </w:r>
      <w:r w:rsidR="00504258">
        <w:rPr>
          <w:spacing w:val="-2"/>
        </w:rPr>
        <w:t xml:space="preserve"> </w:t>
      </w:r>
      <w:r w:rsidR="00504258">
        <w:t>can</w:t>
      </w:r>
      <w:r w:rsidR="00504258">
        <w:rPr>
          <w:spacing w:val="-1"/>
        </w:rPr>
        <w:t xml:space="preserve"> </w:t>
      </w:r>
      <w:r w:rsidR="00504258">
        <w:t>also</w:t>
      </w:r>
      <w:r w:rsidR="00504258">
        <w:rPr>
          <w:spacing w:val="-1"/>
        </w:rPr>
        <w:t xml:space="preserve"> </w:t>
      </w:r>
      <w:r w:rsidR="00504258">
        <w:t>contact VCAA</w:t>
      </w:r>
      <w:r w:rsidR="00504258">
        <w:rPr>
          <w:spacing w:val="-1"/>
        </w:rPr>
        <w:t xml:space="preserve"> </w:t>
      </w:r>
      <w:r w:rsidR="004B4159">
        <w:rPr>
          <w:spacing w:val="-1"/>
        </w:rPr>
        <w:t xml:space="preserve">Special Provision </w:t>
      </w:r>
      <w:r w:rsidR="00504258">
        <w:t>by:</w:t>
      </w:r>
    </w:p>
    <w:p w14:paraId="586447FA" w14:textId="0092F838" w:rsidR="00AD4594" w:rsidRDefault="0050425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36"/>
        <w:ind w:left="824" w:hanging="358"/>
        <w:rPr>
          <w:rFonts w:ascii="Symbol" w:hAnsi="Symbol"/>
          <w:color w:val="202020"/>
          <w:sz w:val="20"/>
        </w:rPr>
      </w:pPr>
      <w:r>
        <w:rPr>
          <w:sz w:val="20"/>
        </w:rPr>
        <w:t>Telephone:</w:t>
      </w:r>
      <w:r>
        <w:rPr>
          <w:spacing w:val="-2"/>
          <w:sz w:val="20"/>
        </w:rPr>
        <w:t xml:space="preserve"> </w:t>
      </w:r>
      <w:r w:rsidR="004B4159">
        <w:rPr>
          <w:sz w:val="20"/>
        </w:rPr>
        <w:t>1800 205 455</w:t>
      </w:r>
      <w:r>
        <w:rPr>
          <w:spacing w:val="-1"/>
          <w:sz w:val="20"/>
        </w:rPr>
        <w:t xml:space="preserve"> </w:t>
      </w:r>
      <w:r>
        <w:rPr>
          <w:sz w:val="20"/>
        </w:rPr>
        <w:t>(the national</w:t>
      </w:r>
      <w:r>
        <w:rPr>
          <w:spacing w:val="-1"/>
          <w:sz w:val="20"/>
        </w:rPr>
        <w:t xml:space="preserve"> </w:t>
      </w:r>
      <w:r>
        <w:rPr>
          <w:sz w:val="20"/>
        </w:rPr>
        <w:t>telephone</w:t>
      </w:r>
      <w:r>
        <w:rPr>
          <w:spacing w:val="-1"/>
          <w:sz w:val="20"/>
        </w:rPr>
        <w:t xml:space="preserve"> </w:t>
      </w:r>
      <w:r>
        <w:rPr>
          <w:sz w:val="20"/>
        </w:rPr>
        <w:t>interpreting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is available on 131 450).</w:t>
      </w:r>
    </w:p>
    <w:p w14:paraId="1A2A2C39" w14:textId="69E111D4" w:rsidR="00AD4594" w:rsidRDefault="0050425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ind w:left="824" w:hanging="358"/>
        <w:rPr>
          <w:rFonts w:ascii="Symbol" w:hAnsi="Symbol"/>
          <w:color w:val="202020"/>
          <w:sz w:val="20"/>
        </w:rPr>
      </w:pPr>
      <w:r>
        <w:rPr>
          <w:sz w:val="20"/>
        </w:rPr>
        <w:t>Email:</w:t>
      </w:r>
      <w:r>
        <w:rPr>
          <w:color w:val="0000FF"/>
          <w:spacing w:val="-2"/>
          <w:sz w:val="20"/>
        </w:rPr>
        <w:t xml:space="preserve"> </w:t>
      </w:r>
      <w:hyperlink r:id="rId14" w:history="1">
        <w:r w:rsidR="00A434D4" w:rsidRPr="00A434D4">
          <w:rPr>
            <w:rStyle w:val="Hyperlink"/>
            <w:sz w:val="20"/>
          </w:rPr>
          <w:t>vcaa.special.provision@education.vic.gov.au</w:t>
        </w:r>
      </w:hyperlink>
    </w:p>
    <w:p w14:paraId="5EEF377C" w14:textId="77777777" w:rsidR="00AD4594" w:rsidRDefault="00AD4594">
      <w:pPr>
        <w:pStyle w:val="BodyText"/>
      </w:pPr>
    </w:p>
    <w:p w14:paraId="1A307368" w14:textId="07491E15" w:rsidR="00AD4594" w:rsidRDefault="00F60038">
      <w:pPr>
        <w:pStyle w:val="BodyText"/>
        <w:spacing w:before="3"/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1FEDE3" wp14:editId="4AD9240F">
                <wp:simplePos x="0" y="0"/>
                <wp:positionH relativeFrom="page">
                  <wp:posOffset>543560</wp:posOffset>
                </wp:positionH>
                <wp:positionV relativeFrom="paragraph">
                  <wp:posOffset>107950</wp:posOffset>
                </wp:positionV>
                <wp:extent cx="6115050" cy="79883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988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CB342" w14:textId="77777777" w:rsidR="00AD4594" w:rsidRDefault="00504258">
                            <w:pPr>
                              <w:spacing w:before="155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020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020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Victorian</w:t>
                            </w:r>
                            <w:r>
                              <w:rPr>
                                <w:color w:val="2020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Curriculum and</w:t>
                            </w:r>
                            <w:r>
                              <w:rPr>
                                <w:color w:val="2020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Assessment</w:t>
                            </w:r>
                            <w:r>
                              <w:rPr>
                                <w:color w:val="2020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Authority</w:t>
                            </w:r>
                            <w:r>
                              <w:rPr>
                                <w:color w:val="2020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(VCAA)</w:t>
                            </w:r>
                            <w:r>
                              <w:rPr>
                                <w:color w:val="2020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020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020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government</w:t>
                            </w:r>
                            <w:r>
                              <w:rPr>
                                <w:color w:val="2020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body</w:t>
                            </w:r>
                            <w:r>
                              <w:rPr>
                                <w:color w:val="2020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that:</w:t>
                            </w:r>
                          </w:p>
                          <w:p w14:paraId="22D5E483" w14:textId="77777777" w:rsidR="00AD4594" w:rsidRDefault="005042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30"/>
                              <w:ind w:hanging="359"/>
                              <w:rPr>
                                <w:rFonts w:ascii="Symbo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courses taught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Victorian schools</w:t>
                            </w:r>
                          </w:p>
                          <w:p w14:paraId="02AC410C" w14:textId="11B412FD" w:rsidR="00AD4594" w:rsidRDefault="005042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37" w:line="232" w:lineRule="auto"/>
                              <w:ind w:right="255"/>
                              <w:rPr>
                                <w:rFonts w:ascii="Symbol"/>
                                <w:color w:val="202020"/>
                                <w:sz w:val="20"/>
                              </w:rPr>
                            </w:pPr>
                            <w:r>
                              <w:rPr>
                                <w:color w:val="202020"/>
                                <w:sz w:val="18"/>
                              </w:rPr>
                              <w:t xml:space="preserve">plans and manages assessment of the Victorian Certificate of Education (VCE) and the </w:t>
                            </w:r>
                            <w:r w:rsidR="00302C5B">
                              <w:rPr>
                                <w:color w:val="202020"/>
                                <w:sz w:val="18"/>
                              </w:rPr>
                              <w:t>VCE Vocational Major</w:t>
                            </w:r>
                            <w:r>
                              <w:rPr>
                                <w:color w:val="20202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EDE3" id="docshape4" o:spid="_x0000_s1029" type="#_x0000_t202" style="position:absolute;margin-left:42.8pt;margin-top:8.5pt;width:481.5pt;height:6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" filled="f" strokeweight=".16936mm">
                <v:textbox inset="0,0,0,0">
                  <w:txbxContent>
                    <w:p w14:paraId="79DCB342" w14:textId="77777777" w:rsidR="00AD4594" w:rsidRDefault="00504258">
                      <w:pPr>
                        <w:spacing w:before="155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color w:val="202020"/>
                          <w:sz w:val="18"/>
                        </w:rPr>
                        <w:t>The</w:t>
                      </w:r>
                      <w:r>
                        <w:rPr>
                          <w:color w:val="2020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Victorian</w:t>
                      </w:r>
                      <w:r>
                        <w:rPr>
                          <w:color w:val="2020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Curriculum and</w:t>
                      </w:r>
                      <w:r>
                        <w:rPr>
                          <w:color w:val="2020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Assessment</w:t>
                      </w:r>
                      <w:r>
                        <w:rPr>
                          <w:color w:val="2020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Authority</w:t>
                      </w:r>
                      <w:r>
                        <w:rPr>
                          <w:color w:val="2020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(VCAA)</w:t>
                      </w:r>
                      <w:r>
                        <w:rPr>
                          <w:color w:val="2020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is</w:t>
                      </w:r>
                      <w:r>
                        <w:rPr>
                          <w:color w:val="2020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the</w:t>
                      </w:r>
                      <w:r>
                        <w:rPr>
                          <w:color w:val="2020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government</w:t>
                      </w:r>
                      <w:r>
                        <w:rPr>
                          <w:color w:val="2020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body</w:t>
                      </w:r>
                      <w:r>
                        <w:rPr>
                          <w:color w:val="2020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02020"/>
                          <w:sz w:val="18"/>
                        </w:rPr>
                        <w:t>that:</w:t>
                      </w:r>
                    </w:p>
                    <w:p w14:paraId="22D5E483" w14:textId="77777777" w:rsidR="00AD4594" w:rsidRDefault="005042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30"/>
                        <w:ind w:hanging="359"/>
                        <w:rPr>
                          <w:rFonts w:ascii="Symbo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sets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courses taught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Victorian </w:t>
                      </w:r>
                      <w:proofErr w:type="gramStart"/>
                      <w:r>
                        <w:rPr>
                          <w:sz w:val="18"/>
                        </w:rPr>
                        <w:t>schools</w:t>
                      </w:r>
                      <w:proofErr w:type="gramEnd"/>
                    </w:p>
                    <w:p w14:paraId="02AC410C" w14:textId="11B412FD" w:rsidR="00AD4594" w:rsidRDefault="005042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37" w:line="232" w:lineRule="auto"/>
                        <w:ind w:right="255"/>
                        <w:rPr>
                          <w:rFonts w:ascii="Symbol"/>
                          <w:color w:val="202020"/>
                          <w:sz w:val="20"/>
                        </w:rPr>
                      </w:pPr>
                      <w:r>
                        <w:rPr>
                          <w:color w:val="202020"/>
                          <w:sz w:val="18"/>
                        </w:rPr>
                        <w:t xml:space="preserve">plans and manages assessment of the Victorian Certificate of Education (VCE) and the </w:t>
                      </w:r>
                      <w:r w:rsidR="00302C5B">
                        <w:rPr>
                          <w:color w:val="202020"/>
                          <w:sz w:val="18"/>
                        </w:rPr>
                        <w:t>VCE Vocational Major</w:t>
                      </w:r>
                      <w:r>
                        <w:rPr>
                          <w:color w:val="202020"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D4594">
      <w:type w:val="continuous"/>
      <w:pgSz w:w="11910" w:h="16840"/>
      <w:pgMar w:top="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3AAE"/>
    <w:multiLevelType w:val="multilevel"/>
    <w:tmpl w:val="E9A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35BFF"/>
    <w:multiLevelType w:val="hybridMultilevel"/>
    <w:tmpl w:val="FC12F880"/>
    <w:lvl w:ilvl="0" w:tplc="02607024">
      <w:numFmt w:val="bullet"/>
      <w:lvlText w:val=""/>
      <w:lvlJc w:val="left"/>
      <w:pPr>
        <w:ind w:left="817" w:hanging="358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83E42D5E">
      <w:numFmt w:val="bullet"/>
      <w:lvlText w:val="•"/>
      <w:lvlJc w:val="left"/>
      <w:pPr>
        <w:ind w:left="1700" w:hanging="358"/>
      </w:pPr>
      <w:rPr>
        <w:rFonts w:hint="default"/>
        <w:lang w:val="en-AU" w:eastAsia="en-US" w:bidi="ar-SA"/>
      </w:rPr>
    </w:lvl>
    <w:lvl w:ilvl="2" w:tplc="D1C862F4">
      <w:numFmt w:val="bullet"/>
      <w:lvlText w:val="•"/>
      <w:lvlJc w:val="left"/>
      <w:pPr>
        <w:ind w:left="2580" w:hanging="358"/>
      </w:pPr>
      <w:rPr>
        <w:rFonts w:hint="default"/>
        <w:lang w:val="en-AU" w:eastAsia="en-US" w:bidi="ar-SA"/>
      </w:rPr>
    </w:lvl>
    <w:lvl w:ilvl="3" w:tplc="B432942C">
      <w:numFmt w:val="bullet"/>
      <w:lvlText w:val="•"/>
      <w:lvlJc w:val="left"/>
      <w:pPr>
        <w:ind w:left="3460" w:hanging="358"/>
      </w:pPr>
      <w:rPr>
        <w:rFonts w:hint="default"/>
        <w:lang w:val="en-AU" w:eastAsia="en-US" w:bidi="ar-SA"/>
      </w:rPr>
    </w:lvl>
    <w:lvl w:ilvl="4" w:tplc="CB1EF40A">
      <w:numFmt w:val="bullet"/>
      <w:lvlText w:val="•"/>
      <w:lvlJc w:val="left"/>
      <w:pPr>
        <w:ind w:left="4340" w:hanging="358"/>
      </w:pPr>
      <w:rPr>
        <w:rFonts w:hint="default"/>
        <w:lang w:val="en-AU" w:eastAsia="en-US" w:bidi="ar-SA"/>
      </w:rPr>
    </w:lvl>
    <w:lvl w:ilvl="5" w:tplc="DD6C2FD8">
      <w:numFmt w:val="bullet"/>
      <w:lvlText w:val="•"/>
      <w:lvlJc w:val="left"/>
      <w:pPr>
        <w:ind w:left="5220" w:hanging="358"/>
      </w:pPr>
      <w:rPr>
        <w:rFonts w:hint="default"/>
        <w:lang w:val="en-AU" w:eastAsia="en-US" w:bidi="ar-SA"/>
      </w:rPr>
    </w:lvl>
    <w:lvl w:ilvl="6" w:tplc="E6AE4056">
      <w:numFmt w:val="bullet"/>
      <w:lvlText w:val="•"/>
      <w:lvlJc w:val="left"/>
      <w:pPr>
        <w:ind w:left="6100" w:hanging="358"/>
      </w:pPr>
      <w:rPr>
        <w:rFonts w:hint="default"/>
        <w:lang w:val="en-AU" w:eastAsia="en-US" w:bidi="ar-SA"/>
      </w:rPr>
    </w:lvl>
    <w:lvl w:ilvl="7" w:tplc="B2561DFA">
      <w:numFmt w:val="bullet"/>
      <w:lvlText w:val="•"/>
      <w:lvlJc w:val="left"/>
      <w:pPr>
        <w:ind w:left="6980" w:hanging="358"/>
      </w:pPr>
      <w:rPr>
        <w:rFonts w:hint="default"/>
        <w:lang w:val="en-AU" w:eastAsia="en-US" w:bidi="ar-SA"/>
      </w:rPr>
    </w:lvl>
    <w:lvl w:ilvl="8" w:tplc="7054AEA8">
      <w:numFmt w:val="bullet"/>
      <w:lvlText w:val="•"/>
      <w:lvlJc w:val="left"/>
      <w:pPr>
        <w:ind w:left="7860" w:hanging="358"/>
      </w:pPr>
      <w:rPr>
        <w:rFonts w:hint="default"/>
        <w:lang w:val="en-AU" w:eastAsia="en-US" w:bidi="ar-SA"/>
      </w:rPr>
    </w:lvl>
  </w:abstractNum>
  <w:abstractNum w:abstractNumId="2" w15:restartNumberingAfterBreak="0">
    <w:nsid w:val="67447B47"/>
    <w:multiLevelType w:val="hybridMultilevel"/>
    <w:tmpl w:val="69C077B4"/>
    <w:lvl w:ilvl="0" w:tplc="D6B2F0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213C7A76">
      <w:numFmt w:val="bullet"/>
      <w:lvlText w:val="•"/>
      <w:lvlJc w:val="left"/>
      <w:pPr>
        <w:ind w:left="1800" w:hanging="360"/>
      </w:pPr>
      <w:rPr>
        <w:rFonts w:hint="default"/>
        <w:lang w:val="en-AU" w:eastAsia="en-US" w:bidi="ar-SA"/>
      </w:rPr>
    </w:lvl>
    <w:lvl w:ilvl="2" w:tplc="8EDAD096">
      <w:numFmt w:val="bullet"/>
      <w:lvlText w:val="•"/>
      <w:lvlJc w:val="left"/>
      <w:pPr>
        <w:ind w:left="2761" w:hanging="360"/>
      </w:pPr>
      <w:rPr>
        <w:rFonts w:hint="default"/>
        <w:lang w:val="en-AU" w:eastAsia="en-US" w:bidi="ar-SA"/>
      </w:rPr>
    </w:lvl>
    <w:lvl w:ilvl="3" w:tplc="8DEAB792">
      <w:numFmt w:val="bullet"/>
      <w:lvlText w:val="•"/>
      <w:lvlJc w:val="left"/>
      <w:pPr>
        <w:ind w:left="3722" w:hanging="360"/>
      </w:pPr>
      <w:rPr>
        <w:rFonts w:hint="default"/>
        <w:lang w:val="en-AU" w:eastAsia="en-US" w:bidi="ar-SA"/>
      </w:rPr>
    </w:lvl>
    <w:lvl w:ilvl="4" w:tplc="E3CED3A8">
      <w:numFmt w:val="bullet"/>
      <w:lvlText w:val="•"/>
      <w:lvlJc w:val="left"/>
      <w:pPr>
        <w:ind w:left="4683" w:hanging="360"/>
      </w:pPr>
      <w:rPr>
        <w:rFonts w:hint="default"/>
        <w:lang w:val="en-AU" w:eastAsia="en-US" w:bidi="ar-SA"/>
      </w:rPr>
    </w:lvl>
    <w:lvl w:ilvl="5" w:tplc="93DE11E8">
      <w:numFmt w:val="bullet"/>
      <w:lvlText w:val="•"/>
      <w:lvlJc w:val="left"/>
      <w:pPr>
        <w:ind w:left="5643" w:hanging="360"/>
      </w:pPr>
      <w:rPr>
        <w:rFonts w:hint="default"/>
        <w:lang w:val="en-AU" w:eastAsia="en-US" w:bidi="ar-SA"/>
      </w:rPr>
    </w:lvl>
    <w:lvl w:ilvl="6" w:tplc="4C5E17DE">
      <w:numFmt w:val="bullet"/>
      <w:lvlText w:val="•"/>
      <w:lvlJc w:val="left"/>
      <w:pPr>
        <w:ind w:left="6604" w:hanging="360"/>
      </w:pPr>
      <w:rPr>
        <w:rFonts w:hint="default"/>
        <w:lang w:val="en-AU" w:eastAsia="en-US" w:bidi="ar-SA"/>
      </w:rPr>
    </w:lvl>
    <w:lvl w:ilvl="7" w:tplc="09E848D4">
      <w:numFmt w:val="bullet"/>
      <w:lvlText w:val="•"/>
      <w:lvlJc w:val="left"/>
      <w:pPr>
        <w:ind w:left="7565" w:hanging="360"/>
      </w:pPr>
      <w:rPr>
        <w:rFonts w:hint="default"/>
        <w:lang w:val="en-AU" w:eastAsia="en-US" w:bidi="ar-SA"/>
      </w:rPr>
    </w:lvl>
    <w:lvl w:ilvl="8" w:tplc="423C58D2">
      <w:numFmt w:val="bullet"/>
      <w:lvlText w:val="•"/>
      <w:lvlJc w:val="left"/>
      <w:pPr>
        <w:ind w:left="8526" w:hanging="360"/>
      </w:pPr>
      <w:rPr>
        <w:rFonts w:hint="default"/>
        <w:lang w:val="en-AU" w:eastAsia="en-US" w:bidi="ar-SA"/>
      </w:rPr>
    </w:lvl>
  </w:abstractNum>
  <w:num w:numId="1" w16cid:durableId="902178115">
    <w:abstractNumId w:val="1"/>
  </w:num>
  <w:num w:numId="2" w16cid:durableId="575214237">
    <w:abstractNumId w:val="2"/>
  </w:num>
  <w:num w:numId="3" w16cid:durableId="96635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4"/>
    <w:rsid w:val="000562BA"/>
    <w:rsid w:val="000F01AD"/>
    <w:rsid w:val="00245B31"/>
    <w:rsid w:val="00275958"/>
    <w:rsid w:val="00302C5B"/>
    <w:rsid w:val="004337D9"/>
    <w:rsid w:val="004B4159"/>
    <w:rsid w:val="00504258"/>
    <w:rsid w:val="00535244"/>
    <w:rsid w:val="00682E4C"/>
    <w:rsid w:val="006B14F4"/>
    <w:rsid w:val="006D75C5"/>
    <w:rsid w:val="00702AC7"/>
    <w:rsid w:val="007D6517"/>
    <w:rsid w:val="009209FE"/>
    <w:rsid w:val="009F6D99"/>
    <w:rsid w:val="00A434D4"/>
    <w:rsid w:val="00A46A3C"/>
    <w:rsid w:val="00A81021"/>
    <w:rsid w:val="00AA5E02"/>
    <w:rsid w:val="00AD1D9B"/>
    <w:rsid w:val="00AD4594"/>
    <w:rsid w:val="00B42AA0"/>
    <w:rsid w:val="00C36796"/>
    <w:rsid w:val="00C47D44"/>
    <w:rsid w:val="00C6453A"/>
    <w:rsid w:val="00CC3506"/>
    <w:rsid w:val="00E0205B"/>
    <w:rsid w:val="00EC02DF"/>
    <w:rsid w:val="00F60038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5AF4"/>
  <w15:docId w15:val="{44319382-74E0-4AC4-BAB8-53545DD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1199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32"/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0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05B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05B"/>
    <w:rPr>
      <w:rFonts w:ascii="Arial" w:eastAsia="Arial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60038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38"/>
    <w:rPr>
      <w:rFonts w:ascii="Segoe UI" w:eastAsia="Arial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4B41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caa.vic.edu.au/administration/special-provision/Pages/SpecialProvisionVC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caa.vic.edu.au/Footer/Pages/Copyright.asp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vcaa.special.provision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39E15-5CF7-450F-A492-9EB969E0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9B83F-6391-4577-80D9-1423E17145CE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B644CB-88F5-4767-87E2-FAC49BBA7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– Special Provision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– Special Provision</dc:title>
  <dc:creator>VCAA</dc:creator>
  <cp:keywords>Fact Sheet, Special Provision</cp:keywords>
  <cp:lastModifiedBy>VCAA Web Unit</cp:lastModifiedBy>
  <cp:revision>4</cp:revision>
  <dcterms:created xsi:type="dcterms:W3CDTF">2024-02-12T00:14:00Z</dcterms:created>
  <dcterms:modified xsi:type="dcterms:W3CDTF">2024-02-12T00:28:00Z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  <property fmtid="{D5CDD505-2E9C-101B-9397-08002B2CF9AE}" pid="5" name="ContentTypeId">
    <vt:lpwstr>0x0101008840106FE30D4F50BC61A726A7CA6E3800C6AB3851F4F88F40B98871D148B8EC2C</vt:lpwstr>
  </property>
  <property fmtid="{D5CDD505-2E9C-101B-9397-08002B2CF9AE}" pid="6" name="DEECD_Author">
    <vt:lpwstr/>
  </property>
  <property fmtid="{D5CDD505-2E9C-101B-9397-08002B2CF9AE}" pid="7" name="DEECD_SubjectCategory">
    <vt:lpwstr/>
  </property>
  <property fmtid="{D5CDD505-2E9C-101B-9397-08002B2CF9AE}" pid="8" name="DEECD_ItemType">
    <vt:lpwstr/>
  </property>
  <property fmtid="{D5CDD505-2E9C-101B-9397-08002B2CF9AE}" pid="9" name="DEECD_Audience">
    <vt:lpwstr/>
  </property>
</Properties>
</file>