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7E8671F5E7FE41E3B5B1833D34920A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4525C" w:rsidRDefault="00FA4E33" w:rsidP="003312A2">
          <w:pPr>
            <w:pStyle w:val="VCAADocumenttitle"/>
            <w:spacing w:after="120"/>
          </w:pPr>
          <w:r w:rsidRPr="00FA4E33">
            <w:t>Details of individual consultancies</w:t>
          </w:r>
        </w:p>
      </w:sdtContent>
    </w:sdt>
    <w:p w:rsidR="002754C1" w:rsidRDefault="00FA4E33" w:rsidP="00FA4E33">
      <w:pPr>
        <w:pStyle w:val="VCAAHeading2"/>
      </w:pPr>
      <w:bookmarkStart w:id="0" w:name="TemplateOverview"/>
      <w:bookmarkEnd w:id="0"/>
      <w:r>
        <w:t>(</w:t>
      </w:r>
      <w:proofErr w:type="gramStart"/>
      <w:r>
        <w:t>valued</w:t>
      </w:r>
      <w:proofErr w:type="gramEnd"/>
      <w:r>
        <w:t xml:space="preserve"> at $10 000 or greater)</w:t>
      </w:r>
    </w:p>
    <w:tbl>
      <w:tblPr>
        <w:tblStyle w:val="VCAATable"/>
        <w:tblW w:w="988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93"/>
        <w:gridCol w:w="1899"/>
        <w:gridCol w:w="1899"/>
        <w:gridCol w:w="1899"/>
        <w:gridCol w:w="1899"/>
      </w:tblGrid>
      <w:tr w:rsidR="00FA4E33" w:rsidRPr="00FA4E33" w:rsidTr="00FA4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</w:rPr>
              <w:t>Consultant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</w:rPr>
              <w:t>Purpose</w:t>
            </w:r>
            <w:r w:rsidRPr="00FA4E33">
              <w:rPr>
                <w:rFonts w:eastAsia="Arial"/>
                <w:bCs/>
                <w:color w:val="auto"/>
                <w:spacing w:val="-6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</w:rPr>
              <w:t>of consultancy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  <w:spacing w:val="-18"/>
              </w:rPr>
              <w:t>T</w:t>
            </w:r>
            <w:r w:rsidRPr="00FA4E33">
              <w:rPr>
                <w:rFonts w:eastAsia="Arial"/>
                <w:bCs/>
                <w:color w:val="auto"/>
              </w:rPr>
              <w:t>otal app</w:t>
            </w:r>
            <w:r w:rsidRPr="00FA4E33">
              <w:rPr>
                <w:rFonts w:eastAsia="Arial"/>
                <w:bCs/>
                <w:color w:val="auto"/>
                <w:spacing w:val="-3"/>
              </w:rPr>
              <w:t>r</w:t>
            </w:r>
            <w:r w:rsidRPr="00FA4E33">
              <w:rPr>
                <w:rFonts w:eastAsia="Arial"/>
                <w:bCs/>
                <w:color w:val="auto"/>
                <w:w w:val="99"/>
              </w:rPr>
              <w:t xml:space="preserve">oved </w:t>
            </w:r>
            <w:r w:rsidRPr="00FA4E33">
              <w:rPr>
                <w:rFonts w:eastAsia="Arial"/>
                <w:bCs/>
                <w:color w:val="auto"/>
              </w:rPr>
              <w:t>p</w:t>
            </w:r>
            <w:r w:rsidRPr="00FA4E33">
              <w:rPr>
                <w:rFonts w:eastAsia="Arial"/>
                <w:bCs/>
                <w:color w:val="auto"/>
                <w:spacing w:val="-3"/>
              </w:rPr>
              <w:t>r</w:t>
            </w:r>
            <w:r w:rsidRPr="00FA4E33">
              <w:rPr>
                <w:rFonts w:eastAsia="Arial"/>
                <w:bCs/>
                <w:color w:val="auto"/>
              </w:rPr>
              <w:t>oject</w:t>
            </w:r>
            <w:r w:rsidRPr="00FA4E33">
              <w:rPr>
                <w:rFonts w:eastAsia="Arial"/>
                <w:bCs/>
                <w:color w:val="auto"/>
                <w:spacing w:val="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102"/>
              </w:rPr>
              <w:t>fee</w:t>
            </w:r>
            <w:r>
              <w:rPr>
                <w:rFonts w:eastAsia="Arial"/>
                <w:bCs/>
                <w:color w:val="auto"/>
                <w:w w:val="102"/>
              </w:rPr>
              <w:br/>
            </w:r>
            <w:r w:rsidRPr="00FA4E33">
              <w:rPr>
                <w:rFonts w:eastAsia="Arial"/>
                <w:bCs/>
                <w:color w:val="auto"/>
              </w:rPr>
              <w:t>($</w:t>
            </w:r>
            <w:r w:rsidRPr="00FA4E33">
              <w:rPr>
                <w:rFonts w:eastAsia="Arial"/>
                <w:bCs/>
                <w:color w:val="auto"/>
                <w:spacing w:val="-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8"/>
              </w:rPr>
              <w:t xml:space="preserve">excluding </w:t>
            </w:r>
            <w:r w:rsidRPr="00FA4E33">
              <w:rPr>
                <w:rFonts w:eastAsia="Arial"/>
                <w:bCs/>
                <w:color w:val="auto"/>
                <w:w w:val="96"/>
              </w:rPr>
              <w:t>GST)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  <w:w w:val="98"/>
              </w:rPr>
              <w:t>Expenditu</w:t>
            </w:r>
            <w:r w:rsidRPr="00FA4E33">
              <w:rPr>
                <w:rFonts w:eastAsia="Arial"/>
                <w:bCs/>
                <w:color w:val="auto"/>
                <w:spacing w:val="-3"/>
                <w:w w:val="98"/>
              </w:rPr>
              <w:t>r</w:t>
            </w:r>
            <w:r w:rsidRPr="00FA4E33">
              <w:rPr>
                <w:rFonts w:eastAsia="Arial"/>
                <w:bCs/>
                <w:color w:val="auto"/>
                <w:w w:val="103"/>
              </w:rPr>
              <w:t>e</w:t>
            </w:r>
            <w:r>
              <w:rPr>
                <w:rFonts w:eastAsia="Arial"/>
                <w:bCs/>
                <w:color w:val="auto"/>
                <w:w w:val="103"/>
              </w:rPr>
              <w:br/>
            </w:r>
            <w:r w:rsidRPr="00FA4E33">
              <w:rPr>
                <w:rFonts w:eastAsia="Arial"/>
                <w:bCs/>
                <w:color w:val="auto"/>
                <w:w w:val="98"/>
              </w:rPr>
              <w:t>2017–18</w:t>
            </w:r>
            <w:r>
              <w:rPr>
                <w:rFonts w:eastAsia="Arial"/>
                <w:bCs/>
                <w:color w:val="auto"/>
                <w:w w:val="98"/>
              </w:rPr>
              <w:br/>
            </w:r>
            <w:r w:rsidRPr="00FA4E33">
              <w:rPr>
                <w:rFonts w:eastAsia="Arial"/>
                <w:bCs/>
                <w:color w:val="auto"/>
              </w:rPr>
              <w:t>($</w:t>
            </w:r>
            <w:r w:rsidRPr="00FA4E33">
              <w:rPr>
                <w:rFonts w:eastAsia="Arial"/>
                <w:bCs/>
                <w:color w:val="auto"/>
                <w:spacing w:val="-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8"/>
              </w:rPr>
              <w:t>excluding</w:t>
            </w:r>
            <w:r>
              <w:rPr>
                <w:rFonts w:eastAsia="Arial"/>
                <w:bCs/>
                <w:color w:val="auto"/>
                <w:w w:val="98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6"/>
              </w:rPr>
              <w:t>GST)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FA4E33" w:rsidRPr="00FA4E33" w:rsidRDefault="00FA4E33" w:rsidP="00FA4E33">
            <w:pPr>
              <w:pStyle w:val="VCAAtablecondensed"/>
              <w:spacing w:before="120" w:after="120" w:line="240" w:lineRule="auto"/>
              <w:jc w:val="center"/>
              <w:rPr>
                <w:rFonts w:eastAsia="Arial"/>
                <w:color w:val="auto"/>
              </w:rPr>
            </w:pPr>
            <w:r w:rsidRPr="00FA4E33">
              <w:rPr>
                <w:rFonts w:eastAsia="Arial"/>
                <w:bCs/>
                <w:color w:val="auto"/>
                <w:w w:val="98"/>
              </w:rPr>
              <w:t>Futu</w:t>
            </w:r>
            <w:r w:rsidRPr="00FA4E33">
              <w:rPr>
                <w:rFonts w:eastAsia="Arial"/>
                <w:bCs/>
                <w:color w:val="auto"/>
                <w:spacing w:val="-3"/>
                <w:w w:val="98"/>
              </w:rPr>
              <w:t>r</w:t>
            </w:r>
            <w:r w:rsidRPr="00FA4E33">
              <w:rPr>
                <w:rFonts w:eastAsia="Arial"/>
                <w:bCs/>
                <w:color w:val="auto"/>
                <w:w w:val="103"/>
              </w:rPr>
              <w:t xml:space="preserve">e </w:t>
            </w:r>
            <w:r w:rsidRPr="00FA4E33">
              <w:rPr>
                <w:rFonts w:eastAsia="Arial"/>
                <w:bCs/>
                <w:color w:val="auto"/>
                <w:w w:val="99"/>
              </w:rPr>
              <w:t>expenditu</w:t>
            </w:r>
            <w:r w:rsidRPr="00FA4E33">
              <w:rPr>
                <w:rFonts w:eastAsia="Arial"/>
                <w:bCs/>
                <w:color w:val="auto"/>
                <w:spacing w:val="-3"/>
                <w:w w:val="99"/>
              </w:rPr>
              <w:t>r</w:t>
            </w:r>
            <w:r w:rsidRPr="00FA4E33">
              <w:rPr>
                <w:rFonts w:eastAsia="Arial"/>
                <w:bCs/>
                <w:color w:val="auto"/>
                <w:w w:val="103"/>
              </w:rPr>
              <w:t xml:space="preserve">e </w:t>
            </w:r>
            <w:r w:rsidRPr="00FA4E33">
              <w:rPr>
                <w:rFonts w:eastAsia="Arial"/>
                <w:bCs/>
                <w:color w:val="auto"/>
              </w:rPr>
              <w:t>($</w:t>
            </w:r>
            <w:r w:rsidRPr="00FA4E33">
              <w:rPr>
                <w:rFonts w:eastAsia="Arial"/>
                <w:bCs/>
                <w:color w:val="auto"/>
                <w:spacing w:val="-7"/>
              </w:rPr>
              <w:t xml:space="preserve"> </w:t>
            </w:r>
            <w:r w:rsidRPr="00FA4E33">
              <w:rPr>
                <w:rFonts w:eastAsia="Arial"/>
                <w:bCs/>
                <w:color w:val="auto"/>
                <w:w w:val="98"/>
              </w:rPr>
              <w:t xml:space="preserve">excluding </w:t>
            </w:r>
            <w:r w:rsidRPr="00FA4E33">
              <w:rPr>
                <w:rFonts w:eastAsia="Arial"/>
                <w:bCs/>
                <w:color w:val="auto"/>
                <w:w w:val="96"/>
              </w:rPr>
              <w:t>GST)</w:t>
            </w:r>
          </w:p>
        </w:tc>
      </w:tr>
      <w:tr w:rsidR="00D322AD" w:rsidRPr="00FA4E33" w:rsidTr="00FA4E33">
        <w:trPr>
          <w:trHeight w:val="20"/>
        </w:trPr>
        <w:tc>
          <w:tcPr>
            <w:tcW w:w="2293" w:type="dxa"/>
          </w:tcPr>
          <w:p w:rsidR="00D322AD" w:rsidRPr="00032C45" w:rsidRDefault="00D322AD" w:rsidP="00D322AD">
            <w:r w:rsidRPr="00032C45">
              <w:t>Deloitte Consulting Pty Ltd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Insight Part A options analysis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41,000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D322AD" w:rsidRPr="00032C45" w:rsidRDefault="00D322AD" w:rsidP="00D322AD">
            <w:r w:rsidRPr="00032C45">
              <w:t>41,000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 xml:space="preserve"> – </w:t>
            </w:r>
          </w:p>
        </w:tc>
      </w:tr>
      <w:tr w:rsidR="00D322AD" w:rsidRPr="00FA4E33" w:rsidTr="00FA4E33">
        <w:trPr>
          <w:trHeight w:val="20"/>
        </w:trPr>
        <w:tc>
          <w:tcPr>
            <w:tcW w:w="2293" w:type="dxa"/>
          </w:tcPr>
          <w:p w:rsidR="00D322AD" w:rsidRPr="00032C45" w:rsidRDefault="00D322AD" w:rsidP="00D322AD">
            <w:r w:rsidRPr="00032C45">
              <w:t>Cambridge Exam Research Ltd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Review marking systems for 3 VCE examinations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15,086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D322AD" w:rsidRPr="00032C45" w:rsidRDefault="00D322AD" w:rsidP="00D322AD">
            <w:r w:rsidRPr="00032C45">
              <w:t>15,086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 xml:space="preserve">– </w:t>
            </w:r>
          </w:p>
        </w:tc>
      </w:tr>
      <w:tr w:rsidR="00D322AD" w:rsidRPr="00FA4E33" w:rsidTr="00FA4E33">
        <w:trPr>
          <w:trHeight w:val="20"/>
        </w:trPr>
        <w:tc>
          <w:tcPr>
            <w:tcW w:w="2293" w:type="dxa"/>
          </w:tcPr>
          <w:p w:rsidR="00D322AD" w:rsidRPr="00032C45" w:rsidRDefault="00D322AD" w:rsidP="00D322AD">
            <w:proofErr w:type="spellStart"/>
            <w:r w:rsidRPr="00032C45">
              <w:t>Dandolo</w:t>
            </w:r>
            <w:proofErr w:type="spellEnd"/>
            <w:r w:rsidRPr="00032C45">
              <w:t xml:space="preserve"> Partners Pty Ltd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VCE on the Northern Hemisphere Timetable Evaluation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62,946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D322AD" w:rsidRPr="00032C45" w:rsidRDefault="00D322AD" w:rsidP="00D322AD">
            <w:r w:rsidRPr="00032C45">
              <w:t>62,946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 xml:space="preserve"> – </w:t>
            </w:r>
          </w:p>
        </w:tc>
      </w:tr>
      <w:tr w:rsidR="00D322AD" w:rsidRPr="00FA4E33" w:rsidTr="00FA4E33">
        <w:trPr>
          <w:trHeight w:val="20"/>
        </w:trPr>
        <w:tc>
          <w:tcPr>
            <w:tcW w:w="2293" w:type="dxa"/>
          </w:tcPr>
          <w:p w:rsidR="00D322AD" w:rsidRPr="00032C45" w:rsidRDefault="00D322AD" w:rsidP="00D322AD">
            <w:proofErr w:type="spellStart"/>
            <w:r w:rsidRPr="00032C45">
              <w:t>Dandolo</w:t>
            </w:r>
            <w:proofErr w:type="spellEnd"/>
            <w:r w:rsidRPr="00032C45">
              <w:t xml:space="preserve"> Partners Pty Ltd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VCE Offshore Pricing Review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51,253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D322AD" w:rsidRPr="00032C45" w:rsidRDefault="00D322AD" w:rsidP="00D322AD">
            <w:r w:rsidRPr="00032C45">
              <w:t>51,253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 xml:space="preserve"> – </w:t>
            </w:r>
          </w:p>
        </w:tc>
      </w:tr>
      <w:tr w:rsidR="00D322AD" w:rsidRPr="00FA4E33" w:rsidTr="00FA4E33">
        <w:trPr>
          <w:trHeight w:val="20"/>
        </w:trPr>
        <w:tc>
          <w:tcPr>
            <w:tcW w:w="2293" w:type="dxa"/>
          </w:tcPr>
          <w:p w:rsidR="00D322AD" w:rsidRPr="00032C45" w:rsidRDefault="00D322AD" w:rsidP="00D322AD">
            <w:r w:rsidRPr="00032C45">
              <w:t xml:space="preserve">National Institute Of </w:t>
            </w:r>
            <w:proofErr w:type="spellStart"/>
            <w:r w:rsidRPr="00032C45">
              <w:t>Organisation</w:t>
            </w:r>
            <w:proofErr w:type="spellEnd"/>
            <w:r w:rsidRPr="00032C45">
              <w:t xml:space="preserve"> Dynamics Australia</w:t>
            </w:r>
          </w:p>
        </w:tc>
        <w:tc>
          <w:tcPr>
            <w:tcW w:w="1899" w:type="dxa"/>
          </w:tcPr>
          <w:p w:rsidR="00D322AD" w:rsidRPr="00032C45" w:rsidRDefault="00D322AD" w:rsidP="00D322AD">
            <w:proofErr w:type="spellStart"/>
            <w:r w:rsidRPr="00032C45">
              <w:t>Organisational</w:t>
            </w:r>
            <w:proofErr w:type="spellEnd"/>
            <w:r w:rsidRPr="00032C45">
              <w:t xml:space="preserve"> review – Special Provisions Business Operations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26,250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D322AD" w:rsidRPr="00032C45" w:rsidRDefault="00D322AD" w:rsidP="00D322AD">
            <w:r w:rsidRPr="00032C45">
              <w:t>6,750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19,500</w:t>
            </w:r>
          </w:p>
        </w:tc>
      </w:tr>
      <w:tr w:rsidR="00D322AD" w:rsidRPr="00FA4E33" w:rsidTr="00FA4E33">
        <w:trPr>
          <w:trHeight w:val="20"/>
        </w:trPr>
        <w:tc>
          <w:tcPr>
            <w:tcW w:w="2293" w:type="dxa"/>
          </w:tcPr>
          <w:p w:rsidR="00D322AD" w:rsidRPr="00032C45" w:rsidRDefault="00D322AD" w:rsidP="00D322AD">
            <w:r w:rsidRPr="00032C45">
              <w:t>Quantum Market Research Pty Ltd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VCAA Client/Stakeholder research</w:t>
            </w:r>
          </w:p>
        </w:tc>
        <w:tc>
          <w:tcPr>
            <w:tcW w:w="1899" w:type="dxa"/>
          </w:tcPr>
          <w:p w:rsidR="00D322AD" w:rsidRPr="00032C45" w:rsidRDefault="00D322AD" w:rsidP="00D322AD">
            <w:r w:rsidRPr="00032C45">
              <w:t>34,800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:rsidR="00D322AD" w:rsidRPr="00032C45" w:rsidRDefault="00D322AD" w:rsidP="00D322AD">
            <w:r w:rsidRPr="00032C45">
              <w:t>34,800</w:t>
            </w:r>
          </w:p>
        </w:tc>
        <w:tc>
          <w:tcPr>
            <w:tcW w:w="1899" w:type="dxa"/>
          </w:tcPr>
          <w:p w:rsidR="00D322AD" w:rsidRDefault="00D322AD" w:rsidP="00D322AD">
            <w:r w:rsidRPr="00032C45">
              <w:t xml:space="preserve"> – </w:t>
            </w:r>
          </w:p>
        </w:tc>
      </w:tr>
    </w:tbl>
    <w:p w:rsidR="00FA4E33" w:rsidRPr="00A40966" w:rsidRDefault="00FA4E33" w:rsidP="00FA4E33">
      <w:pPr>
        <w:pStyle w:val="VCAAbody"/>
      </w:pPr>
      <w:bookmarkStart w:id="1" w:name="_GoBack"/>
      <w:bookmarkEnd w:id="1"/>
    </w:p>
    <w:sectPr w:rsidR="00FA4E33" w:rsidRPr="00A40966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33" w:rsidRDefault="00FA4E33" w:rsidP="00304EA1">
      <w:pPr>
        <w:spacing w:after="0" w:line="240" w:lineRule="auto"/>
      </w:pPr>
      <w:r>
        <w:separator/>
      </w:r>
    </w:p>
  </w:endnote>
  <w:endnote w:type="continuationSeparator" w:id="0">
    <w:p w:rsidR="00FA4E33" w:rsidRDefault="00FA4E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33" w:rsidRDefault="00FA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33" w:rsidRPr="00243F0D" w:rsidRDefault="00FA4E33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33" w:rsidRDefault="00FA4E33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3E72B98" wp14:editId="3680645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33" w:rsidRDefault="00FA4E33" w:rsidP="00304EA1">
      <w:pPr>
        <w:spacing w:after="0" w:line="240" w:lineRule="auto"/>
      </w:pPr>
      <w:r>
        <w:separator/>
      </w:r>
    </w:p>
  </w:footnote>
  <w:footnote w:type="continuationSeparator" w:id="0">
    <w:p w:rsidR="00FA4E33" w:rsidRDefault="00FA4E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33" w:rsidRDefault="00FA4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7E8671F5E7FE41E3B5B1833D34920AB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A4E33" w:rsidRPr="00D86DE4" w:rsidRDefault="00FA4E3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Details of individual consultancies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33" w:rsidRPr="009370BC" w:rsidRDefault="00FA4E33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84CBF19" wp14:editId="134BF44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33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12A2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22AD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4F6C"/>
    <w:rsid w:val="00F4525C"/>
    <w:rsid w:val="00F50D86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DA31A8-BA6A-45AD-BB76-57007D83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widowControl/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widowControl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671F5E7FE41E3B5B1833D349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4DDA-50AA-422F-A3A9-93E708557703}"/>
      </w:docPartPr>
      <w:docPartBody>
        <w:p w:rsidR="009512A2" w:rsidRDefault="009512A2">
          <w:pPr>
            <w:pStyle w:val="7E8671F5E7FE41E3B5B1833D34920AB0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A2"/>
    <w:rsid w:val="009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8671F5E7FE41E3B5B1833D34920AB0">
    <w:name w:val="7E8671F5E7FE41E3B5B1833D34920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0BCB-443D-4784-A936-B24B1F3EF5B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A2D10B-EFAC-4426-BBBD-D912C3BE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3986E-AD75-42A7-AA28-B32B8F429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6257D-1FAA-4013-9E53-97C7CE3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individual consultancies</vt:lpstr>
    </vt:vector>
  </TitlesOfParts>
  <Company>Victorian Curriculum and Assessment Authority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individual consultancies</dc:title>
  <dc:creator>Thomas Heeren</dc:creator>
  <cp:lastModifiedBy>Tolan, Derek D</cp:lastModifiedBy>
  <cp:revision>3</cp:revision>
  <cp:lastPrinted>2015-05-15T02:36:00Z</cp:lastPrinted>
  <dcterms:created xsi:type="dcterms:W3CDTF">2019-11-20T05:41:00Z</dcterms:created>
  <dcterms:modified xsi:type="dcterms:W3CDTF">2019-11-20T05:44:00Z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ofbb8b9a280a423a91cf717fb81349cd">
    <vt:lpwstr>VCAA|ae0180aa-7478-4220-a827-32d8158f8b8e</vt:lpwstr>
  </property>
  <property fmtid="{D5CDD505-2E9C-101B-9397-08002B2CF9AE}" pid="8" name="pfad5814e62747ed9f131defefc62dac">
    <vt:lpwstr/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a319977fc8504e09982f090ae1d7c602">
    <vt:lpwstr>Page|eb523acf-a821-456c-a76b-7607578309d7</vt:lpwstr>
  </property>
  <property fmtid="{D5CDD505-2E9C-101B-9397-08002B2CF9AE}" pid="11" name="b1688cb4a3a940449dc8286705012a42">
    <vt:lpwstr/>
  </property>
</Properties>
</file>