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6C4BB" w14:textId="5CF25262" w:rsidR="00F4525C" w:rsidRDefault="00242AC0" w:rsidP="00FA2052">
      <w:pPr>
        <w:pStyle w:val="VCAAHeading1"/>
        <w:spacing w:before="0"/>
      </w:pPr>
      <w:r>
        <w:t xml:space="preserve">VCE </w:t>
      </w:r>
      <w:r w:rsidR="00FA2052">
        <w:t>First Language</w:t>
      </w:r>
      <w:r>
        <w:t xml:space="preserve">: </w:t>
      </w:r>
      <w:r w:rsidR="008D74EF">
        <w:t>Performance descriptors</w:t>
      </w:r>
    </w:p>
    <w:tbl>
      <w:tblPr>
        <w:tblStyle w:val="TableGrid"/>
        <w:tblW w:w="0" w:type="auto"/>
        <w:tblLook w:val="04A0" w:firstRow="1" w:lastRow="0" w:firstColumn="1" w:lastColumn="0" w:noHBand="0" w:noVBand="1"/>
      </w:tblPr>
      <w:tblGrid>
        <w:gridCol w:w="2122"/>
        <w:gridCol w:w="2601"/>
        <w:gridCol w:w="2601"/>
        <w:gridCol w:w="2601"/>
        <w:gridCol w:w="2601"/>
        <w:gridCol w:w="2602"/>
      </w:tblGrid>
      <w:tr w:rsidR="008D74EF" w:rsidRPr="008D74EF" w14:paraId="6D4B8278" w14:textId="77777777" w:rsidTr="008D74EF">
        <w:tc>
          <w:tcPr>
            <w:tcW w:w="15128" w:type="dxa"/>
            <w:gridSpan w:val="6"/>
            <w:shd w:val="clear" w:color="auto" w:fill="DCE4F0" w:themeFill="accent6" w:themeFillTint="33"/>
            <w:vAlign w:val="center"/>
          </w:tcPr>
          <w:p w14:paraId="0B1E6973" w14:textId="02155201" w:rsidR="008D74EF" w:rsidRPr="00242AC0" w:rsidRDefault="00FA2052" w:rsidP="008D74EF">
            <w:pPr>
              <w:tabs>
                <w:tab w:val="left" w:pos="9580"/>
              </w:tabs>
              <w:spacing w:before="120"/>
              <w:ind w:right="-136"/>
              <w:jc w:val="center"/>
              <w:rPr>
                <w:rFonts w:ascii="Arial Narrow" w:hAnsi="Arial Narrow"/>
                <w:b/>
                <w:lang w:eastAsia="en-AU"/>
              </w:rPr>
            </w:pPr>
            <w:bookmarkStart w:id="0" w:name="TemplateOverview"/>
            <w:bookmarkEnd w:id="0"/>
            <w:r>
              <w:rPr>
                <w:rFonts w:ascii="Arial Narrow" w:hAnsi="Arial Narrow"/>
                <w:b/>
                <w:lang w:eastAsia="en-AU"/>
              </w:rPr>
              <w:t>VCE First Language</w:t>
            </w:r>
          </w:p>
          <w:p w14:paraId="28C01DFF" w14:textId="77777777" w:rsidR="008D74EF" w:rsidRPr="00242AC0" w:rsidRDefault="008D74EF" w:rsidP="008D74EF">
            <w:pPr>
              <w:spacing w:after="120"/>
              <w:jc w:val="center"/>
            </w:pPr>
            <w:r w:rsidRPr="00242AC0">
              <w:rPr>
                <w:rFonts w:ascii="Arial Narrow" w:hAnsi="Arial Narrow"/>
                <w:b/>
                <w:lang w:eastAsia="en-AU"/>
              </w:rPr>
              <w:t>SCHOOL-ASSESSED COURSEWORK</w:t>
            </w:r>
          </w:p>
        </w:tc>
      </w:tr>
      <w:tr w:rsidR="008D74EF" w:rsidRPr="008D74EF" w14:paraId="1C14234F" w14:textId="77777777" w:rsidTr="008D74EF">
        <w:tc>
          <w:tcPr>
            <w:tcW w:w="15128" w:type="dxa"/>
            <w:gridSpan w:val="6"/>
            <w:tcBorders>
              <w:bottom w:val="single" w:sz="4" w:space="0" w:color="auto"/>
            </w:tcBorders>
            <w:vAlign w:val="center"/>
          </w:tcPr>
          <w:p w14:paraId="04D936B3" w14:textId="77777777" w:rsidR="008D74EF" w:rsidRPr="00242AC0" w:rsidRDefault="008D74EF" w:rsidP="008D74EF">
            <w:pPr>
              <w:spacing w:before="60" w:after="60"/>
              <w:jc w:val="center"/>
            </w:pPr>
            <w:r w:rsidRPr="00242AC0">
              <w:rPr>
                <w:rFonts w:ascii="Arial Narrow" w:hAnsi="Arial Narrow" w:cs="Cordia New"/>
                <w:b/>
              </w:rPr>
              <w:t>Performance descriptors</w:t>
            </w:r>
          </w:p>
        </w:tc>
      </w:tr>
      <w:tr w:rsidR="008D74EF" w:rsidRPr="008D74EF" w14:paraId="1D70D4E9" w14:textId="77777777" w:rsidTr="008D74EF">
        <w:tc>
          <w:tcPr>
            <w:tcW w:w="15128" w:type="dxa"/>
            <w:gridSpan w:val="6"/>
            <w:tcBorders>
              <w:left w:val="nil"/>
              <w:right w:val="nil"/>
            </w:tcBorders>
          </w:tcPr>
          <w:p w14:paraId="4B9B3C9B" w14:textId="77777777" w:rsidR="008D74EF" w:rsidRPr="008D74EF" w:rsidRDefault="008D74EF" w:rsidP="008D74EF">
            <w:pPr>
              <w:rPr>
                <w:sz w:val="12"/>
                <w:szCs w:val="12"/>
              </w:rPr>
            </w:pPr>
          </w:p>
        </w:tc>
      </w:tr>
      <w:tr w:rsidR="00F94190" w:rsidRPr="00242AC0" w14:paraId="17602C39" w14:textId="77777777" w:rsidTr="00FA2052">
        <w:tc>
          <w:tcPr>
            <w:tcW w:w="2122" w:type="dxa"/>
            <w:vMerge w:val="restart"/>
            <w:vAlign w:val="center"/>
          </w:tcPr>
          <w:p w14:paraId="0CA4B6E1" w14:textId="77777777" w:rsidR="00F94190" w:rsidRPr="00242AC0" w:rsidRDefault="00F94190" w:rsidP="008D74EF">
            <w:pPr>
              <w:rPr>
                <w:rFonts w:ascii="Arial Narrow" w:hAnsi="Arial Narrow" w:cs="Cordia New"/>
                <w:b/>
                <w:color w:val="221E1F"/>
                <w:sz w:val="20"/>
                <w:szCs w:val="20"/>
              </w:rPr>
            </w:pPr>
            <w:r w:rsidRPr="00242AC0">
              <w:rPr>
                <w:rFonts w:ascii="Arial Narrow" w:hAnsi="Arial Narrow" w:cs="Cordia New"/>
                <w:b/>
                <w:color w:val="221E1F"/>
                <w:sz w:val="20"/>
                <w:szCs w:val="20"/>
              </w:rPr>
              <w:t>Unit 3</w:t>
            </w:r>
          </w:p>
          <w:p w14:paraId="26088D1D" w14:textId="31ECE17F" w:rsidR="00F94190" w:rsidRPr="00242AC0" w:rsidRDefault="00F94190" w:rsidP="008D74EF">
            <w:pPr>
              <w:rPr>
                <w:rFonts w:ascii="Arial Narrow" w:hAnsi="Arial Narrow" w:cs="Cordia New"/>
                <w:b/>
                <w:color w:val="221E1F"/>
                <w:sz w:val="20"/>
                <w:szCs w:val="20"/>
              </w:rPr>
            </w:pPr>
            <w:r w:rsidRPr="00242AC0">
              <w:rPr>
                <w:rFonts w:ascii="Arial Narrow" w:hAnsi="Arial Narrow" w:cs="Cordia New"/>
                <w:b/>
                <w:color w:val="221E1F"/>
                <w:sz w:val="20"/>
                <w:szCs w:val="20"/>
              </w:rPr>
              <w:t xml:space="preserve">Outcome </w:t>
            </w:r>
            <w:r>
              <w:rPr>
                <w:rFonts w:ascii="Arial Narrow" w:hAnsi="Arial Narrow" w:cs="Cordia New"/>
                <w:b/>
                <w:color w:val="221E1F"/>
                <w:sz w:val="20"/>
                <w:szCs w:val="20"/>
              </w:rPr>
              <w:t>2</w:t>
            </w:r>
            <w:r w:rsidRPr="00242AC0">
              <w:rPr>
                <w:rFonts w:ascii="Arial Narrow" w:hAnsi="Arial Narrow" w:cs="Cordia New"/>
                <w:b/>
                <w:color w:val="221E1F"/>
                <w:sz w:val="20"/>
                <w:szCs w:val="20"/>
              </w:rPr>
              <w:t xml:space="preserve"> </w:t>
            </w:r>
          </w:p>
          <w:p w14:paraId="311A4DEE" w14:textId="7D5DD611" w:rsidR="00F94190" w:rsidRPr="00F94190" w:rsidRDefault="00F94190" w:rsidP="008D74EF">
            <w:pPr>
              <w:spacing w:before="120" w:after="120"/>
              <w:rPr>
                <w:rFonts w:ascii="Arial Narrow" w:hAnsi="Arial Narrow"/>
                <w:b/>
                <w:sz w:val="20"/>
                <w:szCs w:val="20"/>
              </w:rPr>
            </w:pPr>
            <w:r w:rsidRPr="00F94190">
              <w:rPr>
                <w:rFonts w:ascii="Arial Narrow" w:eastAsia="Calibri" w:hAnsi="Arial Narrow" w:cs="Cordia New"/>
                <w:b/>
                <w:bCs/>
                <w:iCs/>
                <w:color w:val="221E1F"/>
                <w:sz w:val="20"/>
                <w:szCs w:val="20"/>
              </w:rPr>
              <w:t>Analyse and use information from spoken and viewed texts</w:t>
            </w:r>
            <w:r w:rsidRPr="00F94190">
              <w:rPr>
                <w:rFonts w:ascii="Arial Narrow" w:eastAsia="Arial" w:hAnsi="Arial Narrow" w:cs="Times New Roman"/>
                <w:b/>
                <w:bCs/>
                <w:iCs/>
                <w:sz w:val="20"/>
                <w:szCs w:val="20"/>
              </w:rPr>
              <w:t>.</w:t>
            </w:r>
          </w:p>
        </w:tc>
        <w:tc>
          <w:tcPr>
            <w:tcW w:w="13006" w:type="dxa"/>
            <w:gridSpan w:val="5"/>
            <w:shd w:val="clear" w:color="auto" w:fill="DCE4F0" w:themeFill="accent6" w:themeFillTint="33"/>
            <w:vAlign w:val="center"/>
          </w:tcPr>
          <w:p w14:paraId="592C665F" w14:textId="77777777" w:rsidR="00F94190" w:rsidRPr="00242AC0" w:rsidRDefault="00F94190" w:rsidP="008D74EF">
            <w:pPr>
              <w:spacing w:before="120" w:after="120"/>
              <w:jc w:val="center"/>
              <w:rPr>
                <w:rFonts w:ascii="Arial Narrow" w:hAnsi="Arial Narrow"/>
                <w:sz w:val="20"/>
                <w:szCs w:val="20"/>
              </w:rPr>
            </w:pPr>
            <w:r w:rsidRPr="00242AC0">
              <w:rPr>
                <w:rFonts w:ascii="Arial Narrow" w:hAnsi="Arial Narrow"/>
                <w:b/>
                <w:sz w:val="20"/>
                <w:szCs w:val="20"/>
                <w:lang w:val="en-AU"/>
              </w:rPr>
              <w:t>DESCRIPTOR: typical performance in each range</w:t>
            </w:r>
          </w:p>
        </w:tc>
      </w:tr>
      <w:tr w:rsidR="00F94190" w:rsidRPr="00242AC0" w14:paraId="06EFEA4E" w14:textId="77777777" w:rsidTr="00FA2052">
        <w:trPr>
          <w:trHeight w:val="170"/>
        </w:trPr>
        <w:tc>
          <w:tcPr>
            <w:tcW w:w="2122" w:type="dxa"/>
            <w:vMerge/>
            <w:vAlign w:val="center"/>
          </w:tcPr>
          <w:p w14:paraId="5F8D34C9" w14:textId="77777777" w:rsidR="00F94190" w:rsidRPr="00242AC0" w:rsidRDefault="00F94190" w:rsidP="008D74EF">
            <w:pPr>
              <w:spacing w:before="120" w:after="120"/>
              <w:rPr>
                <w:rFonts w:ascii="Arial Narrow" w:hAnsi="Arial Narrow"/>
                <w:sz w:val="20"/>
                <w:szCs w:val="20"/>
              </w:rPr>
            </w:pPr>
          </w:p>
        </w:tc>
        <w:tc>
          <w:tcPr>
            <w:tcW w:w="2601" w:type="dxa"/>
            <w:vAlign w:val="center"/>
          </w:tcPr>
          <w:p w14:paraId="6FEF26A5" w14:textId="3706207B" w:rsidR="00F94190" w:rsidRPr="00443A55" w:rsidRDefault="00F94190" w:rsidP="00443A55">
            <w:pPr>
              <w:spacing w:before="120" w:after="120"/>
              <w:jc w:val="center"/>
              <w:rPr>
                <w:rFonts w:ascii="Arial Narrow" w:hAnsi="Arial Narrow"/>
                <w:b/>
                <w:bCs/>
                <w:sz w:val="20"/>
                <w:szCs w:val="20"/>
                <w:lang w:eastAsia="en-AU"/>
              </w:rPr>
            </w:pPr>
            <w:r w:rsidRPr="00242AC0">
              <w:rPr>
                <w:rFonts w:ascii="Arial Narrow" w:hAnsi="Arial Narrow"/>
                <w:b/>
                <w:bCs/>
                <w:sz w:val="20"/>
                <w:szCs w:val="20"/>
                <w:lang w:eastAsia="en-AU"/>
              </w:rPr>
              <w:t>Very low</w:t>
            </w:r>
          </w:p>
        </w:tc>
        <w:tc>
          <w:tcPr>
            <w:tcW w:w="2601" w:type="dxa"/>
            <w:vAlign w:val="center"/>
          </w:tcPr>
          <w:p w14:paraId="5D2D2580" w14:textId="26A4B4E0" w:rsidR="00F94190" w:rsidRPr="00443A55" w:rsidRDefault="00F94190" w:rsidP="00443A55">
            <w:pPr>
              <w:spacing w:before="120" w:after="120"/>
              <w:jc w:val="center"/>
              <w:rPr>
                <w:rFonts w:ascii="Arial Narrow" w:hAnsi="Arial Narrow"/>
                <w:b/>
                <w:bCs/>
                <w:sz w:val="20"/>
                <w:szCs w:val="20"/>
              </w:rPr>
            </w:pPr>
            <w:r w:rsidRPr="00242AC0">
              <w:rPr>
                <w:rFonts w:ascii="Arial Narrow" w:hAnsi="Arial Narrow"/>
                <w:b/>
                <w:bCs/>
                <w:sz w:val="20"/>
                <w:szCs w:val="20"/>
              </w:rPr>
              <w:t>Low</w:t>
            </w:r>
          </w:p>
        </w:tc>
        <w:tc>
          <w:tcPr>
            <w:tcW w:w="2601" w:type="dxa"/>
            <w:vAlign w:val="center"/>
          </w:tcPr>
          <w:p w14:paraId="5078DBB7" w14:textId="129C1734" w:rsidR="00F94190" w:rsidRPr="00443A55" w:rsidRDefault="00F94190" w:rsidP="00443A55">
            <w:pPr>
              <w:spacing w:before="120" w:after="120"/>
              <w:jc w:val="center"/>
              <w:rPr>
                <w:rFonts w:ascii="Arial Narrow" w:hAnsi="Arial Narrow"/>
                <w:b/>
                <w:sz w:val="20"/>
                <w:szCs w:val="20"/>
              </w:rPr>
            </w:pPr>
            <w:r w:rsidRPr="00242AC0">
              <w:rPr>
                <w:rFonts w:ascii="Arial Narrow" w:hAnsi="Arial Narrow"/>
                <w:b/>
                <w:sz w:val="20"/>
                <w:szCs w:val="20"/>
              </w:rPr>
              <w:t>Medium</w:t>
            </w:r>
          </w:p>
        </w:tc>
        <w:tc>
          <w:tcPr>
            <w:tcW w:w="2601" w:type="dxa"/>
            <w:vAlign w:val="center"/>
          </w:tcPr>
          <w:p w14:paraId="402A628A" w14:textId="4BE5425E" w:rsidR="00F94190" w:rsidRPr="00242AC0" w:rsidRDefault="00F94190" w:rsidP="00443A55">
            <w:pPr>
              <w:spacing w:before="120" w:after="120"/>
              <w:jc w:val="center"/>
              <w:rPr>
                <w:rFonts w:ascii="Arial Narrow" w:hAnsi="Arial Narrow"/>
                <w:b/>
                <w:sz w:val="20"/>
                <w:szCs w:val="20"/>
              </w:rPr>
            </w:pPr>
            <w:r w:rsidRPr="00242AC0">
              <w:rPr>
                <w:rFonts w:ascii="Arial Narrow" w:hAnsi="Arial Narrow"/>
                <w:b/>
                <w:sz w:val="20"/>
                <w:szCs w:val="20"/>
              </w:rPr>
              <w:t>High</w:t>
            </w:r>
          </w:p>
        </w:tc>
        <w:tc>
          <w:tcPr>
            <w:tcW w:w="2602" w:type="dxa"/>
            <w:vAlign w:val="center"/>
          </w:tcPr>
          <w:p w14:paraId="3A41BCAC" w14:textId="76C4ECE5" w:rsidR="00F94190" w:rsidRPr="00443A55" w:rsidRDefault="00F94190" w:rsidP="00443A55">
            <w:pPr>
              <w:spacing w:before="120" w:after="120"/>
              <w:jc w:val="center"/>
              <w:rPr>
                <w:rFonts w:ascii="Arial Narrow" w:hAnsi="Arial Narrow"/>
                <w:b/>
                <w:sz w:val="20"/>
                <w:szCs w:val="20"/>
              </w:rPr>
            </w:pPr>
            <w:r w:rsidRPr="00242AC0">
              <w:rPr>
                <w:rFonts w:ascii="Arial Narrow" w:hAnsi="Arial Narrow"/>
                <w:b/>
                <w:sz w:val="20"/>
                <w:szCs w:val="20"/>
              </w:rPr>
              <w:t>Very high</w:t>
            </w:r>
          </w:p>
        </w:tc>
      </w:tr>
      <w:tr w:rsidR="00F94190" w:rsidRPr="00242AC0" w14:paraId="7F64F049" w14:textId="77777777" w:rsidTr="00FA2052">
        <w:tc>
          <w:tcPr>
            <w:tcW w:w="2122" w:type="dxa"/>
            <w:vMerge/>
            <w:vAlign w:val="center"/>
          </w:tcPr>
          <w:p w14:paraId="3CFC6151" w14:textId="77777777" w:rsidR="00F94190" w:rsidRPr="00242AC0" w:rsidRDefault="00F94190" w:rsidP="00F94190">
            <w:pPr>
              <w:rPr>
                <w:sz w:val="20"/>
                <w:szCs w:val="20"/>
              </w:rPr>
            </w:pPr>
          </w:p>
        </w:tc>
        <w:tc>
          <w:tcPr>
            <w:tcW w:w="2601" w:type="dxa"/>
          </w:tcPr>
          <w:p w14:paraId="392E35FF" w14:textId="52D581C3"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Answers to questions or instructions show a very limited understanding of ideas and concepts in the texts. </w:t>
            </w:r>
          </w:p>
        </w:tc>
        <w:tc>
          <w:tcPr>
            <w:tcW w:w="2601" w:type="dxa"/>
          </w:tcPr>
          <w:p w14:paraId="3CDA3BBF" w14:textId="2211A258"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Answers to questions or instructions show some understanding of ideas and concepts in the texts. </w:t>
            </w:r>
          </w:p>
        </w:tc>
        <w:tc>
          <w:tcPr>
            <w:tcW w:w="2601" w:type="dxa"/>
          </w:tcPr>
          <w:p w14:paraId="1B32EC80" w14:textId="6F923A19"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Answers to questions or instructions show a general understanding of ideas and concepts in the texts. </w:t>
            </w:r>
          </w:p>
        </w:tc>
        <w:tc>
          <w:tcPr>
            <w:tcW w:w="2601" w:type="dxa"/>
          </w:tcPr>
          <w:p w14:paraId="0BA7A360" w14:textId="3F96415F"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Answers to questions or instructions show a clear understanding of ideas and concepts in the texts. </w:t>
            </w:r>
          </w:p>
        </w:tc>
        <w:tc>
          <w:tcPr>
            <w:tcW w:w="2602" w:type="dxa"/>
          </w:tcPr>
          <w:p w14:paraId="3933482E" w14:textId="545EE787"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Answers to questions or instructions show a comprehensive understanding of ideas and concepts in the texts. </w:t>
            </w:r>
          </w:p>
        </w:tc>
      </w:tr>
      <w:tr w:rsidR="00F94190" w:rsidRPr="00242AC0" w14:paraId="5818D3DD" w14:textId="77777777" w:rsidTr="00FA2052">
        <w:tc>
          <w:tcPr>
            <w:tcW w:w="2122" w:type="dxa"/>
            <w:vMerge/>
            <w:vAlign w:val="center"/>
          </w:tcPr>
          <w:p w14:paraId="5E633015" w14:textId="77777777" w:rsidR="00F94190" w:rsidRPr="00242AC0" w:rsidRDefault="00F94190" w:rsidP="00F94190">
            <w:pPr>
              <w:rPr>
                <w:sz w:val="20"/>
                <w:szCs w:val="20"/>
              </w:rPr>
            </w:pPr>
          </w:p>
        </w:tc>
        <w:tc>
          <w:tcPr>
            <w:tcW w:w="2601" w:type="dxa"/>
          </w:tcPr>
          <w:p w14:paraId="1E38705F" w14:textId="3925FE41"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show a very limited ability to distinguish different registers and stylistic features in the texts</w:t>
            </w:r>
          </w:p>
        </w:tc>
        <w:tc>
          <w:tcPr>
            <w:tcW w:w="2601" w:type="dxa"/>
          </w:tcPr>
          <w:p w14:paraId="763B9EB6" w14:textId="36296A14"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Responses show some ability to distinguish different registers and stylistic features in the texts </w:t>
            </w:r>
          </w:p>
        </w:tc>
        <w:tc>
          <w:tcPr>
            <w:tcW w:w="2601" w:type="dxa"/>
          </w:tcPr>
          <w:p w14:paraId="6844A0C7" w14:textId="776D935C"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show a general ability to distinguish different registers and stylistic features in the texts</w:t>
            </w:r>
          </w:p>
        </w:tc>
        <w:tc>
          <w:tcPr>
            <w:tcW w:w="2601" w:type="dxa"/>
          </w:tcPr>
          <w:p w14:paraId="2BD8EB74" w14:textId="42B5D95C"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show a clear ability to distinguish different registers and stylistic features in the texts</w:t>
            </w:r>
          </w:p>
        </w:tc>
        <w:tc>
          <w:tcPr>
            <w:tcW w:w="2602" w:type="dxa"/>
          </w:tcPr>
          <w:p w14:paraId="3BCD8FF7" w14:textId="6F012A62"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Responses distinguish different registers and stylistic features in the texts in an effective way. </w:t>
            </w:r>
          </w:p>
        </w:tc>
      </w:tr>
      <w:tr w:rsidR="00F94190" w:rsidRPr="00242AC0" w14:paraId="4E081013" w14:textId="77777777" w:rsidTr="00FA2052">
        <w:tc>
          <w:tcPr>
            <w:tcW w:w="2122" w:type="dxa"/>
            <w:vMerge/>
            <w:vAlign w:val="center"/>
          </w:tcPr>
          <w:p w14:paraId="4B84BD05" w14:textId="77777777" w:rsidR="00F94190" w:rsidRPr="00242AC0" w:rsidRDefault="00F94190" w:rsidP="00F94190">
            <w:pPr>
              <w:rPr>
                <w:sz w:val="20"/>
                <w:szCs w:val="20"/>
              </w:rPr>
            </w:pPr>
          </w:p>
        </w:tc>
        <w:tc>
          <w:tcPr>
            <w:tcW w:w="2601" w:type="dxa"/>
          </w:tcPr>
          <w:p w14:paraId="3E544CB2" w14:textId="16A58150"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show a very limited recognition of speakers’ intentions, attitudes and perspectives.</w:t>
            </w:r>
          </w:p>
        </w:tc>
        <w:tc>
          <w:tcPr>
            <w:tcW w:w="2601" w:type="dxa"/>
          </w:tcPr>
          <w:p w14:paraId="430F2760" w14:textId="564BA314"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show some capacity to recognise speakers’ intentions, attitudes and perspectives.</w:t>
            </w:r>
          </w:p>
        </w:tc>
        <w:tc>
          <w:tcPr>
            <w:tcW w:w="2601" w:type="dxa"/>
          </w:tcPr>
          <w:p w14:paraId="37665821" w14:textId="7F6C715B"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show a sound capacity to recognise speakers’ intentions, attitudes and perspectives.</w:t>
            </w:r>
          </w:p>
        </w:tc>
        <w:tc>
          <w:tcPr>
            <w:tcW w:w="2601" w:type="dxa"/>
          </w:tcPr>
          <w:p w14:paraId="6C4FC40D" w14:textId="53BE3E1E"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show an effective capacity to recognise speakers’ intentions, attitudes and perspectives.</w:t>
            </w:r>
          </w:p>
        </w:tc>
        <w:tc>
          <w:tcPr>
            <w:tcW w:w="2602" w:type="dxa"/>
          </w:tcPr>
          <w:p w14:paraId="4B210D4D" w14:textId="7CF22491"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show a highly effective capacity to recognise speakers’ intentions, attitudes and perspectives.</w:t>
            </w:r>
          </w:p>
        </w:tc>
      </w:tr>
      <w:tr w:rsidR="00F94190" w:rsidRPr="00242AC0" w14:paraId="2967C222" w14:textId="77777777" w:rsidTr="00FA2052">
        <w:tc>
          <w:tcPr>
            <w:tcW w:w="2122" w:type="dxa"/>
            <w:vMerge/>
            <w:vAlign w:val="center"/>
          </w:tcPr>
          <w:p w14:paraId="265D7F39" w14:textId="77777777" w:rsidR="00F94190" w:rsidRPr="00242AC0" w:rsidRDefault="00F94190" w:rsidP="00F94190">
            <w:pPr>
              <w:rPr>
                <w:sz w:val="20"/>
                <w:szCs w:val="20"/>
              </w:rPr>
            </w:pPr>
          </w:p>
        </w:tc>
        <w:tc>
          <w:tcPr>
            <w:tcW w:w="2601" w:type="dxa"/>
          </w:tcPr>
          <w:p w14:paraId="6BE66AC5" w14:textId="556284D9"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utilise a very narrow selection of material from the texts. Responses show a very limited ability to interpret and analyse. Ideas and information from the texts are not summarised or synthesised, and some responses may not be relevant.</w:t>
            </w:r>
          </w:p>
        </w:tc>
        <w:tc>
          <w:tcPr>
            <w:tcW w:w="2601" w:type="dxa"/>
          </w:tcPr>
          <w:p w14:paraId="019B0932" w14:textId="7CAD70C0"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Responses utilise a narrow selection of material from the texts, some of which is relevant. Responses show some ability to interpret and analyse. Ideas and information from the texts is summarised and synthesized to a superficial level. </w:t>
            </w:r>
          </w:p>
        </w:tc>
        <w:tc>
          <w:tcPr>
            <w:tcW w:w="2601" w:type="dxa"/>
          </w:tcPr>
          <w:p w14:paraId="33BC7FEF" w14:textId="2C33E67E"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select and extract the material from the texts to a satisfactory level. Responses show an ability to interpret and analyse. There is a summary and synthesis of relevant ideas and information from the texts.</w:t>
            </w:r>
          </w:p>
        </w:tc>
        <w:tc>
          <w:tcPr>
            <w:tcW w:w="2601" w:type="dxa"/>
          </w:tcPr>
          <w:p w14:paraId="6184B337" w14:textId="49880E64"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select and extract  relevant material from the texts effectively. Responses show a broad interpretation and analysis. There is a logical and coherent summary and synthesis of relevant ideas and information from the texts.</w:t>
            </w:r>
          </w:p>
        </w:tc>
        <w:tc>
          <w:tcPr>
            <w:tcW w:w="2602" w:type="dxa"/>
          </w:tcPr>
          <w:p w14:paraId="3ADC1D95" w14:textId="3539E983"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Responses show a highly effective selection and utilisation of relevant material from the texts. Responses show an in-depth interpretation and analysis. There is a coherent and sophisticated summary and synthesis of relevant ideas and information from the texts. </w:t>
            </w:r>
          </w:p>
        </w:tc>
      </w:tr>
    </w:tbl>
    <w:p w14:paraId="3E37650D" w14:textId="77777777" w:rsidR="00F94190" w:rsidRDefault="00F94190">
      <w:r>
        <w:br w:type="page"/>
      </w:r>
    </w:p>
    <w:tbl>
      <w:tblPr>
        <w:tblStyle w:val="TableGrid"/>
        <w:tblW w:w="0" w:type="auto"/>
        <w:tblLook w:val="04A0" w:firstRow="1" w:lastRow="0" w:firstColumn="1" w:lastColumn="0" w:noHBand="0" w:noVBand="1"/>
      </w:tblPr>
      <w:tblGrid>
        <w:gridCol w:w="2122"/>
        <w:gridCol w:w="2601"/>
        <w:gridCol w:w="2601"/>
        <w:gridCol w:w="2601"/>
        <w:gridCol w:w="2601"/>
        <w:gridCol w:w="2602"/>
      </w:tblGrid>
      <w:tr w:rsidR="00F94190" w:rsidRPr="00242AC0" w14:paraId="03F4D11C" w14:textId="77777777" w:rsidTr="00FA2052">
        <w:tc>
          <w:tcPr>
            <w:tcW w:w="2122" w:type="dxa"/>
            <w:vAlign w:val="center"/>
          </w:tcPr>
          <w:p w14:paraId="66306A53" w14:textId="2551625E" w:rsidR="00F94190" w:rsidRPr="00242AC0" w:rsidRDefault="00F94190" w:rsidP="00F94190">
            <w:pPr>
              <w:rPr>
                <w:sz w:val="20"/>
                <w:szCs w:val="20"/>
              </w:rPr>
            </w:pPr>
          </w:p>
        </w:tc>
        <w:tc>
          <w:tcPr>
            <w:tcW w:w="2601" w:type="dxa"/>
          </w:tcPr>
          <w:p w14:paraId="6A6BD26F" w14:textId="764F82D1"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Responses convey very limited meaning, and show very limited accuracy and appropriateness in the language. Many language inaccuracies impede meaning. </w:t>
            </w:r>
          </w:p>
        </w:tc>
        <w:tc>
          <w:tcPr>
            <w:tcW w:w="2601" w:type="dxa"/>
          </w:tcPr>
          <w:p w14:paraId="4574D5D3" w14:textId="635A9378"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Responses convey some meaning, and show limited accuracy and appropriateness in the language. Responses lack clarity and may impede meaning. </w:t>
            </w:r>
          </w:p>
        </w:tc>
        <w:tc>
          <w:tcPr>
            <w:tcW w:w="2601" w:type="dxa"/>
          </w:tcPr>
          <w:p w14:paraId="2E3BCFE7" w14:textId="24D85310"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 xml:space="preserve">Responses convey meaning to some effect, and show some accuracy and appropriateness in the language. Meaning is expressed with clarity, although there may be some inaccuracies. </w:t>
            </w:r>
          </w:p>
        </w:tc>
        <w:tc>
          <w:tcPr>
            <w:tcW w:w="2601" w:type="dxa"/>
          </w:tcPr>
          <w:p w14:paraId="47A39900" w14:textId="19F758F1"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convey meaning effectively and demonstrate accuracy and appropriateness in the language. Meaning is expressed with a high level of clarity, although there may be minor inaccuracies.</w:t>
            </w:r>
          </w:p>
        </w:tc>
        <w:tc>
          <w:tcPr>
            <w:tcW w:w="2602" w:type="dxa"/>
          </w:tcPr>
          <w:p w14:paraId="6A3164CC" w14:textId="411BDE02" w:rsidR="00F94190" w:rsidRPr="00F94190" w:rsidRDefault="00F94190" w:rsidP="00F94190">
            <w:pPr>
              <w:spacing w:before="120" w:after="120"/>
              <w:rPr>
                <w:rFonts w:ascii="Arial Narrow" w:hAnsi="Arial Narrow"/>
                <w:sz w:val="20"/>
                <w:szCs w:val="20"/>
              </w:rPr>
            </w:pPr>
            <w:r w:rsidRPr="00F94190">
              <w:rPr>
                <w:rFonts w:ascii="Arial Narrow" w:hAnsi="Arial Narrow"/>
                <w:sz w:val="20"/>
                <w:szCs w:val="20"/>
              </w:rPr>
              <w:t>Responses convey meaning in a highly effective manner and demonstrate a very high level of accuracy and appropriateness in the language. Meaning is expressed with a very high level of clarity</w:t>
            </w:r>
            <w:r w:rsidRPr="00F94190">
              <w:rPr>
                <w:rFonts w:ascii="Arial Narrow" w:hAnsi="Arial Narrow"/>
                <w:color w:val="FF0000"/>
                <w:sz w:val="20"/>
                <w:szCs w:val="20"/>
              </w:rPr>
              <w:t>.</w:t>
            </w:r>
          </w:p>
        </w:tc>
      </w:tr>
    </w:tbl>
    <w:p w14:paraId="0F50D8BC" w14:textId="2F97C4BF" w:rsidR="00C53263" w:rsidRDefault="00C53263" w:rsidP="008D74EF">
      <w:pPr>
        <w:pStyle w:val="VCAAfigures"/>
        <w:spacing w:before="0"/>
        <w:jc w:val="left"/>
      </w:pPr>
    </w:p>
    <w:p w14:paraId="574A2294" w14:textId="0F2BCEAE" w:rsidR="00443A55" w:rsidRPr="00473ED7" w:rsidRDefault="00443A55" w:rsidP="00443A55">
      <w:pPr>
        <w:spacing w:after="120" w:line="240" w:lineRule="auto"/>
        <w:rPr>
          <w:rFonts w:cs="Arial"/>
          <w:sz w:val="20"/>
          <w:szCs w:val="20"/>
        </w:rPr>
      </w:pPr>
      <w:r w:rsidRPr="00473ED7">
        <w:rPr>
          <w:rFonts w:cs="Arial"/>
          <w:sz w:val="20"/>
          <w:szCs w:val="20"/>
        </w:rPr>
        <w:t xml:space="preserve">KEY to marking scale based on the Outcome contributing </w:t>
      </w:r>
      <w:r w:rsidR="00F94190" w:rsidRPr="00473ED7">
        <w:rPr>
          <w:rFonts w:cs="Arial"/>
          <w:sz w:val="20"/>
          <w:szCs w:val="20"/>
        </w:rPr>
        <w:t>2</w:t>
      </w:r>
      <w:r w:rsidR="00FA2052" w:rsidRPr="00473ED7">
        <w:rPr>
          <w:rFonts w:cs="Arial"/>
          <w:sz w:val="20"/>
          <w:szCs w:val="20"/>
        </w:rPr>
        <w:t>0</w:t>
      </w:r>
      <w:r w:rsidRPr="00473ED7">
        <w:rPr>
          <w:rFonts w:cs="Arial"/>
          <w:sz w:val="20"/>
          <w:szCs w:val="20"/>
        </w:rPr>
        <w:t xml:space="preserve"> marks</w:t>
      </w:r>
    </w:p>
    <w:tbl>
      <w:tblPr>
        <w:tblStyle w:val="TableGrid"/>
        <w:tblW w:w="0" w:type="auto"/>
        <w:tblLook w:val="04A0" w:firstRow="1" w:lastRow="0" w:firstColumn="1" w:lastColumn="0" w:noHBand="0" w:noVBand="1"/>
      </w:tblPr>
      <w:tblGrid>
        <w:gridCol w:w="2062"/>
        <w:gridCol w:w="2063"/>
        <w:gridCol w:w="2063"/>
        <w:gridCol w:w="2063"/>
        <w:gridCol w:w="2063"/>
      </w:tblGrid>
      <w:tr w:rsidR="00F94190" w:rsidRPr="00473ED7" w14:paraId="260AC1DE" w14:textId="77777777" w:rsidTr="00615378">
        <w:tc>
          <w:tcPr>
            <w:tcW w:w="2062" w:type="dxa"/>
            <w:vAlign w:val="center"/>
          </w:tcPr>
          <w:p w14:paraId="521D7622" w14:textId="33B77ACD" w:rsidR="00F94190" w:rsidRPr="00473ED7" w:rsidRDefault="00F94190" w:rsidP="00F94190">
            <w:pPr>
              <w:tabs>
                <w:tab w:val="left" w:pos="2268"/>
                <w:tab w:val="left" w:pos="4536"/>
                <w:tab w:val="left" w:pos="6765"/>
                <w:tab w:val="left" w:pos="9060"/>
              </w:tabs>
              <w:spacing w:before="120" w:after="120"/>
              <w:jc w:val="center"/>
              <w:rPr>
                <w:sz w:val="20"/>
                <w:szCs w:val="20"/>
              </w:rPr>
            </w:pPr>
            <w:r w:rsidRPr="00473ED7">
              <w:rPr>
                <w:sz w:val="20"/>
                <w:szCs w:val="20"/>
              </w:rPr>
              <w:t>Very Low 1–4</w:t>
            </w:r>
          </w:p>
        </w:tc>
        <w:tc>
          <w:tcPr>
            <w:tcW w:w="2063" w:type="dxa"/>
            <w:vAlign w:val="center"/>
          </w:tcPr>
          <w:p w14:paraId="4F49E58B" w14:textId="048F0735" w:rsidR="00F94190" w:rsidRPr="00473ED7" w:rsidRDefault="00F94190" w:rsidP="00F94190">
            <w:pPr>
              <w:tabs>
                <w:tab w:val="left" w:pos="2268"/>
                <w:tab w:val="left" w:pos="4536"/>
                <w:tab w:val="left" w:pos="6765"/>
                <w:tab w:val="left" w:pos="9060"/>
              </w:tabs>
              <w:spacing w:before="120" w:after="120"/>
              <w:jc w:val="center"/>
              <w:rPr>
                <w:sz w:val="20"/>
                <w:szCs w:val="20"/>
              </w:rPr>
            </w:pPr>
            <w:r w:rsidRPr="00473ED7">
              <w:rPr>
                <w:sz w:val="20"/>
                <w:szCs w:val="20"/>
              </w:rPr>
              <w:t>Low 5–8</w:t>
            </w:r>
          </w:p>
        </w:tc>
        <w:tc>
          <w:tcPr>
            <w:tcW w:w="2063" w:type="dxa"/>
            <w:vAlign w:val="center"/>
          </w:tcPr>
          <w:p w14:paraId="60F7F49D" w14:textId="6915D7FB" w:rsidR="00F94190" w:rsidRPr="00473ED7" w:rsidRDefault="00F94190" w:rsidP="00F94190">
            <w:pPr>
              <w:tabs>
                <w:tab w:val="left" w:pos="2268"/>
                <w:tab w:val="left" w:pos="4536"/>
                <w:tab w:val="left" w:pos="6765"/>
                <w:tab w:val="left" w:pos="9060"/>
              </w:tabs>
              <w:spacing w:before="120" w:after="120"/>
              <w:jc w:val="center"/>
              <w:rPr>
                <w:sz w:val="20"/>
                <w:szCs w:val="20"/>
              </w:rPr>
            </w:pPr>
            <w:r w:rsidRPr="00473ED7">
              <w:rPr>
                <w:sz w:val="20"/>
                <w:szCs w:val="20"/>
              </w:rPr>
              <w:t>Medium 9–12</w:t>
            </w:r>
          </w:p>
        </w:tc>
        <w:tc>
          <w:tcPr>
            <w:tcW w:w="2063" w:type="dxa"/>
            <w:vAlign w:val="center"/>
          </w:tcPr>
          <w:p w14:paraId="23701330" w14:textId="07F01F32" w:rsidR="00F94190" w:rsidRPr="00473ED7" w:rsidRDefault="00F94190" w:rsidP="00F94190">
            <w:pPr>
              <w:tabs>
                <w:tab w:val="left" w:pos="2268"/>
                <w:tab w:val="left" w:pos="4536"/>
                <w:tab w:val="left" w:pos="6765"/>
                <w:tab w:val="left" w:pos="9060"/>
              </w:tabs>
              <w:spacing w:before="120" w:after="120"/>
              <w:jc w:val="center"/>
              <w:rPr>
                <w:sz w:val="20"/>
                <w:szCs w:val="20"/>
              </w:rPr>
            </w:pPr>
            <w:r w:rsidRPr="00473ED7">
              <w:rPr>
                <w:sz w:val="20"/>
                <w:szCs w:val="20"/>
              </w:rPr>
              <w:t>High 13–16</w:t>
            </w:r>
          </w:p>
        </w:tc>
        <w:tc>
          <w:tcPr>
            <w:tcW w:w="2063" w:type="dxa"/>
            <w:vAlign w:val="center"/>
          </w:tcPr>
          <w:p w14:paraId="1D9CDE59" w14:textId="1551BC10" w:rsidR="00F94190" w:rsidRPr="00473ED7" w:rsidRDefault="00F94190" w:rsidP="00F94190">
            <w:pPr>
              <w:tabs>
                <w:tab w:val="left" w:pos="2268"/>
                <w:tab w:val="left" w:pos="4536"/>
                <w:tab w:val="left" w:pos="6765"/>
                <w:tab w:val="left" w:pos="9060"/>
              </w:tabs>
              <w:spacing w:before="120" w:after="120"/>
              <w:jc w:val="center"/>
              <w:rPr>
                <w:sz w:val="20"/>
                <w:szCs w:val="20"/>
              </w:rPr>
            </w:pPr>
            <w:r w:rsidRPr="00473ED7">
              <w:rPr>
                <w:sz w:val="20"/>
                <w:szCs w:val="20"/>
              </w:rPr>
              <w:t>Very High 17–20</w:t>
            </w:r>
          </w:p>
        </w:tc>
      </w:tr>
    </w:tbl>
    <w:p w14:paraId="6C639792" w14:textId="1EBF190E" w:rsidR="008D74EF" w:rsidRDefault="008D74EF" w:rsidP="008D74EF">
      <w:pPr>
        <w:pStyle w:val="VCAAfigures"/>
        <w:jc w:val="left"/>
      </w:pPr>
      <w:bookmarkStart w:id="1" w:name="_GoBack"/>
      <w:bookmarkEnd w:id="1"/>
    </w:p>
    <w:sectPr w:rsidR="008D74EF" w:rsidSect="008D74EF">
      <w:headerReference w:type="default" r:id="rId11"/>
      <w:footerReference w:type="default" r:id="rId12"/>
      <w:headerReference w:type="first" r:id="rId13"/>
      <w:footerReference w:type="first" r:id="rId14"/>
      <w:type w:val="continuous"/>
      <w:pgSz w:w="16840" w:h="11907" w:orient="landscape" w:code="9"/>
      <w:pgMar w:top="1440" w:right="567" w:bottom="1117" w:left="851" w:header="284"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D8F9" w14:textId="77777777" w:rsidR="008D74EF" w:rsidRDefault="008D74EF" w:rsidP="00304EA1">
      <w:pPr>
        <w:spacing w:after="0" w:line="240" w:lineRule="auto"/>
      </w:pPr>
      <w:r>
        <w:separator/>
      </w:r>
    </w:p>
  </w:endnote>
  <w:endnote w:type="continuationSeparator" w:id="0">
    <w:p w14:paraId="3270DF94" w14:textId="77777777" w:rsidR="008D74EF" w:rsidRDefault="008D74E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67" w:type="dxa"/>
      <w:tblLook w:val="04A0" w:firstRow="1" w:lastRow="0" w:firstColumn="1" w:lastColumn="0" w:noHBand="0" w:noVBand="1"/>
    </w:tblPr>
    <w:tblGrid>
      <w:gridCol w:w="5141"/>
      <w:gridCol w:w="5142"/>
      <w:gridCol w:w="5139"/>
    </w:tblGrid>
    <w:tr w:rsidR="008D74EF" w:rsidRPr="00D06414" w14:paraId="6474FD3B" w14:textId="77777777" w:rsidTr="00BB3BAB">
      <w:trPr>
        <w:trHeight w:val="476"/>
      </w:trPr>
      <w:tc>
        <w:tcPr>
          <w:tcW w:w="1667" w:type="pct"/>
          <w:tcMar>
            <w:left w:w="0" w:type="dxa"/>
            <w:right w:w="0" w:type="dxa"/>
          </w:tcMar>
        </w:tcPr>
        <w:p w14:paraId="0EC15F2D" w14:textId="4C4AAF0A" w:rsidR="008D74EF" w:rsidRPr="00D06414" w:rsidRDefault="008D74EF"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64384" behindDoc="1" locked="1" layoutInCell="1" allowOverlap="1" wp14:anchorId="486E1E7B" wp14:editId="62AAB7C3">
                <wp:simplePos x="0" y="0"/>
                <wp:positionH relativeFrom="column">
                  <wp:posOffset>-1250315</wp:posOffset>
                </wp:positionH>
                <wp:positionV relativeFrom="page">
                  <wp:posOffset>-133985</wp:posOffset>
                </wp:positionV>
                <wp:extent cx="11421745" cy="586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2B6CFA85" w14:textId="7065681A" w:rsidR="008D74EF" w:rsidRPr="00D06414" w:rsidRDefault="008D74EF"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6B8C81FD" w:rsidR="008D74EF" w:rsidRPr="00D06414" w:rsidRDefault="008D74EF"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473ED7">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8D74EF" w:rsidRPr="00D06414" w:rsidRDefault="008D74EF"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619835AB">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6" w:type="pct"/>
      <w:tblInd w:w="567" w:type="dxa"/>
      <w:tblLook w:val="04A0" w:firstRow="1" w:lastRow="0" w:firstColumn="1" w:lastColumn="0" w:noHBand="0" w:noVBand="1"/>
    </w:tblPr>
    <w:tblGrid>
      <w:gridCol w:w="4236"/>
      <w:gridCol w:w="5141"/>
      <w:gridCol w:w="5138"/>
    </w:tblGrid>
    <w:tr w:rsidR="008D74EF" w:rsidRPr="00D06414" w14:paraId="36A4ADC1" w14:textId="77777777" w:rsidTr="000F5AAF">
      <w:tc>
        <w:tcPr>
          <w:tcW w:w="1459" w:type="pct"/>
          <w:tcMar>
            <w:left w:w="0" w:type="dxa"/>
            <w:right w:w="0" w:type="dxa"/>
          </w:tcMar>
        </w:tcPr>
        <w:p w14:paraId="74DB1FC2" w14:textId="5F3DD893" w:rsidR="008D74EF" w:rsidRPr="00D06414" w:rsidRDefault="008D74EF"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8D74EF" w:rsidRPr="00D06414" w:rsidRDefault="008D74EF"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8D74EF" w:rsidRPr="00D06414" w:rsidRDefault="008D74E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8D74EF" w:rsidRPr="00D06414" w:rsidRDefault="008D74EF"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2336" behindDoc="1" locked="1" layoutInCell="1" allowOverlap="1" wp14:anchorId="2F339E16" wp14:editId="700A1E15">
          <wp:simplePos x="0" y="0"/>
          <wp:positionH relativeFrom="page">
            <wp:posOffset>12065</wp:posOffset>
          </wp:positionH>
          <wp:positionV relativeFrom="bottomMargin">
            <wp:posOffset>148590</wp:posOffset>
          </wp:positionV>
          <wp:extent cx="10680065" cy="5486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7F40" w14:textId="77777777" w:rsidR="008D74EF" w:rsidRDefault="008D74EF" w:rsidP="00304EA1">
      <w:pPr>
        <w:spacing w:after="0" w:line="240" w:lineRule="auto"/>
      </w:pPr>
      <w:r>
        <w:separator/>
      </w:r>
    </w:p>
  </w:footnote>
  <w:footnote w:type="continuationSeparator" w:id="0">
    <w:p w14:paraId="13540A36" w14:textId="77777777" w:rsidR="008D74EF" w:rsidRDefault="008D74E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1396" w14:textId="1AB40218" w:rsidR="008D74EF" w:rsidRPr="00D86DE4" w:rsidRDefault="00473ED7"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2E78F3">
          <w:rPr>
            <w:color w:val="999999" w:themeColor="accent2"/>
          </w:rPr>
          <w:t>VCE First Languages: Performance descriptors</w:t>
        </w:r>
      </w:sdtContent>
    </w:sdt>
    <w:r w:rsidR="008D74E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6D50" w14:textId="512449EE" w:rsidR="008D74EF" w:rsidRPr="009370BC" w:rsidRDefault="008D74EF" w:rsidP="00970580">
    <w:pPr>
      <w:spacing w:after="0"/>
      <w:ind w:right="-142"/>
      <w:jc w:val="right"/>
    </w:pPr>
    <w:r>
      <w:rPr>
        <w:noProof/>
        <w:lang w:val="en-AU" w:eastAsia="ja-JP"/>
      </w:rPr>
      <w:drawing>
        <wp:anchor distT="0" distB="0" distL="114300" distR="114300" simplePos="0" relativeHeight="251660288" behindDoc="1" locked="1" layoutInCell="1" allowOverlap="1" wp14:anchorId="274FC993" wp14:editId="2534AF89">
          <wp:simplePos x="0" y="0"/>
          <wp:positionH relativeFrom="page">
            <wp:align>left</wp:align>
          </wp:positionH>
          <wp:positionV relativeFrom="page">
            <wp:align>top</wp:align>
          </wp:positionV>
          <wp:extent cx="10686415" cy="706755"/>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10686415" cy="70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AB"/>
    <w:rsid w:val="00003885"/>
    <w:rsid w:val="0005780E"/>
    <w:rsid w:val="00060A23"/>
    <w:rsid w:val="00065CC6"/>
    <w:rsid w:val="000A71F7"/>
    <w:rsid w:val="000F09E4"/>
    <w:rsid w:val="000F16FD"/>
    <w:rsid w:val="000F5AAF"/>
    <w:rsid w:val="00143520"/>
    <w:rsid w:val="00153AD2"/>
    <w:rsid w:val="001779EA"/>
    <w:rsid w:val="001D3246"/>
    <w:rsid w:val="001E2AB9"/>
    <w:rsid w:val="002279BA"/>
    <w:rsid w:val="002329F3"/>
    <w:rsid w:val="00242AC0"/>
    <w:rsid w:val="00243F0D"/>
    <w:rsid w:val="00260767"/>
    <w:rsid w:val="002647BB"/>
    <w:rsid w:val="002754C1"/>
    <w:rsid w:val="002841C8"/>
    <w:rsid w:val="0028516B"/>
    <w:rsid w:val="002C6F90"/>
    <w:rsid w:val="002E4FB5"/>
    <w:rsid w:val="002E78F3"/>
    <w:rsid w:val="00302FB8"/>
    <w:rsid w:val="00304EA1"/>
    <w:rsid w:val="00311EFD"/>
    <w:rsid w:val="00313C4C"/>
    <w:rsid w:val="00314D81"/>
    <w:rsid w:val="00322FC6"/>
    <w:rsid w:val="0035293F"/>
    <w:rsid w:val="00391986"/>
    <w:rsid w:val="003A00B4"/>
    <w:rsid w:val="003C5E71"/>
    <w:rsid w:val="00417AA3"/>
    <w:rsid w:val="00425DFE"/>
    <w:rsid w:val="00434EDB"/>
    <w:rsid w:val="00440B32"/>
    <w:rsid w:val="00443A55"/>
    <w:rsid w:val="0046078D"/>
    <w:rsid w:val="00473ED7"/>
    <w:rsid w:val="00476B9F"/>
    <w:rsid w:val="00495C80"/>
    <w:rsid w:val="004A2ED8"/>
    <w:rsid w:val="004F5BDA"/>
    <w:rsid w:val="0051631E"/>
    <w:rsid w:val="00537A1F"/>
    <w:rsid w:val="00566029"/>
    <w:rsid w:val="0057429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D1B6D"/>
    <w:rsid w:val="00813C37"/>
    <w:rsid w:val="008154B5"/>
    <w:rsid w:val="00823962"/>
    <w:rsid w:val="00852719"/>
    <w:rsid w:val="00860115"/>
    <w:rsid w:val="0088783C"/>
    <w:rsid w:val="008D74EF"/>
    <w:rsid w:val="009370BC"/>
    <w:rsid w:val="00970580"/>
    <w:rsid w:val="0098739B"/>
    <w:rsid w:val="009B61E5"/>
    <w:rsid w:val="009D1E89"/>
    <w:rsid w:val="009E5707"/>
    <w:rsid w:val="00A17661"/>
    <w:rsid w:val="00A24B2D"/>
    <w:rsid w:val="00A40966"/>
    <w:rsid w:val="00A921E0"/>
    <w:rsid w:val="00A922F4"/>
    <w:rsid w:val="00A937FE"/>
    <w:rsid w:val="00AB6FD1"/>
    <w:rsid w:val="00AE5526"/>
    <w:rsid w:val="00AF051B"/>
    <w:rsid w:val="00B01578"/>
    <w:rsid w:val="00B0738F"/>
    <w:rsid w:val="00B13D3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77413"/>
    <w:rsid w:val="00D82759"/>
    <w:rsid w:val="00D86DE4"/>
    <w:rsid w:val="00DE1909"/>
    <w:rsid w:val="00DE51DB"/>
    <w:rsid w:val="00E23F1D"/>
    <w:rsid w:val="00E30E05"/>
    <w:rsid w:val="00E36361"/>
    <w:rsid w:val="00E538E6"/>
    <w:rsid w:val="00E55AE9"/>
    <w:rsid w:val="00EB0C84"/>
    <w:rsid w:val="00F105F6"/>
    <w:rsid w:val="00F17FDE"/>
    <w:rsid w:val="00F40D53"/>
    <w:rsid w:val="00F4525C"/>
    <w:rsid w:val="00F50D86"/>
    <w:rsid w:val="00F94190"/>
    <w:rsid w:val="00FA2052"/>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D2"/>
    <w:rsid w:val="00121312"/>
    <w:rsid w:val="009325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6BA5CA2-4911-4E42-813A-D99A4627AA28}"/>
</file>

<file path=customXml/itemProps4.xml><?xml version="1.0" encoding="utf-8"?>
<ds:datastoreItem xmlns:ds="http://schemas.openxmlformats.org/officeDocument/2006/customXml" ds:itemID="{860D5066-2123-4F77-AE7A-46C5E21F4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VCE First Languages: Performance descriptors</vt:lpstr>
    </vt:vector>
  </TitlesOfParts>
  <Manager/>
  <Company>Victorian Curriculum and Assessment Authority</Company>
  <LinksUpToDate>false</LinksUpToDate>
  <CharactersWithSpaces>3985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First Languages: Performance descriptors</dc:title>
  <dc:subject>VCE First Languages</dc:subject>
  <dc:creator>vcaa@education.vic.gov.au</dc:creator>
  <cp:keywords>chinese, japanese, korean, indonesian, vietnamese, first languages, performance descriptors, unit 3, outcome 2</cp:keywords>
  <cp:lastModifiedBy>Julie Coleman</cp:lastModifiedBy>
  <cp:revision>5</cp:revision>
  <cp:lastPrinted>2015-05-15T02:36:00Z</cp:lastPrinted>
  <dcterms:created xsi:type="dcterms:W3CDTF">2022-02-16T03:09:00Z</dcterms:created>
  <dcterms:modified xsi:type="dcterms:W3CDTF">2022-02-16T03:22:00Z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