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F6C4BB" w14:textId="799CA682" w:rsidR="00F4525C" w:rsidRDefault="00305CE0" w:rsidP="009B61E5">
      <w:pPr>
        <w:pStyle w:val="VCAADocumenttitle"/>
      </w:pPr>
      <w:sdt>
        <w:sdtPr>
          <w:alias w:val="Title"/>
          <w:tag w:val=""/>
          <w:id w:val="-810398239"/>
          <w:placeholder>
            <w:docPart w:val="A8C39B39ED9FB94FBDEAEED12CD16B8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653842">
            <w:t>VCE Accounting Study Design 2019–202</w:t>
          </w:r>
          <w:r>
            <w:t>4</w:t>
          </w:r>
        </w:sdtContent>
      </w:sdt>
    </w:p>
    <w:p w14:paraId="7D984E1F" w14:textId="6B504C10" w:rsidR="00B62480" w:rsidRPr="00823962" w:rsidRDefault="00653842" w:rsidP="0060312C">
      <w:pPr>
        <w:pStyle w:val="VCAAHeading3"/>
      </w:pPr>
      <w:bookmarkStart w:id="0" w:name="TemplateOverview"/>
      <w:bookmarkEnd w:id="0"/>
      <w:r>
        <w:t>Updates</w:t>
      </w:r>
      <w:r w:rsidR="000F533A">
        <w:t xml:space="preserve"> effective </w:t>
      </w:r>
      <w:r w:rsidR="008D11C9">
        <w:t>1</w:t>
      </w:r>
      <w:r w:rsidR="000F533A">
        <w:t>January 2020</w:t>
      </w:r>
    </w:p>
    <w:p w14:paraId="14754FBC" w14:textId="700E3F7A" w:rsidR="00653842" w:rsidRDefault="00653842" w:rsidP="0060312C">
      <w:pPr>
        <w:pStyle w:val="VCAAHeading3"/>
        <w:spacing w:before="120"/>
        <w:rPr>
          <w:color w:val="000000" w:themeColor="text1"/>
          <w:sz w:val="20"/>
          <w:szCs w:val="22"/>
        </w:rPr>
      </w:pPr>
      <w:r w:rsidRPr="00653842">
        <w:rPr>
          <w:color w:val="000000" w:themeColor="text1"/>
          <w:sz w:val="20"/>
          <w:szCs w:val="22"/>
        </w:rPr>
        <w:t>Listed below are amendments to the VCE A</w:t>
      </w:r>
      <w:r w:rsidR="003A5DF5">
        <w:rPr>
          <w:color w:val="000000" w:themeColor="text1"/>
          <w:sz w:val="20"/>
          <w:szCs w:val="22"/>
        </w:rPr>
        <w:t>ccounting</w:t>
      </w:r>
      <w:r w:rsidRPr="00653842">
        <w:rPr>
          <w:color w:val="000000" w:themeColor="text1"/>
          <w:sz w:val="20"/>
          <w:szCs w:val="22"/>
        </w:rPr>
        <w:t xml:space="preserve"> Study Design: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8527"/>
      </w:tblGrid>
      <w:tr w:rsidR="00653842" w14:paraId="7C926778" w14:textId="77777777" w:rsidTr="003A5DF5">
        <w:tc>
          <w:tcPr>
            <w:tcW w:w="577" w:type="pct"/>
          </w:tcPr>
          <w:p w14:paraId="57A03FD4" w14:textId="368F0B3E" w:rsidR="00653842" w:rsidRDefault="00653842" w:rsidP="00653842">
            <w:pPr>
              <w:pStyle w:val="VCAAbody"/>
            </w:pPr>
            <w:r>
              <w:t>Page 10</w:t>
            </w:r>
          </w:p>
        </w:tc>
        <w:tc>
          <w:tcPr>
            <w:tcW w:w="4423" w:type="pct"/>
          </w:tcPr>
          <w:p w14:paraId="41163138" w14:textId="4853CEFF" w:rsidR="00653842" w:rsidRPr="00766B6C" w:rsidRDefault="00653842" w:rsidP="00653842">
            <w:pPr>
              <w:pStyle w:val="VCAAbody"/>
            </w:pPr>
            <w:r>
              <w:t xml:space="preserve">Updated </w:t>
            </w:r>
            <w:r w:rsidR="00766B6C">
              <w:t xml:space="preserve">text </w:t>
            </w:r>
            <w:r w:rsidR="003A5DF5">
              <w:t xml:space="preserve">for ‘Asset turnover’ </w:t>
            </w:r>
            <w:r w:rsidR="00766B6C">
              <w:t xml:space="preserve">in table for </w:t>
            </w:r>
            <w:r w:rsidR="00766B6C" w:rsidRPr="003A5DF5">
              <w:rPr>
                <w:i/>
              </w:rPr>
              <w:t>Financial Indicators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30"/>
              <w:gridCol w:w="2030"/>
              <w:gridCol w:w="2030"/>
              <w:gridCol w:w="2031"/>
            </w:tblGrid>
            <w:tr w:rsidR="00653842" w:rsidRPr="00653842" w14:paraId="41E7843E" w14:textId="77777777" w:rsidTr="00766B6C">
              <w:tc>
                <w:tcPr>
                  <w:tcW w:w="2030" w:type="dxa"/>
                </w:tcPr>
                <w:p w14:paraId="11ABFB95" w14:textId="77777777" w:rsidR="00653842" w:rsidRPr="00653842" w:rsidRDefault="00653842" w:rsidP="00653842">
                  <w:pPr>
                    <w:pStyle w:val="VCAAbody"/>
                    <w:rPr>
                      <w:b/>
                    </w:rPr>
                  </w:pPr>
                  <w:r w:rsidRPr="00653842">
                    <w:rPr>
                      <w:b/>
                    </w:rPr>
                    <w:t xml:space="preserve">Financial indicator </w:t>
                  </w:r>
                </w:p>
              </w:tc>
              <w:tc>
                <w:tcPr>
                  <w:tcW w:w="2030" w:type="dxa"/>
                </w:tcPr>
                <w:p w14:paraId="0DDF3C61" w14:textId="77777777" w:rsidR="00653842" w:rsidRPr="00653842" w:rsidRDefault="00653842" w:rsidP="00653842">
                  <w:pPr>
                    <w:pStyle w:val="VCAAbody"/>
                    <w:rPr>
                      <w:b/>
                    </w:rPr>
                  </w:pPr>
                  <w:r w:rsidRPr="00653842">
                    <w:rPr>
                      <w:b/>
                    </w:rPr>
                    <w:t>Calculation</w:t>
                  </w:r>
                </w:p>
              </w:tc>
              <w:tc>
                <w:tcPr>
                  <w:tcW w:w="2030" w:type="dxa"/>
                </w:tcPr>
                <w:p w14:paraId="481C0006" w14:textId="77777777" w:rsidR="00653842" w:rsidRPr="00653842" w:rsidRDefault="00653842" w:rsidP="00653842">
                  <w:pPr>
                    <w:pStyle w:val="VCAAbody"/>
                    <w:rPr>
                      <w:b/>
                    </w:rPr>
                  </w:pPr>
                  <w:r w:rsidRPr="00653842">
                    <w:rPr>
                      <w:b/>
                    </w:rPr>
                    <w:t>Expressed as</w:t>
                  </w:r>
                </w:p>
              </w:tc>
              <w:tc>
                <w:tcPr>
                  <w:tcW w:w="2031" w:type="dxa"/>
                </w:tcPr>
                <w:p w14:paraId="7539B527" w14:textId="77777777" w:rsidR="00653842" w:rsidRPr="00653842" w:rsidRDefault="00653842" w:rsidP="00653842">
                  <w:pPr>
                    <w:pStyle w:val="VCAAbody"/>
                    <w:rPr>
                      <w:b/>
                    </w:rPr>
                  </w:pPr>
                  <w:r w:rsidRPr="00653842">
                    <w:rPr>
                      <w:b/>
                    </w:rPr>
                    <w:t>Change/Trend</w:t>
                  </w:r>
                </w:p>
              </w:tc>
            </w:tr>
            <w:tr w:rsidR="003A5DF5" w:rsidRPr="00653842" w14:paraId="020CC4F3" w14:textId="77777777" w:rsidTr="00766B6C">
              <w:tc>
                <w:tcPr>
                  <w:tcW w:w="2030" w:type="dxa"/>
                </w:tcPr>
                <w:p w14:paraId="7691DF8E" w14:textId="77777777" w:rsidR="003A5DF5" w:rsidRDefault="003A5DF5" w:rsidP="003A5DF5">
                  <w:pPr>
                    <w:pStyle w:val="VCAAbody"/>
                    <w:spacing w:after="0"/>
                  </w:pPr>
                  <w:r w:rsidRPr="003A5DF5">
                    <w:t>Asset turnover</w:t>
                  </w:r>
                </w:p>
                <w:p w14:paraId="58472649" w14:textId="20624F88" w:rsidR="003A5DF5" w:rsidRPr="003A5DF5" w:rsidRDefault="003A5DF5" w:rsidP="003A5DF5">
                  <w:pPr>
                    <w:pStyle w:val="VCAAbody"/>
                    <w:spacing w:before="0"/>
                  </w:pPr>
                </w:p>
              </w:tc>
              <w:tc>
                <w:tcPr>
                  <w:tcW w:w="2030" w:type="dxa"/>
                </w:tcPr>
                <w:p w14:paraId="48F2E7E8" w14:textId="77777777" w:rsidR="003A5DF5" w:rsidRPr="003A5DF5" w:rsidRDefault="003A5DF5" w:rsidP="003A5DF5">
                  <w:pPr>
                    <w:pStyle w:val="VCAAbody"/>
                    <w:spacing w:after="0"/>
                    <w:rPr>
                      <w:u w:val="single"/>
                    </w:rPr>
                  </w:pPr>
                  <w:r w:rsidRPr="003A5DF5">
                    <w:rPr>
                      <w:u w:val="single"/>
                    </w:rPr>
                    <w:t>Net sales</w:t>
                  </w:r>
                </w:p>
                <w:p w14:paraId="3C94B12A" w14:textId="29B78B25" w:rsidR="003A5DF5" w:rsidRPr="003A5DF5" w:rsidRDefault="003A5DF5" w:rsidP="003A5DF5">
                  <w:pPr>
                    <w:pStyle w:val="VCAAbody"/>
                    <w:spacing w:before="0"/>
                  </w:pPr>
                  <w:r w:rsidRPr="003A5DF5">
                    <w:t>Average total assets</w:t>
                  </w:r>
                </w:p>
              </w:tc>
              <w:tc>
                <w:tcPr>
                  <w:tcW w:w="2030" w:type="dxa"/>
                </w:tcPr>
                <w:p w14:paraId="30CB1E8C" w14:textId="77777777" w:rsidR="003A5DF5" w:rsidRPr="003A5DF5" w:rsidRDefault="003A5DF5" w:rsidP="003A5DF5">
                  <w:pPr>
                    <w:pStyle w:val="VCAAbody"/>
                    <w:spacing w:after="0"/>
                    <w:rPr>
                      <w:strike/>
                      <w:color w:val="FF0000"/>
                    </w:rPr>
                  </w:pPr>
                  <w:r w:rsidRPr="003A5DF5">
                    <w:rPr>
                      <w:strike/>
                      <w:color w:val="FF0000"/>
                    </w:rPr>
                    <w:t>percentage</w:t>
                  </w:r>
                </w:p>
                <w:p w14:paraId="2F5D5F4B" w14:textId="7B5FAC4F" w:rsidR="003A5DF5" w:rsidRPr="00653842" w:rsidRDefault="003A5DF5" w:rsidP="003A5DF5">
                  <w:pPr>
                    <w:pStyle w:val="VCAAbody"/>
                    <w:spacing w:before="0"/>
                    <w:rPr>
                      <w:b/>
                    </w:rPr>
                  </w:pPr>
                  <w:r w:rsidRPr="003A5DF5">
                    <w:rPr>
                      <w:color w:val="FF0000"/>
                    </w:rPr>
                    <w:t>times per period</w:t>
                  </w:r>
                </w:p>
              </w:tc>
              <w:tc>
                <w:tcPr>
                  <w:tcW w:w="2031" w:type="dxa"/>
                </w:tcPr>
                <w:p w14:paraId="0BEB4CB3" w14:textId="77777777" w:rsidR="003A5DF5" w:rsidRPr="003A5DF5" w:rsidRDefault="003A5DF5" w:rsidP="003A5DF5">
                  <w:pPr>
                    <w:pStyle w:val="VCAAbody"/>
                    <w:spacing w:after="0"/>
                  </w:pPr>
                  <w:r w:rsidRPr="003A5DF5">
                    <w:t>faster or slower</w:t>
                  </w:r>
                </w:p>
                <w:p w14:paraId="2C1D7B37" w14:textId="43541661" w:rsidR="003A5DF5" w:rsidRPr="00653842" w:rsidRDefault="003A5DF5" w:rsidP="003A5DF5">
                  <w:pPr>
                    <w:pStyle w:val="VCAAbody"/>
                    <w:spacing w:before="0"/>
                    <w:rPr>
                      <w:b/>
                    </w:rPr>
                  </w:pPr>
                </w:p>
              </w:tc>
            </w:tr>
          </w:tbl>
          <w:p w14:paraId="39BD8F1E" w14:textId="7C0F297B" w:rsidR="00653842" w:rsidRDefault="00653842" w:rsidP="00653842">
            <w:pPr>
              <w:pStyle w:val="VCAAbody"/>
            </w:pPr>
          </w:p>
        </w:tc>
      </w:tr>
      <w:tr w:rsidR="00653842" w14:paraId="4B3CEBDD" w14:textId="77777777" w:rsidTr="003A5DF5">
        <w:tc>
          <w:tcPr>
            <w:tcW w:w="577" w:type="pct"/>
          </w:tcPr>
          <w:p w14:paraId="179850C5" w14:textId="28AF11AE" w:rsidR="00653842" w:rsidRDefault="00653842" w:rsidP="003A5DF5">
            <w:pPr>
              <w:pStyle w:val="VCAAbody"/>
              <w:spacing w:before="240"/>
            </w:pPr>
            <w:r>
              <w:t>Page 11</w:t>
            </w:r>
          </w:p>
        </w:tc>
        <w:tc>
          <w:tcPr>
            <w:tcW w:w="4423" w:type="pct"/>
          </w:tcPr>
          <w:p w14:paraId="31D698EF" w14:textId="099BAEC1" w:rsidR="00653842" w:rsidRPr="00FE69B5" w:rsidRDefault="00766B6C" w:rsidP="003A5DF5">
            <w:pPr>
              <w:pStyle w:val="VCAAbody"/>
              <w:spacing w:before="240"/>
            </w:pPr>
            <w:r>
              <w:t xml:space="preserve">Updated </w:t>
            </w:r>
            <w:r w:rsidR="00FE69B5">
              <w:t xml:space="preserve">text for </w:t>
            </w:r>
            <w:r w:rsidR="003A5DF5">
              <w:t>‘</w:t>
            </w:r>
            <w:r w:rsidR="00FE69B5">
              <w:t>Sales returns</w:t>
            </w:r>
            <w:r w:rsidR="003A5DF5">
              <w:t>’</w:t>
            </w:r>
            <w:r w:rsidR="00FE69B5">
              <w:t xml:space="preserve"> under heading </w:t>
            </w:r>
            <w:r w:rsidRPr="003A5DF5">
              <w:rPr>
                <w:i/>
              </w:rPr>
              <w:t>Cost assignment methods for inventory</w:t>
            </w:r>
            <w:r w:rsidR="0060312C">
              <w:rPr>
                <w:i/>
              </w:rPr>
              <w:t>;</w:t>
            </w:r>
            <w:r w:rsidR="0060312C">
              <w:t xml:space="preserve"> </w:t>
            </w:r>
            <w:r w:rsidR="0060312C" w:rsidRPr="0060312C">
              <w:rPr>
                <w:i/>
              </w:rPr>
              <w:t>First-In, First-Out (FIFO) method</w:t>
            </w:r>
            <w:r w:rsidR="0060312C">
              <w:rPr>
                <w:i/>
              </w:rPr>
              <w:t xml:space="preserve"> </w:t>
            </w:r>
          </w:p>
          <w:p w14:paraId="6C50F1AE" w14:textId="77777777" w:rsidR="00766B6C" w:rsidRPr="00766B6C" w:rsidRDefault="00766B6C" w:rsidP="00766B6C">
            <w:pPr>
              <w:pStyle w:val="VCAAbody"/>
              <w:rPr>
                <w:b/>
              </w:rPr>
            </w:pPr>
            <w:r w:rsidRPr="00766B6C">
              <w:rPr>
                <w:b/>
              </w:rPr>
              <w:t>Sales returns</w:t>
            </w:r>
          </w:p>
          <w:p w14:paraId="495F57E1" w14:textId="3635C4F9" w:rsidR="00766B6C" w:rsidRPr="00766B6C" w:rsidRDefault="00766B6C" w:rsidP="00766B6C">
            <w:pPr>
              <w:pStyle w:val="VCAAbody"/>
            </w:pPr>
            <w:r>
              <w:t xml:space="preserve">The cost of each inventory item will be </w:t>
            </w:r>
            <w:r w:rsidRPr="00766B6C">
              <w:rPr>
                <w:strike/>
                <w:color w:val="FF0000"/>
              </w:rPr>
              <w:t>identified on the business document or</w:t>
            </w:r>
            <w:r w:rsidRPr="00766B6C">
              <w:rPr>
                <w:color w:val="FF0000"/>
              </w:rPr>
              <w:t xml:space="preserve"> calculated by using the latest cost prices shown in the OUT column of the </w:t>
            </w:r>
            <w:r>
              <w:t xml:space="preserve">inventory card </w:t>
            </w:r>
            <w:r w:rsidRPr="00766B6C">
              <w:rPr>
                <w:color w:val="FF0000"/>
              </w:rPr>
              <w:t>(reversing the last out)</w:t>
            </w:r>
            <w:r>
              <w:t>.</w:t>
            </w:r>
          </w:p>
        </w:tc>
      </w:tr>
      <w:tr w:rsidR="00653842" w14:paraId="2A4098C6" w14:textId="77777777" w:rsidTr="003A5DF5">
        <w:tc>
          <w:tcPr>
            <w:tcW w:w="577" w:type="pct"/>
          </w:tcPr>
          <w:p w14:paraId="7B3148F6" w14:textId="5F4616FA" w:rsidR="00653842" w:rsidRDefault="00653842" w:rsidP="003A5DF5">
            <w:pPr>
              <w:pStyle w:val="VCAAbody"/>
              <w:spacing w:before="240"/>
            </w:pPr>
            <w:r>
              <w:t>Page 18</w:t>
            </w:r>
          </w:p>
        </w:tc>
        <w:tc>
          <w:tcPr>
            <w:tcW w:w="4423" w:type="pct"/>
          </w:tcPr>
          <w:p w14:paraId="5A056522" w14:textId="5C2A3559" w:rsidR="00653842" w:rsidRDefault="00FE69B5" w:rsidP="003A5DF5">
            <w:pPr>
              <w:pStyle w:val="VCAAbody"/>
              <w:spacing w:before="240"/>
            </w:pPr>
            <w:r w:rsidRPr="00FE69B5">
              <w:t xml:space="preserve">Updated </w:t>
            </w:r>
            <w:r w:rsidR="0060312C">
              <w:t xml:space="preserve">Unit 2 Area of Study 2 Outcome 2 </w:t>
            </w:r>
            <w:r w:rsidRPr="00FE69B5">
              <w:t xml:space="preserve">key </w:t>
            </w:r>
            <w:r>
              <w:t xml:space="preserve">knowledge </w:t>
            </w:r>
            <w:r w:rsidRPr="00FE69B5">
              <w:t xml:space="preserve">bullet point </w:t>
            </w:r>
            <w:r>
              <w:t>five</w:t>
            </w:r>
            <w:r w:rsidRPr="00FE69B5">
              <w:t>:</w:t>
            </w:r>
          </w:p>
          <w:p w14:paraId="3F261B3C" w14:textId="77777777" w:rsidR="00FE69B5" w:rsidRDefault="00FE69B5" w:rsidP="00FE69B5">
            <w:pPr>
              <w:pStyle w:val="VCAAbullet"/>
            </w:pPr>
            <w:r>
              <w:t xml:space="preserve">transactions involving accounts receivable and accounts payable records: </w:t>
            </w:r>
          </w:p>
          <w:p w14:paraId="123E6D27" w14:textId="5B1F263C" w:rsidR="00FE69B5" w:rsidRDefault="00FE69B5" w:rsidP="003A5DF5">
            <w:pPr>
              <w:pStyle w:val="VCAAbulletlevel2"/>
            </w:pPr>
            <w:r>
              <w:t xml:space="preserve">sales </w:t>
            </w:r>
          </w:p>
          <w:p w14:paraId="42E8D58B" w14:textId="1780AD5C" w:rsidR="00FE69B5" w:rsidRDefault="00FE69B5" w:rsidP="003A5DF5">
            <w:pPr>
              <w:pStyle w:val="VCAAbulletlevel2"/>
            </w:pPr>
            <w:r>
              <w:t xml:space="preserve">purchases </w:t>
            </w:r>
          </w:p>
          <w:p w14:paraId="7FCB0964" w14:textId="6ABA75EC" w:rsidR="00FE69B5" w:rsidRDefault="00FE69B5" w:rsidP="003A5DF5">
            <w:pPr>
              <w:pStyle w:val="VCAAbulletlevel2"/>
            </w:pPr>
            <w:r>
              <w:t xml:space="preserve">returns, both sales and purchases </w:t>
            </w:r>
          </w:p>
          <w:p w14:paraId="5DE4AFDA" w14:textId="644CC8ED" w:rsidR="00FE69B5" w:rsidRDefault="00FE69B5" w:rsidP="003A5DF5">
            <w:pPr>
              <w:pStyle w:val="VCAAbulletlevel2"/>
            </w:pPr>
            <w:r>
              <w:t xml:space="preserve">bad debts </w:t>
            </w:r>
          </w:p>
          <w:p w14:paraId="2CC8F0BE" w14:textId="52C66B3F" w:rsidR="00FE69B5" w:rsidRDefault="00FE69B5" w:rsidP="003A5DF5">
            <w:pPr>
              <w:pStyle w:val="VCAAbulletlevel2"/>
            </w:pPr>
            <w:r w:rsidRPr="00FE69B5">
              <w:rPr>
                <w:strike/>
                <w:color w:val="FF0000"/>
              </w:rPr>
              <w:t>cash and</w:t>
            </w:r>
            <w:r w:rsidRPr="00FE69B5">
              <w:rPr>
                <w:color w:val="FF0000"/>
              </w:rPr>
              <w:t xml:space="preserve"> </w:t>
            </w:r>
            <w:r>
              <w:t>settlement discounts (GST to be excluded)</w:t>
            </w:r>
          </w:p>
        </w:tc>
      </w:tr>
      <w:tr w:rsidR="00653842" w14:paraId="3CB2CB79" w14:textId="77777777" w:rsidTr="003A5DF5">
        <w:tc>
          <w:tcPr>
            <w:tcW w:w="577" w:type="pct"/>
          </w:tcPr>
          <w:p w14:paraId="0B31B8FA" w14:textId="1EEC5BB3" w:rsidR="00653842" w:rsidRDefault="00653842" w:rsidP="003A5DF5">
            <w:pPr>
              <w:pStyle w:val="VCAAbody"/>
              <w:spacing w:before="240"/>
            </w:pPr>
            <w:r>
              <w:t xml:space="preserve">Page 22 </w:t>
            </w:r>
          </w:p>
        </w:tc>
        <w:tc>
          <w:tcPr>
            <w:tcW w:w="4423" w:type="pct"/>
          </w:tcPr>
          <w:p w14:paraId="0751DA89" w14:textId="34CFE455" w:rsidR="003A5DF5" w:rsidRDefault="003A5DF5" w:rsidP="003A5DF5">
            <w:pPr>
              <w:pStyle w:val="VCAAbody"/>
              <w:spacing w:before="240"/>
            </w:pPr>
            <w:r w:rsidRPr="00FE69B5">
              <w:t xml:space="preserve">Updated </w:t>
            </w:r>
            <w:r w:rsidR="0060312C">
              <w:t xml:space="preserve">Unit 3 Area of Study 1 Outcome 1 </w:t>
            </w:r>
            <w:r w:rsidRPr="00FE69B5">
              <w:t xml:space="preserve">key </w:t>
            </w:r>
            <w:r>
              <w:t xml:space="preserve">knowledge </w:t>
            </w:r>
            <w:r w:rsidRPr="00FE69B5">
              <w:t xml:space="preserve">bullet point </w:t>
            </w:r>
            <w:r>
              <w:t>nine</w:t>
            </w:r>
            <w:r w:rsidRPr="00FE69B5">
              <w:t>:</w:t>
            </w:r>
          </w:p>
          <w:p w14:paraId="0D920885" w14:textId="7BF93AAC" w:rsidR="00653842" w:rsidRDefault="003A5DF5" w:rsidP="003A5DF5">
            <w:pPr>
              <w:pStyle w:val="VCAAbullet"/>
            </w:pPr>
            <w:r w:rsidRPr="003A5DF5">
              <w:t>the purpose and</w:t>
            </w:r>
            <w:r>
              <w:t xml:space="preserve"> </w:t>
            </w:r>
            <w:r>
              <w:rPr>
                <w:color w:val="FF0000"/>
              </w:rPr>
              <w:t xml:space="preserve">preparation </w:t>
            </w:r>
            <w:r w:rsidRPr="003A5DF5">
              <w:rPr>
                <w:strike/>
                <w:color w:val="FF0000"/>
              </w:rPr>
              <w:t>use</w:t>
            </w:r>
            <w:r w:rsidRPr="003A5DF5">
              <w:t xml:space="preserve"> of the pre-adjustment Trial Balance</w:t>
            </w:r>
          </w:p>
        </w:tc>
      </w:tr>
      <w:tr w:rsidR="00653842" w14:paraId="40640821" w14:textId="77777777" w:rsidTr="003A5DF5">
        <w:tc>
          <w:tcPr>
            <w:tcW w:w="577" w:type="pct"/>
          </w:tcPr>
          <w:p w14:paraId="75DBC7BE" w14:textId="5898B254" w:rsidR="00653842" w:rsidRDefault="00653842" w:rsidP="003A5DF5">
            <w:pPr>
              <w:pStyle w:val="VCAAbody"/>
              <w:spacing w:before="240"/>
            </w:pPr>
            <w:r>
              <w:t>Page 27</w:t>
            </w:r>
          </w:p>
        </w:tc>
        <w:tc>
          <w:tcPr>
            <w:tcW w:w="4423" w:type="pct"/>
          </w:tcPr>
          <w:p w14:paraId="011A551B" w14:textId="674CCECD" w:rsidR="003A5DF5" w:rsidRDefault="003A5DF5" w:rsidP="003A5DF5">
            <w:pPr>
              <w:pStyle w:val="VCAAbody"/>
              <w:spacing w:before="240"/>
            </w:pPr>
            <w:r w:rsidRPr="00FE69B5">
              <w:t xml:space="preserve">Updated </w:t>
            </w:r>
            <w:r w:rsidR="0060312C">
              <w:t xml:space="preserve">Unit 4 Area of Study 1 Outcome 1 </w:t>
            </w:r>
            <w:r w:rsidRPr="00FE69B5">
              <w:t xml:space="preserve">key </w:t>
            </w:r>
            <w:r>
              <w:t xml:space="preserve">knowledge </w:t>
            </w:r>
            <w:r w:rsidRPr="00FE69B5">
              <w:t xml:space="preserve">bullet point </w:t>
            </w:r>
            <w:r>
              <w:t>nine</w:t>
            </w:r>
            <w:r w:rsidRPr="00FE69B5">
              <w:t>:</w:t>
            </w:r>
          </w:p>
          <w:p w14:paraId="4762A078" w14:textId="210D2409" w:rsidR="003A5DF5" w:rsidRDefault="003A5DF5" w:rsidP="003A5DF5">
            <w:pPr>
              <w:pStyle w:val="VCAAbullet"/>
            </w:pPr>
            <w:r>
              <w:t>the recording and reporting of balance day adjustments:</w:t>
            </w:r>
          </w:p>
          <w:p w14:paraId="34D30156" w14:textId="5B444FB9" w:rsidR="003A5DF5" w:rsidRDefault="003A5DF5" w:rsidP="003A5DF5">
            <w:pPr>
              <w:pStyle w:val="VCAAbulletlevel2"/>
            </w:pPr>
            <w:r>
              <w:t>prepaid expenses (asset approach) with GST being recorded at the time of payment</w:t>
            </w:r>
          </w:p>
          <w:p w14:paraId="0B951455" w14:textId="09FA04D9" w:rsidR="003A5DF5" w:rsidRDefault="003A5DF5" w:rsidP="003A5DF5">
            <w:pPr>
              <w:pStyle w:val="VCAAbulletlevel2"/>
            </w:pPr>
            <w:r>
              <w:t>accrued expenses with GST being recorded at the time of payment</w:t>
            </w:r>
          </w:p>
          <w:p w14:paraId="5090F4DA" w14:textId="199DE747" w:rsidR="003A5DF5" w:rsidRDefault="003A5DF5" w:rsidP="003A5DF5">
            <w:pPr>
              <w:pStyle w:val="VCAAbulletlevel2"/>
            </w:pPr>
            <w:r>
              <w:t>the payment of accrued expenses in the subsequent reporting period</w:t>
            </w:r>
          </w:p>
          <w:p w14:paraId="3886F9F7" w14:textId="58AAFCCD" w:rsidR="003A5DF5" w:rsidRDefault="003A5DF5" w:rsidP="003A5DF5">
            <w:pPr>
              <w:pStyle w:val="VCAAbulletlevel2"/>
            </w:pPr>
            <w:r>
              <w:t xml:space="preserve">unearned revenue (liability approach) with </w:t>
            </w:r>
            <w:r w:rsidRPr="003A5DF5">
              <w:rPr>
                <w:strike/>
                <w:color w:val="FF0000"/>
              </w:rPr>
              <w:t>a</w:t>
            </w:r>
            <w:r>
              <w:t xml:space="preserve"> </w:t>
            </w:r>
            <w:r w:rsidRPr="003A5DF5">
              <w:rPr>
                <w:color w:val="FF0000"/>
              </w:rPr>
              <w:t>no</w:t>
            </w:r>
            <w:r>
              <w:t xml:space="preserve"> GST </w:t>
            </w:r>
            <w:r w:rsidRPr="003A5DF5">
              <w:rPr>
                <w:strike/>
                <w:color w:val="FF0000"/>
              </w:rPr>
              <w:t>being</w:t>
            </w:r>
            <w:r>
              <w:t xml:space="preserve"> recorded at the time </w:t>
            </w:r>
            <w:r w:rsidRPr="003A5DF5">
              <w:rPr>
                <w:strike/>
                <w:color w:val="FF0000"/>
              </w:rPr>
              <w:t>revenue is earned</w:t>
            </w:r>
            <w:r w:rsidRPr="003A5DF5">
              <w:rPr>
                <w:color w:val="FF0000"/>
              </w:rPr>
              <w:t xml:space="preserve"> of the deposit</w:t>
            </w:r>
          </w:p>
          <w:p w14:paraId="047D9D33" w14:textId="62D04C17" w:rsidR="003A5DF5" w:rsidRDefault="003A5DF5" w:rsidP="003A5DF5">
            <w:pPr>
              <w:pStyle w:val="VCAAbulletlevel2"/>
            </w:pPr>
            <w:r>
              <w:t>accrued revenue with GST being recorded at the time of receipt</w:t>
            </w:r>
          </w:p>
          <w:p w14:paraId="0B8AC714" w14:textId="6DEC8C74" w:rsidR="00653842" w:rsidRDefault="003A5DF5" w:rsidP="003A5DF5">
            <w:pPr>
              <w:pStyle w:val="VCAAbulletlevel2"/>
            </w:pPr>
            <w:r>
              <w:t>receipt of accrued revenue in the subsequent reporting period</w:t>
            </w:r>
          </w:p>
        </w:tc>
      </w:tr>
    </w:tbl>
    <w:p w14:paraId="0DE6D5D4" w14:textId="352918DA" w:rsidR="00653842" w:rsidRPr="00653842" w:rsidRDefault="00653842" w:rsidP="00653842">
      <w:pPr>
        <w:pStyle w:val="VCAAbody"/>
      </w:pPr>
    </w:p>
    <w:sectPr w:rsidR="00653842" w:rsidRPr="00653842" w:rsidSect="00B230DB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CD8F9" w14:textId="77777777" w:rsidR="003A5DF5" w:rsidRDefault="003A5DF5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3A5DF5" w:rsidRDefault="003A5DF5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3A5DF5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3A5DF5" w:rsidRPr="00D06414" w:rsidRDefault="003A5DF5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3A5DF5" w:rsidRPr="00D06414" w:rsidRDefault="003A5DF5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1C5B39D9" w:rsidR="003A5DF5" w:rsidRPr="00D06414" w:rsidRDefault="003A5DF5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60312C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3A5DF5" w:rsidRPr="00D06414" w:rsidRDefault="003A5DF5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3A5DF5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3A5DF5" w:rsidRPr="00D06414" w:rsidRDefault="003A5DF5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3A5DF5" w:rsidRPr="00D06414" w:rsidRDefault="003A5DF5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3A5DF5" w:rsidRPr="00D06414" w:rsidRDefault="003A5DF5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3A5DF5" w:rsidRPr="00D06414" w:rsidRDefault="003A5DF5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27F40" w14:textId="77777777" w:rsidR="003A5DF5" w:rsidRDefault="003A5DF5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3A5DF5" w:rsidRDefault="003A5DF5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21396" w14:textId="4467D654" w:rsidR="003A5DF5" w:rsidRPr="00D86DE4" w:rsidRDefault="00305CE0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color w:val="999999" w:themeColor="accent2"/>
          </w:rPr>
          <w:t>VCE Accounting Study Design 2019–2024</w:t>
        </w:r>
      </w:sdtContent>
    </w:sdt>
    <w:r w:rsidR="003A5DF5"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B6D50" w14:textId="512449EE" w:rsidR="003A5DF5" w:rsidRPr="009370BC" w:rsidRDefault="003A5DF5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2F371BF"/>
    <w:multiLevelType w:val="hybridMultilevel"/>
    <w:tmpl w:val="0958AE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BAB"/>
    <w:rsid w:val="00003885"/>
    <w:rsid w:val="0005780E"/>
    <w:rsid w:val="00065CC6"/>
    <w:rsid w:val="000A71F7"/>
    <w:rsid w:val="000F09E4"/>
    <w:rsid w:val="000F16FD"/>
    <w:rsid w:val="000F533A"/>
    <w:rsid w:val="000F5AAF"/>
    <w:rsid w:val="00143520"/>
    <w:rsid w:val="00153AD2"/>
    <w:rsid w:val="001779EA"/>
    <w:rsid w:val="001D3246"/>
    <w:rsid w:val="002279BA"/>
    <w:rsid w:val="002329F3"/>
    <w:rsid w:val="00243F0D"/>
    <w:rsid w:val="00260767"/>
    <w:rsid w:val="002647BB"/>
    <w:rsid w:val="002754C1"/>
    <w:rsid w:val="002841C8"/>
    <w:rsid w:val="0028516B"/>
    <w:rsid w:val="002C6F90"/>
    <w:rsid w:val="002E4FB5"/>
    <w:rsid w:val="00302FB8"/>
    <w:rsid w:val="00304EA1"/>
    <w:rsid w:val="00305CE0"/>
    <w:rsid w:val="00314D81"/>
    <w:rsid w:val="00322FC6"/>
    <w:rsid w:val="0035293F"/>
    <w:rsid w:val="00391986"/>
    <w:rsid w:val="003A00B4"/>
    <w:rsid w:val="003A5DF5"/>
    <w:rsid w:val="003C5E71"/>
    <w:rsid w:val="00417AA3"/>
    <w:rsid w:val="00425DFE"/>
    <w:rsid w:val="00434EDB"/>
    <w:rsid w:val="00440B32"/>
    <w:rsid w:val="0046078D"/>
    <w:rsid w:val="0047212A"/>
    <w:rsid w:val="00495C80"/>
    <w:rsid w:val="004A2ED8"/>
    <w:rsid w:val="004F5BDA"/>
    <w:rsid w:val="0051631E"/>
    <w:rsid w:val="00537A1F"/>
    <w:rsid w:val="00566029"/>
    <w:rsid w:val="005923CB"/>
    <w:rsid w:val="005B391B"/>
    <w:rsid w:val="005D3D78"/>
    <w:rsid w:val="005E2EF0"/>
    <w:rsid w:val="005F4092"/>
    <w:rsid w:val="0060312C"/>
    <w:rsid w:val="00653842"/>
    <w:rsid w:val="0068471E"/>
    <w:rsid w:val="00684F98"/>
    <w:rsid w:val="00692B85"/>
    <w:rsid w:val="00693FFD"/>
    <w:rsid w:val="006D2159"/>
    <w:rsid w:val="006F787C"/>
    <w:rsid w:val="00702636"/>
    <w:rsid w:val="00724507"/>
    <w:rsid w:val="00766B6C"/>
    <w:rsid w:val="00773E6C"/>
    <w:rsid w:val="00781FB1"/>
    <w:rsid w:val="007D1B6D"/>
    <w:rsid w:val="00813C37"/>
    <w:rsid w:val="008154B5"/>
    <w:rsid w:val="00823962"/>
    <w:rsid w:val="00852719"/>
    <w:rsid w:val="00860115"/>
    <w:rsid w:val="0088783C"/>
    <w:rsid w:val="008D11C9"/>
    <w:rsid w:val="009370BC"/>
    <w:rsid w:val="00970580"/>
    <w:rsid w:val="0098739B"/>
    <w:rsid w:val="009B61E5"/>
    <w:rsid w:val="009D1E89"/>
    <w:rsid w:val="009E5707"/>
    <w:rsid w:val="00A17661"/>
    <w:rsid w:val="00A24B2D"/>
    <w:rsid w:val="00A40966"/>
    <w:rsid w:val="00A921E0"/>
    <w:rsid w:val="00A922F4"/>
    <w:rsid w:val="00AE5526"/>
    <w:rsid w:val="00AF051B"/>
    <w:rsid w:val="00B01578"/>
    <w:rsid w:val="00B0738F"/>
    <w:rsid w:val="00B13D3B"/>
    <w:rsid w:val="00B230DB"/>
    <w:rsid w:val="00B26601"/>
    <w:rsid w:val="00B41951"/>
    <w:rsid w:val="00B53229"/>
    <w:rsid w:val="00B62480"/>
    <w:rsid w:val="00B81B70"/>
    <w:rsid w:val="00BB3BAB"/>
    <w:rsid w:val="00BD0724"/>
    <w:rsid w:val="00BD2B91"/>
    <w:rsid w:val="00BE5521"/>
    <w:rsid w:val="00BF6C23"/>
    <w:rsid w:val="00C53263"/>
    <w:rsid w:val="00C75F1D"/>
    <w:rsid w:val="00C95156"/>
    <w:rsid w:val="00CA0DC2"/>
    <w:rsid w:val="00CB68E8"/>
    <w:rsid w:val="00D04F01"/>
    <w:rsid w:val="00D06414"/>
    <w:rsid w:val="00D24E5A"/>
    <w:rsid w:val="00D338E4"/>
    <w:rsid w:val="00D51947"/>
    <w:rsid w:val="00D532F0"/>
    <w:rsid w:val="00D77413"/>
    <w:rsid w:val="00D82759"/>
    <w:rsid w:val="00D86DE4"/>
    <w:rsid w:val="00DE1909"/>
    <w:rsid w:val="00DE51DB"/>
    <w:rsid w:val="00E23F1D"/>
    <w:rsid w:val="00E30E05"/>
    <w:rsid w:val="00E36361"/>
    <w:rsid w:val="00E55AE9"/>
    <w:rsid w:val="00EB0C84"/>
    <w:rsid w:val="00F17FDE"/>
    <w:rsid w:val="00F40D53"/>
    <w:rsid w:val="00F4525C"/>
    <w:rsid w:val="00F50D86"/>
    <w:rsid w:val="00FD29D3"/>
    <w:rsid w:val="00FE3F0B"/>
    <w:rsid w:val="00FE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5D2"/>
    <w:rsid w:val="009325D2"/>
    <w:rsid w:val="00EC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848B5-61E6-45CE-88A6-73FD729D8E9B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E82DE4-0BF1-4ED2-BC1B-6681301AE580}"/>
</file>

<file path=customXml/itemProps4.xml><?xml version="1.0" encoding="utf-8"?>
<ds:datastoreItem xmlns:ds="http://schemas.openxmlformats.org/officeDocument/2006/customXml" ds:itemID="{4AB14489-DBA8-439E-A805-7113D3FBC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Accounting Study Design 2019–2023</vt:lpstr>
    </vt:vector>
  </TitlesOfParts>
  <Company>Victorian Curriculum and Assessment Authority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Accounting Study Design 2019–2024</dc:title>
  <dc:creator>Derek Tolan</dc:creator>
  <cp:lastModifiedBy>Coleman, Julie J</cp:lastModifiedBy>
  <cp:revision>7</cp:revision>
  <cp:lastPrinted>2015-05-15T02:36:00Z</cp:lastPrinted>
  <dcterms:created xsi:type="dcterms:W3CDTF">2020-01-14T00:34:00Z</dcterms:created>
  <dcterms:modified xsi:type="dcterms:W3CDTF">2020-06-01T06:17:00Z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