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5A6CFAC" w:rsidR="00F4525C" w:rsidRPr="007C29E4" w:rsidRDefault="008743AD" w:rsidP="000C615C">
      <w:pPr>
        <w:pStyle w:val="Title"/>
      </w:pPr>
      <w:r>
        <w:t>Characteristics of Study</w:t>
      </w:r>
    </w:p>
    <w:p w14:paraId="74E62D52" w14:textId="4DC20FB5" w:rsidR="00243F0D" w:rsidRPr="007C29E4" w:rsidRDefault="00E45E84" w:rsidP="000C615C">
      <w:pPr>
        <w:pStyle w:val="Heading1"/>
      </w:pPr>
      <w:bookmarkStart w:id="0" w:name="TemplateOverview"/>
      <w:bookmarkEnd w:id="0"/>
      <w:r w:rsidRPr="00E45E84">
        <w:t>Sample model for Units 1 and 2</w:t>
      </w:r>
    </w:p>
    <w:tbl>
      <w:tblPr>
        <w:tblStyle w:val="VCAATableClosed"/>
        <w:tblW w:w="0" w:type="auto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1555"/>
        <w:gridCol w:w="2658"/>
        <w:gridCol w:w="2591"/>
        <w:gridCol w:w="2658"/>
        <w:gridCol w:w="2658"/>
        <w:gridCol w:w="2661"/>
      </w:tblGrid>
      <w:tr w:rsidR="00E45E84" w:rsidRPr="007C29E4" w14:paraId="41354E58" w14:textId="77777777" w:rsidTr="0038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6FE30C" w14:textId="77777777" w:rsidR="00E45E84" w:rsidRPr="007C29E4" w:rsidRDefault="00E45E84" w:rsidP="00B13D3B">
            <w:pPr>
              <w:pStyle w:val="Tablecondensedheading"/>
              <w:rPr>
                <w:lang w:val="en-AU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</w:tcBorders>
          </w:tcPr>
          <w:p w14:paraId="395880C0" w14:textId="2B36294B" w:rsidR="00E45E84" w:rsidRDefault="00E948F9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Unit 1- Roles of </w:t>
            </w:r>
            <w:r w:rsidR="00EB4507">
              <w:rPr>
                <w:lang w:val="en-AU"/>
              </w:rPr>
              <w:t>a</w:t>
            </w:r>
            <w:r>
              <w:rPr>
                <w:lang w:val="en-AU"/>
              </w:rPr>
              <w:t xml:space="preserve">ccounting in </w:t>
            </w:r>
            <w:r w:rsidR="00EB4507">
              <w:rPr>
                <w:lang w:val="en-AU"/>
              </w:rPr>
              <w:t>b</w:t>
            </w:r>
            <w:r>
              <w:rPr>
                <w:lang w:val="en-AU"/>
              </w:rPr>
              <w:t>usiness</w:t>
            </w:r>
          </w:p>
        </w:tc>
        <w:tc>
          <w:tcPr>
            <w:tcW w:w="7977" w:type="dxa"/>
            <w:gridSpan w:val="3"/>
          </w:tcPr>
          <w:p w14:paraId="56C791E8" w14:textId="50451B15" w:rsidR="00E45E84" w:rsidRDefault="00E948F9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Unit 2- </w:t>
            </w:r>
            <w:r w:rsidR="00EB4507">
              <w:rPr>
                <w:lang w:val="en-AU"/>
              </w:rPr>
              <w:t>a</w:t>
            </w:r>
            <w:r>
              <w:rPr>
                <w:lang w:val="en-AU"/>
              </w:rPr>
              <w:t>ccounting and decision making for trading businesses</w:t>
            </w:r>
          </w:p>
        </w:tc>
      </w:tr>
      <w:tr w:rsidR="00383776" w:rsidRPr="007C29E4" w14:paraId="27BFE34A" w14:textId="77777777" w:rsidTr="00111C64">
        <w:tc>
          <w:tcPr>
            <w:tcW w:w="155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EAD0C86" w14:textId="77777777" w:rsidR="00E45E84" w:rsidRPr="007C29E4" w:rsidRDefault="00E45E84" w:rsidP="00B13D3B">
            <w:pPr>
              <w:pStyle w:val="Tablecondensedheading"/>
              <w:rPr>
                <w:lang w:val="en-AU"/>
              </w:rPr>
            </w:pPr>
            <w:r w:rsidRPr="007C29E4">
              <w:rPr>
                <w:lang w:val="en-AU"/>
              </w:rPr>
              <w:t xml:space="preserve">Closed table style 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0F7EB4"/>
          </w:tcPr>
          <w:p w14:paraId="3FC6328B" w14:textId="68F10425" w:rsidR="00E45E84" w:rsidRPr="007C29E4" w:rsidRDefault="00E948F9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 1</w:t>
            </w:r>
          </w:p>
        </w:tc>
        <w:tc>
          <w:tcPr>
            <w:tcW w:w="2591" w:type="dxa"/>
            <w:shd w:val="clear" w:color="auto" w:fill="0F7EB4"/>
          </w:tcPr>
          <w:p w14:paraId="2D45ADC4" w14:textId="5988B9BF" w:rsidR="00E45E84" w:rsidRDefault="00E948F9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 2</w:t>
            </w:r>
          </w:p>
        </w:tc>
        <w:tc>
          <w:tcPr>
            <w:tcW w:w="2658" w:type="dxa"/>
            <w:shd w:val="clear" w:color="auto" w:fill="0F7EB4"/>
          </w:tcPr>
          <w:p w14:paraId="59731299" w14:textId="1B91B164" w:rsidR="00E45E84" w:rsidRDefault="00E45E84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 1</w:t>
            </w:r>
          </w:p>
        </w:tc>
        <w:tc>
          <w:tcPr>
            <w:tcW w:w="2658" w:type="dxa"/>
            <w:shd w:val="clear" w:color="auto" w:fill="0F7EB4"/>
          </w:tcPr>
          <w:p w14:paraId="7BC7248A" w14:textId="246378CE" w:rsidR="00E45E84" w:rsidRDefault="00E45E84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AOS2</w:t>
            </w:r>
          </w:p>
        </w:tc>
        <w:tc>
          <w:tcPr>
            <w:tcW w:w="2658" w:type="dxa"/>
            <w:shd w:val="clear" w:color="auto" w:fill="0F7EB4"/>
          </w:tcPr>
          <w:p w14:paraId="318DCB60" w14:textId="6FDDA213" w:rsidR="00E45E84" w:rsidRPr="007C29E4" w:rsidRDefault="00E45E84" w:rsidP="00E948F9">
            <w:pPr>
              <w:pStyle w:val="Tablecondensedheading"/>
              <w:jc w:val="center"/>
              <w:rPr>
                <w:lang w:val="en-AU"/>
              </w:rPr>
            </w:pPr>
            <w:r>
              <w:rPr>
                <w:lang w:val="en-AU"/>
              </w:rPr>
              <w:t>AOS3</w:t>
            </w:r>
          </w:p>
        </w:tc>
      </w:tr>
      <w:tr w:rsidR="00E45E84" w:rsidRPr="007C29E4" w14:paraId="5BE52DCE" w14:textId="77777777" w:rsidTr="00383776">
        <w:tc>
          <w:tcPr>
            <w:tcW w:w="1555" w:type="dxa"/>
            <w:shd w:val="clear" w:color="auto" w:fill="0F7EB4"/>
          </w:tcPr>
          <w:p w14:paraId="077F5751" w14:textId="1EC9C3C1" w:rsidR="00E45E84" w:rsidRPr="007C29E4" w:rsidRDefault="00203F34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Source Docs</w:t>
            </w:r>
            <w:r w:rsidR="00E45E84" w:rsidRPr="007C29E4">
              <w:rPr>
                <w:lang w:val="en-AU"/>
              </w:rPr>
              <w:t xml:space="preserve"> </w:t>
            </w:r>
          </w:p>
        </w:tc>
        <w:tc>
          <w:tcPr>
            <w:tcW w:w="2658" w:type="dxa"/>
          </w:tcPr>
          <w:p w14:paraId="3B457234" w14:textId="4FFBC362" w:rsidR="00E45E84" w:rsidRPr="007C29E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EFT Receipt, Receipt EFT Payment, Cheque Butt Memo Defining Cash – incl credit card receipts</w:t>
            </w:r>
          </w:p>
        </w:tc>
        <w:tc>
          <w:tcPr>
            <w:tcW w:w="2591" w:type="dxa"/>
          </w:tcPr>
          <w:p w14:paraId="488C280E" w14:textId="77777777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Sales invoice</w:t>
            </w:r>
          </w:p>
          <w:p w14:paraId="4A8BA139" w14:textId="65875084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Purchase invoice</w:t>
            </w:r>
          </w:p>
        </w:tc>
        <w:tc>
          <w:tcPr>
            <w:tcW w:w="2658" w:type="dxa"/>
          </w:tcPr>
          <w:p w14:paraId="0B4AB98D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Credit Note </w:t>
            </w:r>
            <w:r>
              <w:rPr>
                <w:lang w:val="en-AU"/>
              </w:rPr>
              <w:softHyphen/>
              <w:t>– (SR)</w:t>
            </w:r>
          </w:p>
          <w:p w14:paraId="402CCF0C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Credit Note </w:t>
            </w:r>
            <w:r>
              <w:rPr>
                <w:lang w:val="en-AU"/>
              </w:rPr>
              <w:softHyphen/>
              <w:t>– (PR)</w:t>
            </w:r>
          </w:p>
          <w:p w14:paraId="6687746B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Purchase Order</w:t>
            </w:r>
          </w:p>
          <w:p w14:paraId="63B3F4A1" w14:textId="3930852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Delivery Docket</w:t>
            </w:r>
          </w:p>
        </w:tc>
        <w:tc>
          <w:tcPr>
            <w:tcW w:w="2658" w:type="dxa"/>
          </w:tcPr>
          <w:p w14:paraId="0387181E" w14:textId="50CB0972" w:rsidR="00E45E84" w:rsidRDefault="00E45E84" w:rsidP="00E30E05">
            <w:pPr>
              <w:pStyle w:val="Tablecondensed"/>
              <w:rPr>
                <w:lang w:val="en-AU"/>
              </w:rPr>
            </w:pPr>
          </w:p>
        </w:tc>
        <w:tc>
          <w:tcPr>
            <w:tcW w:w="2658" w:type="dxa"/>
          </w:tcPr>
          <w:p w14:paraId="723AFC12" w14:textId="249FACF6" w:rsidR="00E45E84" w:rsidRPr="007C29E4" w:rsidRDefault="00E45E84" w:rsidP="00E30E05">
            <w:pPr>
              <w:pStyle w:val="Tablecondensed"/>
              <w:rPr>
                <w:lang w:val="en-AU"/>
              </w:rPr>
            </w:pPr>
          </w:p>
        </w:tc>
      </w:tr>
      <w:tr w:rsidR="00E45E84" w:rsidRPr="007C29E4" w14:paraId="78178EFB" w14:textId="77777777" w:rsidTr="00383776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0F7EB4"/>
          </w:tcPr>
          <w:p w14:paraId="0284BC77" w14:textId="1D3B018E" w:rsidR="00E948F9" w:rsidRDefault="00E948F9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Qualitative Characteristics</w:t>
            </w:r>
          </w:p>
        </w:tc>
        <w:tc>
          <w:tcPr>
            <w:tcW w:w="2658" w:type="dxa"/>
          </w:tcPr>
          <w:p w14:paraId="393ED53B" w14:textId="4EE5939A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Faithful Representation</w:t>
            </w:r>
          </w:p>
        </w:tc>
        <w:tc>
          <w:tcPr>
            <w:tcW w:w="2591" w:type="dxa"/>
          </w:tcPr>
          <w:p w14:paraId="3A871486" w14:textId="6AA043C8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Verifiability</w:t>
            </w:r>
          </w:p>
        </w:tc>
        <w:tc>
          <w:tcPr>
            <w:tcW w:w="2658" w:type="dxa"/>
          </w:tcPr>
          <w:p w14:paraId="10DC4401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Comparability</w:t>
            </w:r>
          </w:p>
          <w:p w14:paraId="236D553C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Understandability</w:t>
            </w:r>
          </w:p>
          <w:p w14:paraId="6B2B2C39" w14:textId="50C8EC9F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Verifiability</w:t>
            </w:r>
          </w:p>
        </w:tc>
        <w:tc>
          <w:tcPr>
            <w:tcW w:w="2658" w:type="dxa"/>
          </w:tcPr>
          <w:p w14:paraId="724C74D9" w14:textId="339E05C1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Relevance Timeliness</w:t>
            </w:r>
          </w:p>
        </w:tc>
        <w:tc>
          <w:tcPr>
            <w:tcW w:w="2658" w:type="dxa"/>
          </w:tcPr>
          <w:p w14:paraId="53338A52" w14:textId="1FF3B599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Faithful </w:t>
            </w:r>
            <w:r w:rsidR="00EB4507">
              <w:rPr>
                <w:lang w:val="en-AU"/>
              </w:rPr>
              <w:t>Representation</w:t>
            </w:r>
          </w:p>
          <w:p w14:paraId="6061F5AB" w14:textId="77777777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Verifiability v Relevance</w:t>
            </w:r>
          </w:p>
          <w:p w14:paraId="7A2BA9A1" w14:textId="4906FD70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Timeliness</w:t>
            </w:r>
          </w:p>
        </w:tc>
      </w:tr>
      <w:tr w:rsidR="00203F34" w:rsidRPr="007C29E4" w14:paraId="2D6A7B91" w14:textId="77777777" w:rsidTr="00383776">
        <w:tc>
          <w:tcPr>
            <w:tcW w:w="1555" w:type="dxa"/>
            <w:tcBorders>
              <w:bottom w:val="single" w:sz="4" w:space="0" w:color="auto"/>
            </w:tcBorders>
            <w:shd w:val="clear" w:color="auto" w:fill="0F7EB4"/>
          </w:tcPr>
          <w:p w14:paraId="1A949B93" w14:textId="77777777" w:rsidR="00203F34" w:rsidRDefault="00E948F9" w:rsidP="00203F3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Assumptions</w:t>
            </w:r>
          </w:p>
        </w:tc>
        <w:tc>
          <w:tcPr>
            <w:tcW w:w="2658" w:type="dxa"/>
          </w:tcPr>
          <w:p w14:paraId="55CFAB9A" w14:textId="77777777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Going Concern</w:t>
            </w:r>
          </w:p>
          <w:p w14:paraId="522119B0" w14:textId="27B8517F" w:rsidR="00E948F9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Entity</w:t>
            </w:r>
          </w:p>
        </w:tc>
        <w:tc>
          <w:tcPr>
            <w:tcW w:w="2591" w:type="dxa"/>
          </w:tcPr>
          <w:p w14:paraId="78C0419B" w14:textId="77777777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5AE3531F" w14:textId="02A1DF02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  <w:tc>
          <w:tcPr>
            <w:tcW w:w="2658" w:type="dxa"/>
          </w:tcPr>
          <w:p w14:paraId="12B5CCD9" w14:textId="77777777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5DF8B276" w14:textId="1DC110FF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  <w:tc>
          <w:tcPr>
            <w:tcW w:w="2658" w:type="dxa"/>
          </w:tcPr>
          <w:p w14:paraId="7282A3BA" w14:textId="77777777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28E34FC8" w14:textId="18D004CB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  <w:tc>
          <w:tcPr>
            <w:tcW w:w="2658" w:type="dxa"/>
          </w:tcPr>
          <w:p w14:paraId="774C4FDE" w14:textId="77777777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Entity</w:t>
            </w:r>
          </w:p>
          <w:p w14:paraId="7F549AB6" w14:textId="694781D2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Accrual</w:t>
            </w:r>
          </w:p>
          <w:p w14:paraId="33786940" w14:textId="6BC03672" w:rsidR="00203F34" w:rsidRDefault="00203F34" w:rsidP="00203F34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Period</w:t>
            </w:r>
          </w:p>
        </w:tc>
      </w:tr>
      <w:tr w:rsidR="00E45E84" w:rsidRPr="007C29E4" w14:paraId="269A37A4" w14:textId="77777777" w:rsidTr="00383776">
        <w:tc>
          <w:tcPr>
            <w:tcW w:w="1555" w:type="dxa"/>
            <w:tcBorders>
              <w:top w:val="single" w:sz="4" w:space="0" w:color="auto"/>
            </w:tcBorders>
            <w:shd w:val="clear" w:color="auto" w:fill="0F7EB4"/>
          </w:tcPr>
          <w:p w14:paraId="66D27796" w14:textId="3BA42703" w:rsidR="00E45E84" w:rsidRDefault="00E948F9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Elements</w:t>
            </w:r>
          </w:p>
        </w:tc>
        <w:tc>
          <w:tcPr>
            <w:tcW w:w="2658" w:type="dxa"/>
          </w:tcPr>
          <w:p w14:paraId="3342AC54" w14:textId="24B47074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Assets, Liabilities, Owners Equity</w:t>
            </w:r>
          </w:p>
        </w:tc>
        <w:tc>
          <w:tcPr>
            <w:tcW w:w="2591" w:type="dxa"/>
          </w:tcPr>
          <w:p w14:paraId="1FD9EF81" w14:textId="51221B64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Revenue, Expenses</w:t>
            </w:r>
          </w:p>
        </w:tc>
        <w:tc>
          <w:tcPr>
            <w:tcW w:w="2658" w:type="dxa"/>
          </w:tcPr>
          <w:p w14:paraId="5CBC61F9" w14:textId="778A701C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Sales Returns</w:t>
            </w:r>
          </w:p>
          <w:p w14:paraId="06C5EB4D" w14:textId="2C7C8450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Purchase Returns</w:t>
            </w:r>
          </w:p>
        </w:tc>
        <w:tc>
          <w:tcPr>
            <w:tcW w:w="2658" w:type="dxa"/>
          </w:tcPr>
          <w:p w14:paraId="72BAD949" w14:textId="77777777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Discount Expense</w:t>
            </w:r>
          </w:p>
          <w:p w14:paraId="71E0AEBA" w14:textId="3176CF8D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Discount Revenue</w:t>
            </w:r>
          </w:p>
        </w:tc>
        <w:tc>
          <w:tcPr>
            <w:tcW w:w="2658" w:type="dxa"/>
          </w:tcPr>
          <w:p w14:paraId="539C19E5" w14:textId="6650D777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Accumulated Depreciation</w:t>
            </w:r>
          </w:p>
        </w:tc>
      </w:tr>
      <w:tr w:rsidR="00E45E84" w:rsidRPr="007C29E4" w14:paraId="5742561B" w14:textId="77777777" w:rsidTr="00383776">
        <w:trPr>
          <w:trHeight w:val="874"/>
        </w:trPr>
        <w:tc>
          <w:tcPr>
            <w:tcW w:w="1555" w:type="dxa"/>
            <w:shd w:val="clear" w:color="auto" w:fill="0F7EB4"/>
          </w:tcPr>
          <w:p w14:paraId="137E3EAD" w14:textId="4E69CADB" w:rsidR="00E45E84" w:rsidRDefault="00E948F9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Reports</w:t>
            </w:r>
          </w:p>
        </w:tc>
        <w:tc>
          <w:tcPr>
            <w:tcW w:w="2658" w:type="dxa"/>
          </w:tcPr>
          <w:p w14:paraId="6D374019" w14:textId="0D391A50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</w:t>
            </w:r>
          </w:p>
        </w:tc>
        <w:tc>
          <w:tcPr>
            <w:tcW w:w="2591" w:type="dxa"/>
          </w:tcPr>
          <w:p w14:paraId="7BA2E355" w14:textId="354B9330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Cover</w:t>
            </w:r>
          </w:p>
        </w:tc>
        <w:tc>
          <w:tcPr>
            <w:tcW w:w="2658" w:type="dxa"/>
          </w:tcPr>
          <w:p w14:paraId="2237319F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Statement</w:t>
            </w:r>
          </w:p>
          <w:p w14:paraId="32F83595" w14:textId="25B68AB3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Income Statement (trading)</w:t>
            </w:r>
          </w:p>
        </w:tc>
        <w:tc>
          <w:tcPr>
            <w:tcW w:w="2658" w:type="dxa"/>
          </w:tcPr>
          <w:p w14:paraId="45FF4542" w14:textId="0CFE5943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Statement</w:t>
            </w:r>
          </w:p>
          <w:p w14:paraId="2532E066" w14:textId="77777777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Income Statement</w:t>
            </w:r>
          </w:p>
          <w:p w14:paraId="772C58C9" w14:textId="3F63EB49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(trading)</w:t>
            </w:r>
          </w:p>
        </w:tc>
        <w:tc>
          <w:tcPr>
            <w:tcW w:w="2658" w:type="dxa"/>
          </w:tcPr>
          <w:p w14:paraId="7B57180B" w14:textId="63FB486D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</w:t>
            </w:r>
          </w:p>
        </w:tc>
      </w:tr>
      <w:tr w:rsidR="00E45E84" w:rsidRPr="007C29E4" w14:paraId="5645F8AB" w14:textId="77777777" w:rsidTr="00383776">
        <w:tc>
          <w:tcPr>
            <w:tcW w:w="1555" w:type="dxa"/>
            <w:shd w:val="clear" w:color="auto" w:fill="0F7EB4"/>
          </w:tcPr>
          <w:p w14:paraId="126E50EC" w14:textId="2D1A6986" w:rsidR="00E45E84" w:rsidRDefault="00E948F9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lastRenderedPageBreak/>
              <w:t>Financial Indicators</w:t>
            </w:r>
          </w:p>
        </w:tc>
        <w:tc>
          <w:tcPr>
            <w:tcW w:w="2658" w:type="dxa"/>
          </w:tcPr>
          <w:p w14:paraId="03F0AFA8" w14:textId="77777777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Return on Assets </w:t>
            </w:r>
          </w:p>
          <w:p w14:paraId="2D232F26" w14:textId="1E9CE457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Debt Ratio</w:t>
            </w:r>
          </w:p>
        </w:tc>
        <w:tc>
          <w:tcPr>
            <w:tcW w:w="2591" w:type="dxa"/>
          </w:tcPr>
          <w:p w14:paraId="39D48E3C" w14:textId="7457F5BD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Flow Cover</w:t>
            </w:r>
          </w:p>
        </w:tc>
        <w:tc>
          <w:tcPr>
            <w:tcW w:w="2658" w:type="dxa"/>
          </w:tcPr>
          <w:p w14:paraId="408BD8C8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Gross Profit Margin</w:t>
            </w:r>
          </w:p>
          <w:p w14:paraId="0A42A740" w14:textId="4D4880F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Net Profit Margin</w:t>
            </w:r>
          </w:p>
          <w:p w14:paraId="4B4166FB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Working Capital Ratio</w:t>
            </w:r>
          </w:p>
          <w:p w14:paraId="2EAD2F2F" w14:textId="2D948BDB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Quick Assets Ratio</w:t>
            </w:r>
          </w:p>
          <w:p w14:paraId="2A616DF0" w14:textId="1EA2B49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Inventory Turnover</w:t>
            </w:r>
          </w:p>
        </w:tc>
        <w:tc>
          <w:tcPr>
            <w:tcW w:w="2658" w:type="dxa"/>
          </w:tcPr>
          <w:p w14:paraId="4DB4EA9F" w14:textId="77777777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Acc. Receivable Turnover Acc Payable Turnover</w:t>
            </w:r>
          </w:p>
          <w:p w14:paraId="520F07A4" w14:textId="77777777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Inventory Turnover</w:t>
            </w:r>
          </w:p>
          <w:p w14:paraId="76C3575E" w14:textId="066D2BFB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Understanding the Cash Cycle</w:t>
            </w:r>
          </w:p>
        </w:tc>
        <w:tc>
          <w:tcPr>
            <w:tcW w:w="2658" w:type="dxa"/>
          </w:tcPr>
          <w:p w14:paraId="64DE8B4B" w14:textId="77777777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Return on Assets</w:t>
            </w:r>
          </w:p>
          <w:p w14:paraId="3EFBA06B" w14:textId="03E939E2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Debt Ration</w:t>
            </w:r>
          </w:p>
        </w:tc>
      </w:tr>
      <w:tr w:rsidR="00E45E84" w:rsidRPr="007C29E4" w14:paraId="6EB83911" w14:textId="77777777" w:rsidTr="00383776">
        <w:tc>
          <w:tcPr>
            <w:tcW w:w="1555" w:type="dxa"/>
            <w:shd w:val="clear" w:color="auto" w:fill="0F7EB4"/>
          </w:tcPr>
          <w:p w14:paraId="3F500CA4" w14:textId="4762D3B8" w:rsidR="00E45E84" w:rsidRDefault="00E948F9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Modelling (examples)</w:t>
            </w:r>
          </w:p>
        </w:tc>
        <w:tc>
          <w:tcPr>
            <w:tcW w:w="2658" w:type="dxa"/>
          </w:tcPr>
          <w:p w14:paraId="6237C8FC" w14:textId="77777777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Price Setting</w:t>
            </w:r>
          </w:p>
          <w:p w14:paraId="7D01C01F" w14:textId="6E4941D5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Cash only, mixed, no cash</w:t>
            </w:r>
          </w:p>
        </w:tc>
        <w:tc>
          <w:tcPr>
            <w:tcW w:w="2591" w:type="dxa"/>
          </w:tcPr>
          <w:p w14:paraId="5D1B27C6" w14:textId="77777777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Service </w:t>
            </w:r>
            <w:r w:rsidR="00E948F9">
              <w:rPr>
                <w:lang w:val="en-AU"/>
              </w:rPr>
              <w:t>options</w:t>
            </w:r>
          </w:p>
          <w:p w14:paraId="0794A776" w14:textId="77777777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Supply options</w:t>
            </w:r>
          </w:p>
          <w:p w14:paraId="47346F94" w14:textId="2F91894D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Adding a trading element</w:t>
            </w:r>
          </w:p>
        </w:tc>
        <w:tc>
          <w:tcPr>
            <w:tcW w:w="2658" w:type="dxa"/>
          </w:tcPr>
          <w:p w14:paraId="05C0859A" w14:textId="77777777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Different </w:t>
            </w:r>
            <w:proofErr w:type="spellStart"/>
            <w:r>
              <w:rPr>
                <w:lang w:val="en-AU"/>
              </w:rPr>
              <w:t>suuply</w:t>
            </w:r>
            <w:proofErr w:type="spellEnd"/>
            <w:r>
              <w:rPr>
                <w:lang w:val="en-AU"/>
              </w:rPr>
              <w:t xml:space="preserve"> options</w:t>
            </w:r>
          </w:p>
          <w:p w14:paraId="3BBED16B" w14:textId="74C1BCC3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Packaging/repackaging</w:t>
            </w:r>
          </w:p>
          <w:p w14:paraId="41A96698" w14:textId="7E65FA31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Different delivery options</w:t>
            </w:r>
          </w:p>
        </w:tc>
        <w:tc>
          <w:tcPr>
            <w:tcW w:w="2658" w:type="dxa"/>
          </w:tcPr>
          <w:p w14:paraId="4F76BD78" w14:textId="77777777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Offering credit</w:t>
            </w:r>
          </w:p>
          <w:p w14:paraId="1AD1A94A" w14:textId="463B6BE0" w:rsidR="00203F3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Supporting collections</w:t>
            </w:r>
            <w:r w:rsidR="00383776">
              <w:rPr>
                <w:lang w:val="en-AU"/>
              </w:rPr>
              <w:t xml:space="preserve"> e.g.</w:t>
            </w:r>
            <w:r>
              <w:rPr>
                <w:lang w:val="en-AU"/>
              </w:rPr>
              <w:t xml:space="preserve"> additional staff, outsources</w:t>
            </w:r>
          </w:p>
        </w:tc>
        <w:tc>
          <w:tcPr>
            <w:tcW w:w="2658" w:type="dxa"/>
          </w:tcPr>
          <w:p w14:paraId="78584E13" w14:textId="0787E9D1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Differently NCA </w:t>
            </w:r>
            <w:proofErr w:type="spellStart"/>
            <w:r>
              <w:rPr>
                <w:lang w:val="en-AU"/>
              </w:rPr>
              <w:t>purch</w:t>
            </w:r>
            <w:proofErr w:type="spellEnd"/>
            <w:r>
              <w:rPr>
                <w:lang w:val="en-AU"/>
              </w:rPr>
              <w:t xml:space="preserve"> options Purchasing an NCA or other options, </w:t>
            </w:r>
            <w:proofErr w:type="spellStart"/>
            <w:r>
              <w:rPr>
                <w:lang w:val="en-AU"/>
              </w:rPr>
              <w:t>eg</w:t>
            </w:r>
            <w:proofErr w:type="spellEnd"/>
            <w:r>
              <w:rPr>
                <w:lang w:val="en-AU"/>
              </w:rPr>
              <w:t>, lease, outsource</w:t>
            </w:r>
          </w:p>
        </w:tc>
      </w:tr>
      <w:tr w:rsidR="00E45E84" w:rsidRPr="007C29E4" w14:paraId="7D7DE27F" w14:textId="77777777" w:rsidTr="00383776">
        <w:trPr>
          <w:trHeight w:val="1381"/>
        </w:trPr>
        <w:tc>
          <w:tcPr>
            <w:tcW w:w="1555" w:type="dxa"/>
            <w:shd w:val="clear" w:color="auto" w:fill="0F7EB4"/>
          </w:tcPr>
          <w:p w14:paraId="6DA0794C" w14:textId="15A36331" w:rsidR="00E45E84" w:rsidRDefault="00E948F9" w:rsidP="00E45E84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Graphical Representations (examples)</w:t>
            </w:r>
          </w:p>
        </w:tc>
        <w:tc>
          <w:tcPr>
            <w:tcW w:w="2658" w:type="dxa"/>
          </w:tcPr>
          <w:p w14:paraId="405A4FAC" w14:textId="7E3C84BA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Balance Sheet, Debt Ration, Price Setting</w:t>
            </w:r>
          </w:p>
        </w:tc>
        <w:tc>
          <w:tcPr>
            <w:tcW w:w="2591" w:type="dxa"/>
          </w:tcPr>
          <w:p w14:paraId="63AF4516" w14:textId="0056DB0F" w:rsidR="00E45E84" w:rsidRDefault="00203F3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Sections of CSF and profit data</w:t>
            </w:r>
          </w:p>
        </w:tc>
        <w:tc>
          <w:tcPr>
            <w:tcW w:w="2658" w:type="dxa"/>
          </w:tcPr>
          <w:p w14:paraId="55FA4165" w14:textId="4468DE99" w:rsidR="00E45E84" w:rsidRDefault="00E45E84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ITO, Sales, GP, NP</w:t>
            </w:r>
          </w:p>
        </w:tc>
        <w:tc>
          <w:tcPr>
            <w:tcW w:w="2658" w:type="dxa"/>
          </w:tcPr>
          <w:p w14:paraId="0457D112" w14:textId="77777777" w:rsidR="00383776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 xml:space="preserve">ITO, ARTO, APTO, Cash </w:t>
            </w:r>
          </w:p>
          <w:p w14:paraId="6B4D0BB3" w14:textId="2E0B58BB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Cycle</w:t>
            </w:r>
          </w:p>
          <w:p w14:paraId="7CABA8D0" w14:textId="43628EBE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Age of Acc Receivable</w:t>
            </w:r>
          </w:p>
        </w:tc>
        <w:tc>
          <w:tcPr>
            <w:tcW w:w="2658" w:type="dxa"/>
          </w:tcPr>
          <w:p w14:paraId="44300C21" w14:textId="77777777" w:rsidR="00E45E84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Depreciation</w:t>
            </w:r>
          </w:p>
          <w:p w14:paraId="10E54388" w14:textId="77777777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ROA</w:t>
            </w:r>
          </w:p>
          <w:p w14:paraId="60782DB2" w14:textId="68B22CA3" w:rsidR="00E948F9" w:rsidRDefault="00E948F9" w:rsidP="00E30E05">
            <w:pPr>
              <w:pStyle w:val="Tablecondensed"/>
              <w:rPr>
                <w:lang w:val="en-AU"/>
              </w:rPr>
            </w:pPr>
            <w:r>
              <w:rPr>
                <w:lang w:val="en-AU"/>
              </w:rPr>
              <w:t>Debt Ratio</w:t>
            </w:r>
          </w:p>
        </w:tc>
      </w:tr>
      <w:tr w:rsidR="00E45E84" w:rsidRPr="007C29E4" w14:paraId="1ADD3AC7" w14:textId="77777777" w:rsidTr="00383776">
        <w:trPr>
          <w:trHeight w:val="784"/>
        </w:trPr>
        <w:tc>
          <w:tcPr>
            <w:tcW w:w="1555" w:type="dxa"/>
            <w:shd w:val="clear" w:color="auto" w:fill="0F7EB4"/>
          </w:tcPr>
          <w:p w14:paraId="67C07AA2" w14:textId="26FBC514" w:rsidR="00E45E84" w:rsidRPr="007C29E4" w:rsidRDefault="00E948F9" w:rsidP="00E948F9">
            <w:pPr>
              <w:pStyle w:val="Tablecondensedheading"/>
              <w:rPr>
                <w:lang w:val="en-AU"/>
              </w:rPr>
            </w:pPr>
            <w:r>
              <w:rPr>
                <w:lang w:val="en-AU"/>
              </w:rPr>
              <w:t>Graphical Representations (examples)</w:t>
            </w:r>
          </w:p>
        </w:tc>
        <w:tc>
          <w:tcPr>
            <w:tcW w:w="5249" w:type="dxa"/>
            <w:gridSpan w:val="2"/>
          </w:tcPr>
          <w:p w14:paraId="21FEE90D" w14:textId="77777777" w:rsidR="00E45E84" w:rsidRDefault="00203F34" w:rsidP="00383776">
            <w:pPr>
              <w:pStyle w:val="Numbers"/>
              <w:spacing w:before="0"/>
              <w:rPr>
                <w:lang w:val="en-AU"/>
              </w:rPr>
            </w:pPr>
            <w:r>
              <w:rPr>
                <w:lang w:val="en-AU"/>
              </w:rPr>
              <w:t>Mobile Business Part A (AOS)* Part B (AOS2)</w:t>
            </w:r>
          </w:p>
          <w:p w14:paraId="5DE69BA6" w14:textId="77777777" w:rsidR="00203F34" w:rsidRDefault="00203F34" w:rsidP="00E45E84">
            <w:pPr>
              <w:pStyle w:val="Numbers"/>
              <w:rPr>
                <w:lang w:val="en-AU"/>
              </w:rPr>
            </w:pPr>
            <w:r>
              <w:rPr>
                <w:lang w:val="en-AU"/>
              </w:rPr>
              <w:t>Folio of exercises</w:t>
            </w:r>
          </w:p>
          <w:p w14:paraId="5C62BC57" w14:textId="69A599C3" w:rsidR="00203F34" w:rsidRDefault="00203F34" w:rsidP="00E45E84">
            <w:pPr>
              <w:pStyle w:val="Numbers"/>
              <w:rPr>
                <w:lang w:val="en-AU"/>
              </w:rPr>
            </w:pPr>
            <w:r>
              <w:rPr>
                <w:lang w:val="en-AU"/>
              </w:rPr>
              <w:t>Exam</w:t>
            </w:r>
          </w:p>
        </w:tc>
        <w:tc>
          <w:tcPr>
            <w:tcW w:w="7977" w:type="dxa"/>
            <w:gridSpan w:val="3"/>
          </w:tcPr>
          <w:p w14:paraId="0FA6C1AC" w14:textId="73B35A86" w:rsidR="00E45E84" w:rsidRPr="00203F34" w:rsidRDefault="00E45E84" w:rsidP="00383776">
            <w:pPr>
              <w:pStyle w:val="Numbers"/>
              <w:numPr>
                <w:ilvl w:val="0"/>
                <w:numId w:val="17"/>
              </w:numPr>
              <w:ind w:hanging="1287"/>
              <w:rPr>
                <w:lang w:val="en-AU"/>
              </w:rPr>
            </w:pPr>
            <w:r w:rsidRPr="00203F34">
              <w:rPr>
                <w:lang w:val="en-AU"/>
              </w:rPr>
              <w:t>Folio of Exercises*</w:t>
            </w:r>
          </w:p>
          <w:p w14:paraId="79D3C22B" w14:textId="77777777" w:rsidR="00E45E84" w:rsidRDefault="00E45E84" w:rsidP="00E45E84">
            <w:pPr>
              <w:pStyle w:val="Numbers"/>
              <w:rPr>
                <w:lang w:val="en-AU"/>
              </w:rPr>
            </w:pPr>
            <w:r>
              <w:rPr>
                <w:lang w:val="en-AU"/>
              </w:rPr>
              <w:t>Structures Questions (under the test conditions)</w:t>
            </w:r>
          </w:p>
          <w:p w14:paraId="476C253C" w14:textId="227328D6" w:rsidR="00E45E84" w:rsidRPr="00E45E84" w:rsidRDefault="00E45E84" w:rsidP="00E45E84">
            <w:pPr>
              <w:pStyle w:val="Numbers"/>
              <w:rPr>
                <w:lang w:val="en-AU"/>
              </w:rPr>
            </w:pPr>
            <w:r>
              <w:rPr>
                <w:lang w:val="en-AU"/>
              </w:rPr>
              <w:t>Exam</w:t>
            </w:r>
          </w:p>
        </w:tc>
      </w:tr>
    </w:tbl>
    <w:p w14:paraId="34249ED0" w14:textId="77777777" w:rsidR="00F4525C" w:rsidRPr="007C29E4" w:rsidRDefault="00F4525C" w:rsidP="005D3D78">
      <w:pPr>
        <w:rPr>
          <w:lang w:val="en-AU"/>
        </w:rPr>
      </w:pPr>
    </w:p>
    <w:sectPr w:rsidR="00F4525C" w:rsidRPr="007C29E4" w:rsidSect="00EB450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2" w:right="567" w:bottom="851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091634026" name="Picture 1091634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228110468" name="Picture 228110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695667318" name="Picture 16956673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E055A33" w:rsidR="00FD29D3" w:rsidRPr="00FB42AE" w:rsidRDefault="008743AD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8743AD">
          <w:rPr>
            <w:color w:val="auto"/>
          </w:rPr>
          <w:t>Characteristics of Study -</w:t>
        </w:r>
        <w:r>
          <w:rPr>
            <w:color w:val="auto"/>
          </w:rPr>
          <w:t xml:space="preserve"> </w:t>
        </w:r>
        <w:r w:rsidRPr="008743AD">
          <w:rPr>
            <w:color w:val="auto"/>
          </w:rPr>
          <w:t>Sample model for Units 1 and 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544515096" name="Picture 544515096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560943766">
    <w:abstractNumId w:val="11"/>
    <w:lvlOverride w:ilvl="0">
      <w:startOverride w:val="1"/>
    </w:lvlOverride>
  </w:num>
  <w:num w:numId="17" w16cid:durableId="53512168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11C64"/>
    <w:rsid w:val="00143520"/>
    <w:rsid w:val="00153AD2"/>
    <w:rsid w:val="001779EA"/>
    <w:rsid w:val="001D3246"/>
    <w:rsid w:val="00203F34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83776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743AD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703FA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5E84"/>
    <w:rsid w:val="00E538E6"/>
    <w:rsid w:val="00E55AE9"/>
    <w:rsid w:val="00E948F9"/>
    <w:rsid w:val="00EB0C84"/>
    <w:rsid w:val="00EB4507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F38AF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FEA7-9F9B-4558-AC91-0DC7E85895C7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f77e68f7-c052-4667-a1a6-124cfe860c79"/>
    <ds:schemaRef ds:uri="91390586-87fb-46cf-92ab-e8c7138719e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Chracteristics of Study</vt:lpstr>
    </vt:vector>
  </TitlesOfParts>
  <Company>Victorian Curriculum and Assessment Authority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Study - Sample model for Units 1 and 2</dc:title>
  <dc:creator>Derek Tolan</dc:creator>
  <cp:lastModifiedBy>Vanessa Flores</cp:lastModifiedBy>
  <cp:revision>6</cp:revision>
  <cp:lastPrinted>2015-05-15T02:36:00Z</cp:lastPrinted>
  <dcterms:created xsi:type="dcterms:W3CDTF">2024-12-27T01:47:00Z</dcterms:created>
  <dcterms:modified xsi:type="dcterms:W3CDTF">2024-12-27T02:59:00Z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