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25C" w:rsidRPr="00D91EFE" w:rsidRDefault="00EC42E9" w:rsidP="00220593">
      <w:pPr>
        <w:pStyle w:val="VCAADocumenttitle"/>
        <w:spacing w:before="0" w:after="60" w:line="240" w:lineRule="auto"/>
        <w:rPr>
          <w:sz w:val="40"/>
          <w:szCs w:val="40"/>
        </w:rPr>
      </w:pPr>
      <w:r w:rsidRPr="00D91EFE">
        <w:rPr>
          <w:sz w:val="40"/>
          <w:szCs w:val="40"/>
        </w:rPr>
        <w:t xml:space="preserve">VCE </w:t>
      </w:r>
      <w:r w:rsidR="0094241C" w:rsidRPr="0094241C">
        <w:rPr>
          <w:sz w:val="40"/>
          <w:szCs w:val="40"/>
        </w:rPr>
        <w:t>Health and Human Development</w:t>
      </w:r>
      <w:r w:rsidRPr="00D91EFE">
        <w:rPr>
          <w:sz w:val="40"/>
          <w:szCs w:val="40"/>
        </w:rPr>
        <w:t>: Performance Descriptors</w:t>
      </w:r>
    </w:p>
    <w:tbl>
      <w:tblPr>
        <w:tblStyle w:val="TableGrid"/>
        <w:tblW w:w="0" w:type="auto"/>
        <w:tblLook w:val="04A0" w:firstRow="1" w:lastRow="0" w:firstColumn="1" w:lastColumn="0" w:noHBand="0" w:noVBand="1"/>
      </w:tblPr>
      <w:tblGrid>
        <w:gridCol w:w="2235"/>
        <w:gridCol w:w="2623"/>
        <w:gridCol w:w="2624"/>
        <w:gridCol w:w="2624"/>
        <w:gridCol w:w="2624"/>
        <w:gridCol w:w="2624"/>
      </w:tblGrid>
      <w:tr w:rsidR="00220593" w:rsidTr="00220593">
        <w:trPr>
          <w:trHeight w:val="639"/>
        </w:trPr>
        <w:tc>
          <w:tcPr>
            <w:tcW w:w="15354" w:type="dxa"/>
            <w:gridSpan w:val="6"/>
            <w:tcBorders>
              <w:top w:val="single" w:sz="4" w:space="0" w:color="auto"/>
              <w:left w:val="single" w:sz="4" w:space="0" w:color="auto"/>
              <w:bottom w:val="single" w:sz="4" w:space="0" w:color="auto"/>
              <w:right w:val="single" w:sz="4" w:space="0" w:color="auto"/>
            </w:tcBorders>
            <w:shd w:val="clear" w:color="auto" w:fill="DCE4F0" w:themeFill="accent6" w:themeFillTint="33"/>
            <w:vAlign w:val="center"/>
            <w:hideMark/>
          </w:tcPr>
          <w:p w:rsidR="00220593" w:rsidRDefault="00220593">
            <w:pPr>
              <w:tabs>
                <w:tab w:val="left" w:pos="9580"/>
              </w:tabs>
              <w:spacing w:before="120"/>
              <w:ind w:right="-136"/>
              <w:jc w:val="center"/>
              <w:rPr>
                <w:rFonts w:ascii="Arial Narrow" w:hAnsi="Arial Narrow"/>
                <w:b/>
                <w:sz w:val="24"/>
                <w:szCs w:val="24"/>
                <w:lang w:eastAsia="en-AU"/>
              </w:rPr>
            </w:pPr>
            <w:r>
              <w:rPr>
                <w:rFonts w:ascii="Arial Narrow" w:hAnsi="Arial Narrow"/>
                <w:b/>
                <w:sz w:val="24"/>
                <w:szCs w:val="24"/>
                <w:lang w:eastAsia="en-AU"/>
              </w:rPr>
              <w:t>VCE HEALTH AND HUMAN DEVELOPMENT</w:t>
            </w:r>
          </w:p>
          <w:p w:rsidR="00220593" w:rsidRDefault="00220593">
            <w:pPr>
              <w:spacing w:after="80"/>
              <w:jc w:val="center"/>
            </w:pPr>
            <w:r>
              <w:rPr>
                <w:rFonts w:ascii="Arial Narrow" w:hAnsi="Arial Narrow"/>
                <w:b/>
                <w:sz w:val="24"/>
                <w:szCs w:val="24"/>
                <w:lang w:eastAsia="en-AU"/>
              </w:rPr>
              <w:t>SCHOOL-ASSESSED COURSEWORK</w:t>
            </w:r>
          </w:p>
        </w:tc>
      </w:tr>
      <w:tr w:rsidR="00220593" w:rsidTr="00220593">
        <w:trPr>
          <w:trHeight w:val="295"/>
        </w:trPr>
        <w:tc>
          <w:tcPr>
            <w:tcW w:w="15354" w:type="dxa"/>
            <w:gridSpan w:val="6"/>
            <w:tcBorders>
              <w:top w:val="single" w:sz="4" w:space="0" w:color="auto"/>
              <w:left w:val="single" w:sz="4" w:space="0" w:color="auto"/>
              <w:bottom w:val="single" w:sz="4" w:space="0" w:color="auto"/>
              <w:right w:val="single" w:sz="4" w:space="0" w:color="auto"/>
            </w:tcBorders>
            <w:vAlign w:val="center"/>
            <w:hideMark/>
          </w:tcPr>
          <w:p w:rsidR="00220593" w:rsidRDefault="00220593">
            <w:pPr>
              <w:spacing w:before="60" w:after="60"/>
              <w:jc w:val="center"/>
            </w:pPr>
            <w:r>
              <w:rPr>
                <w:rFonts w:ascii="Arial Narrow" w:eastAsia="Calibri" w:hAnsi="Arial Narrow" w:cs="Cordia New"/>
                <w:b/>
              </w:rPr>
              <w:t>Performance Descriptors</w:t>
            </w:r>
          </w:p>
        </w:tc>
      </w:tr>
      <w:tr w:rsidR="00220593" w:rsidTr="00220593">
        <w:tc>
          <w:tcPr>
            <w:tcW w:w="15354" w:type="dxa"/>
            <w:gridSpan w:val="6"/>
            <w:tcBorders>
              <w:top w:val="single" w:sz="4" w:space="0" w:color="auto"/>
              <w:left w:val="nil"/>
              <w:bottom w:val="single" w:sz="4" w:space="0" w:color="auto"/>
              <w:right w:val="nil"/>
            </w:tcBorders>
          </w:tcPr>
          <w:p w:rsidR="00220593" w:rsidRDefault="00220593">
            <w:pPr>
              <w:rPr>
                <w:sz w:val="8"/>
                <w:szCs w:val="8"/>
              </w:rPr>
            </w:pPr>
          </w:p>
        </w:tc>
      </w:tr>
      <w:tr w:rsidR="00A955C8" w:rsidTr="00956185">
        <w:tc>
          <w:tcPr>
            <w:tcW w:w="2235" w:type="dxa"/>
            <w:vMerge w:val="restart"/>
            <w:tcBorders>
              <w:top w:val="single" w:sz="4" w:space="0" w:color="auto"/>
              <w:left w:val="single" w:sz="4" w:space="0" w:color="auto"/>
              <w:right w:val="single" w:sz="4" w:space="0" w:color="auto"/>
            </w:tcBorders>
            <w:vAlign w:val="center"/>
            <w:hideMark/>
          </w:tcPr>
          <w:p w:rsidR="00A955C8" w:rsidRDefault="00A955C8">
            <w:pPr>
              <w:rPr>
                <w:rFonts w:ascii="Arial Narrow" w:eastAsia="Calibri" w:hAnsi="Arial Narrow" w:cs="Cordia New"/>
                <w:b/>
                <w:bCs/>
                <w:i/>
                <w:iCs/>
                <w:color w:val="221E1F"/>
                <w:sz w:val="20"/>
                <w:szCs w:val="20"/>
              </w:rPr>
            </w:pPr>
            <w:r>
              <w:rPr>
                <w:rFonts w:ascii="Arial Narrow" w:eastAsia="Calibri" w:hAnsi="Arial Narrow" w:cs="Cordia New"/>
                <w:b/>
                <w:bCs/>
                <w:i/>
                <w:iCs/>
                <w:color w:val="221E1F"/>
                <w:sz w:val="20"/>
                <w:szCs w:val="20"/>
              </w:rPr>
              <w:t>Unit 3</w:t>
            </w:r>
          </w:p>
          <w:p w:rsidR="00A955C8" w:rsidRDefault="00A955C8">
            <w:pPr>
              <w:rPr>
                <w:rFonts w:ascii="Arial Narrow" w:eastAsia="Calibri" w:hAnsi="Arial Narrow" w:cs="Cordia New"/>
                <w:b/>
                <w:bCs/>
                <w:i/>
                <w:iCs/>
                <w:color w:val="221E1F"/>
                <w:sz w:val="20"/>
                <w:szCs w:val="20"/>
              </w:rPr>
            </w:pPr>
            <w:r>
              <w:rPr>
                <w:rFonts w:ascii="Arial Narrow" w:eastAsia="Calibri" w:hAnsi="Arial Narrow" w:cs="Cordia New"/>
                <w:b/>
                <w:bCs/>
                <w:i/>
                <w:iCs/>
                <w:color w:val="221E1F"/>
                <w:sz w:val="20"/>
                <w:szCs w:val="20"/>
              </w:rPr>
              <w:t>Outcome 2</w:t>
            </w:r>
          </w:p>
          <w:p w:rsidR="00A955C8" w:rsidRDefault="00A955C8">
            <w:pPr>
              <w:spacing w:before="120" w:after="120"/>
              <w:rPr>
                <w:rFonts w:ascii="Arial Narrow" w:hAnsi="Arial Narrow"/>
              </w:rPr>
            </w:pPr>
            <w:r>
              <w:rPr>
                <w:rFonts w:ascii="Arial Narrow" w:hAnsi="Arial Narrow"/>
                <w:b/>
                <w:sz w:val="18"/>
                <w:szCs w:val="18"/>
                <w:lang w:val="en-AU"/>
              </w:rPr>
              <w:t>Explain changes to public health approaches, analyse improvements in population health over time, and evaluate health promotion strategies.</w:t>
            </w:r>
          </w:p>
        </w:tc>
        <w:tc>
          <w:tcPr>
            <w:tcW w:w="13119" w:type="dxa"/>
            <w:gridSpan w:val="5"/>
            <w:tcBorders>
              <w:top w:val="single" w:sz="4" w:space="0" w:color="auto"/>
              <w:left w:val="single" w:sz="4" w:space="0" w:color="auto"/>
              <w:bottom w:val="single" w:sz="4" w:space="0" w:color="auto"/>
              <w:right w:val="single" w:sz="4" w:space="0" w:color="auto"/>
            </w:tcBorders>
            <w:vAlign w:val="center"/>
            <w:hideMark/>
          </w:tcPr>
          <w:p w:rsidR="00A955C8" w:rsidRDefault="00A955C8">
            <w:pPr>
              <w:spacing w:before="80" w:after="80"/>
              <w:jc w:val="center"/>
              <w:rPr>
                <w:rFonts w:ascii="Arial Narrow" w:hAnsi="Arial Narrow"/>
              </w:rPr>
            </w:pPr>
            <w:r>
              <w:rPr>
                <w:rFonts w:ascii="Arial Narrow" w:eastAsia="Calibri" w:hAnsi="Arial Narrow"/>
                <w:b/>
                <w:lang w:val="en-AU"/>
              </w:rPr>
              <w:t>DESCRIPTOR: typical performance in each range</w:t>
            </w:r>
          </w:p>
        </w:tc>
      </w:tr>
      <w:tr w:rsidR="00A955C8" w:rsidTr="00956185">
        <w:tc>
          <w:tcPr>
            <w:tcW w:w="0" w:type="auto"/>
            <w:vMerge/>
            <w:tcBorders>
              <w:left w:val="single" w:sz="4" w:space="0" w:color="auto"/>
              <w:right w:val="single" w:sz="4" w:space="0" w:color="auto"/>
            </w:tcBorders>
            <w:vAlign w:val="center"/>
            <w:hideMark/>
          </w:tcPr>
          <w:p w:rsidR="00A955C8" w:rsidRDefault="00A955C8">
            <w:pPr>
              <w:rPr>
                <w:rFonts w:ascii="Arial Narrow" w:hAnsi="Arial Narrow"/>
              </w:rPr>
            </w:pPr>
          </w:p>
        </w:tc>
        <w:tc>
          <w:tcPr>
            <w:tcW w:w="2623" w:type="dxa"/>
            <w:tcBorders>
              <w:top w:val="single" w:sz="4" w:space="0" w:color="auto"/>
              <w:left w:val="single" w:sz="4" w:space="0" w:color="auto"/>
              <w:bottom w:val="single" w:sz="4" w:space="0" w:color="auto"/>
              <w:right w:val="single" w:sz="4" w:space="0" w:color="auto"/>
            </w:tcBorders>
            <w:vAlign w:val="center"/>
            <w:hideMark/>
          </w:tcPr>
          <w:p w:rsidR="00A955C8" w:rsidRDefault="00A955C8">
            <w:pPr>
              <w:spacing w:before="60" w:after="60"/>
              <w:jc w:val="center"/>
              <w:rPr>
                <w:rFonts w:ascii="Arial Narrow" w:hAnsi="Arial Narrow"/>
              </w:rPr>
            </w:pPr>
            <w:r>
              <w:rPr>
                <w:rFonts w:ascii="Arial Narrow" w:hAnsi="Arial Narrow" w:cs="Arial"/>
                <w:b/>
                <w:bCs/>
                <w:sz w:val="20"/>
                <w:szCs w:val="20"/>
                <w:lang w:eastAsia="en-AU"/>
              </w:rPr>
              <w:t>Very low</w:t>
            </w:r>
          </w:p>
        </w:tc>
        <w:tc>
          <w:tcPr>
            <w:tcW w:w="2624" w:type="dxa"/>
            <w:tcBorders>
              <w:top w:val="single" w:sz="4" w:space="0" w:color="auto"/>
              <w:left w:val="single" w:sz="4" w:space="0" w:color="auto"/>
              <w:bottom w:val="single" w:sz="4" w:space="0" w:color="auto"/>
              <w:right w:val="single" w:sz="4" w:space="0" w:color="auto"/>
            </w:tcBorders>
            <w:vAlign w:val="center"/>
            <w:hideMark/>
          </w:tcPr>
          <w:p w:rsidR="00A955C8" w:rsidRDefault="00A955C8">
            <w:pPr>
              <w:spacing w:before="60" w:after="60"/>
              <w:jc w:val="center"/>
              <w:rPr>
                <w:rFonts w:ascii="Arial Narrow" w:hAnsi="Arial Narrow"/>
              </w:rPr>
            </w:pPr>
            <w:r>
              <w:rPr>
                <w:rFonts w:ascii="Arial Narrow" w:eastAsia="Calibri" w:hAnsi="Arial Narrow" w:cs="Arial"/>
                <w:b/>
                <w:bCs/>
                <w:sz w:val="20"/>
                <w:szCs w:val="20"/>
              </w:rPr>
              <w:t>Low</w:t>
            </w:r>
          </w:p>
        </w:tc>
        <w:tc>
          <w:tcPr>
            <w:tcW w:w="2624" w:type="dxa"/>
            <w:tcBorders>
              <w:top w:val="single" w:sz="4" w:space="0" w:color="auto"/>
              <w:left w:val="single" w:sz="4" w:space="0" w:color="auto"/>
              <w:bottom w:val="single" w:sz="4" w:space="0" w:color="auto"/>
              <w:right w:val="single" w:sz="4" w:space="0" w:color="auto"/>
            </w:tcBorders>
            <w:vAlign w:val="center"/>
            <w:hideMark/>
          </w:tcPr>
          <w:p w:rsidR="00A955C8" w:rsidRDefault="00A955C8">
            <w:pPr>
              <w:spacing w:before="60" w:after="60"/>
              <w:jc w:val="center"/>
              <w:rPr>
                <w:rFonts w:ascii="Arial Narrow" w:hAnsi="Arial Narrow"/>
              </w:rPr>
            </w:pPr>
            <w:r>
              <w:rPr>
                <w:rFonts w:ascii="Arial Narrow" w:eastAsia="Calibri" w:hAnsi="Arial Narrow" w:cs="Arial"/>
                <w:b/>
                <w:sz w:val="20"/>
                <w:szCs w:val="20"/>
              </w:rPr>
              <w:t>Medium</w:t>
            </w:r>
          </w:p>
        </w:tc>
        <w:tc>
          <w:tcPr>
            <w:tcW w:w="2624" w:type="dxa"/>
            <w:tcBorders>
              <w:top w:val="single" w:sz="4" w:space="0" w:color="auto"/>
              <w:left w:val="single" w:sz="4" w:space="0" w:color="auto"/>
              <w:bottom w:val="single" w:sz="4" w:space="0" w:color="auto"/>
              <w:right w:val="single" w:sz="4" w:space="0" w:color="auto"/>
            </w:tcBorders>
            <w:vAlign w:val="center"/>
            <w:hideMark/>
          </w:tcPr>
          <w:p w:rsidR="00A955C8" w:rsidRDefault="00A955C8">
            <w:pPr>
              <w:spacing w:before="60" w:after="60"/>
              <w:jc w:val="center"/>
              <w:rPr>
                <w:rFonts w:ascii="Arial Narrow" w:hAnsi="Arial Narrow"/>
              </w:rPr>
            </w:pPr>
            <w:r>
              <w:rPr>
                <w:rFonts w:ascii="Arial Narrow" w:eastAsia="Calibri" w:hAnsi="Arial Narrow" w:cs="Arial"/>
                <w:b/>
                <w:bCs/>
                <w:sz w:val="20"/>
                <w:szCs w:val="20"/>
              </w:rPr>
              <w:t>High</w:t>
            </w:r>
          </w:p>
        </w:tc>
        <w:tc>
          <w:tcPr>
            <w:tcW w:w="2624" w:type="dxa"/>
            <w:tcBorders>
              <w:top w:val="single" w:sz="4" w:space="0" w:color="auto"/>
              <w:left w:val="single" w:sz="4" w:space="0" w:color="auto"/>
              <w:bottom w:val="single" w:sz="4" w:space="0" w:color="auto"/>
              <w:right w:val="single" w:sz="4" w:space="0" w:color="auto"/>
            </w:tcBorders>
            <w:vAlign w:val="center"/>
            <w:hideMark/>
          </w:tcPr>
          <w:p w:rsidR="00A955C8" w:rsidRDefault="00A955C8">
            <w:pPr>
              <w:spacing w:before="60" w:after="60"/>
              <w:jc w:val="center"/>
              <w:rPr>
                <w:rFonts w:ascii="Arial Narrow" w:hAnsi="Arial Narrow"/>
              </w:rPr>
            </w:pPr>
            <w:r>
              <w:rPr>
                <w:rFonts w:ascii="Arial Narrow" w:eastAsia="Calibri" w:hAnsi="Arial Narrow" w:cs="Arial"/>
                <w:b/>
                <w:sz w:val="20"/>
                <w:szCs w:val="20"/>
              </w:rPr>
              <w:t>Very high</w:t>
            </w:r>
          </w:p>
        </w:tc>
      </w:tr>
      <w:tr w:rsidR="00A955C8" w:rsidTr="00956185">
        <w:trPr>
          <w:trHeight w:val="737"/>
        </w:trPr>
        <w:tc>
          <w:tcPr>
            <w:tcW w:w="0" w:type="auto"/>
            <w:vMerge/>
            <w:tcBorders>
              <w:left w:val="single" w:sz="4" w:space="0" w:color="auto"/>
              <w:right w:val="single" w:sz="4" w:space="0" w:color="auto"/>
            </w:tcBorders>
            <w:vAlign w:val="center"/>
            <w:hideMark/>
          </w:tcPr>
          <w:p w:rsidR="00A955C8" w:rsidRDefault="00A955C8">
            <w:pPr>
              <w:rPr>
                <w:rFonts w:ascii="Arial Narrow" w:hAnsi="Arial Narrow"/>
              </w:rPr>
            </w:pPr>
          </w:p>
        </w:tc>
        <w:tc>
          <w:tcPr>
            <w:tcW w:w="2623" w:type="dxa"/>
            <w:tcBorders>
              <w:top w:val="single" w:sz="4" w:space="0" w:color="auto"/>
              <w:left w:val="single" w:sz="4" w:space="0" w:color="auto"/>
              <w:bottom w:val="single" w:sz="4" w:space="0" w:color="auto"/>
              <w:right w:val="single" w:sz="4" w:space="0" w:color="auto"/>
            </w:tcBorders>
            <w:hideMark/>
          </w:tcPr>
          <w:p w:rsidR="00A955C8" w:rsidRDefault="00A955C8">
            <w:pPr>
              <w:spacing w:before="80" w:after="80"/>
              <w:rPr>
                <w:rFonts w:ascii="Arial Narrow" w:hAnsi="Arial Narrow"/>
                <w:sz w:val="18"/>
                <w:szCs w:val="18"/>
                <w:highlight w:val="yellow"/>
              </w:rPr>
            </w:pPr>
            <w:r>
              <w:rPr>
                <w:rFonts w:ascii="Arial Narrow" w:hAnsi="Arial Narrow"/>
                <w:sz w:val="18"/>
                <w:szCs w:val="18"/>
              </w:rPr>
              <w:t>Limited description of the changes to public health approaches</w:t>
            </w:r>
          </w:p>
        </w:tc>
        <w:tc>
          <w:tcPr>
            <w:tcW w:w="2624" w:type="dxa"/>
            <w:tcBorders>
              <w:top w:val="single" w:sz="4" w:space="0" w:color="auto"/>
              <w:left w:val="single" w:sz="4" w:space="0" w:color="auto"/>
              <w:bottom w:val="single" w:sz="4" w:space="0" w:color="auto"/>
              <w:right w:val="single" w:sz="4" w:space="0" w:color="auto"/>
            </w:tcBorders>
            <w:hideMark/>
          </w:tcPr>
          <w:p w:rsidR="00A955C8" w:rsidRDefault="00A955C8">
            <w:pPr>
              <w:spacing w:before="80" w:after="80"/>
              <w:rPr>
                <w:rFonts w:ascii="Arial Narrow" w:hAnsi="Arial Narrow"/>
                <w:sz w:val="18"/>
                <w:szCs w:val="18"/>
                <w:highlight w:val="yellow"/>
              </w:rPr>
            </w:pPr>
            <w:r>
              <w:rPr>
                <w:rFonts w:ascii="Arial Narrow" w:hAnsi="Arial Narrow"/>
                <w:sz w:val="18"/>
                <w:szCs w:val="18"/>
              </w:rPr>
              <w:t>Some explanation of the changes to public health approaches</w:t>
            </w:r>
          </w:p>
        </w:tc>
        <w:tc>
          <w:tcPr>
            <w:tcW w:w="2624" w:type="dxa"/>
            <w:tcBorders>
              <w:top w:val="single" w:sz="4" w:space="0" w:color="auto"/>
              <w:left w:val="single" w:sz="4" w:space="0" w:color="auto"/>
              <w:bottom w:val="single" w:sz="4" w:space="0" w:color="auto"/>
              <w:right w:val="single" w:sz="4" w:space="0" w:color="auto"/>
            </w:tcBorders>
            <w:hideMark/>
          </w:tcPr>
          <w:p w:rsidR="00A955C8" w:rsidRDefault="00A955C8">
            <w:pPr>
              <w:spacing w:before="80" w:after="80"/>
              <w:rPr>
                <w:rFonts w:ascii="Arial Narrow" w:hAnsi="Arial Narrow"/>
                <w:sz w:val="18"/>
                <w:szCs w:val="18"/>
                <w:highlight w:val="yellow"/>
              </w:rPr>
            </w:pPr>
            <w:r>
              <w:rPr>
                <w:rFonts w:ascii="Arial Narrow" w:hAnsi="Arial Narrow"/>
                <w:sz w:val="18"/>
                <w:szCs w:val="18"/>
              </w:rPr>
              <w:t>Clear and mainly accurate explanation of the changes to public health approaches</w:t>
            </w:r>
          </w:p>
        </w:tc>
        <w:tc>
          <w:tcPr>
            <w:tcW w:w="2624" w:type="dxa"/>
            <w:tcBorders>
              <w:top w:val="single" w:sz="4" w:space="0" w:color="auto"/>
              <w:left w:val="single" w:sz="4" w:space="0" w:color="auto"/>
              <w:bottom w:val="single" w:sz="4" w:space="0" w:color="auto"/>
              <w:right w:val="single" w:sz="4" w:space="0" w:color="auto"/>
            </w:tcBorders>
            <w:hideMark/>
          </w:tcPr>
          <w:p w:rsidR="00A955C8" w:rsidRDefault="00A955C8">
            <w:pPr>
              <w:spacing w:before="80" w:after="80"/>
              <w:rPr>
                <w:rFonts w:ascii="Arial Narrow" w:hAnsi="Arial Narrow"/>
                <w:sz w:val="18"/>
                <w:szCs w:val="18"/>
                <w:highlight w:val="yellow"/>
              </w:rPr>
            </w:pPr>
            <w:r>
              <w:rPr>
                <w:rFonts w:ascii="Arial Narrow" w:hAnsi="Arial Narrow"/>
                <w:sz w:val="18"/>
                <w:szCs w:val="18"/>
              </w:rPr>
              <w:t>Detailed and accurate explanation of the changes to public health approaches</w:t>
            </w:r>
          </w:p>
        </w:tc>
        <w:tc>
          <w:tcPr>
            <w:tcW w:w="2624" w:type="dxa"/>
            <w:tcBorders>
              <w:top w:val="single" w:sz="4" w:space="0" w:color="auto"/>
              <w:left w:val="single" w:sz="4" w:space="0" w:color="auto"/>
              <w:bottom w:val="single" w:sz="4" w:space="0" w:color="auto"/>
              <w:right w:val="single" w:sz="4" w:space="0" w:color="auto"/>
            </w:tcBorders>
            <w:hideMark/>
          </w:tcPr>
          <w:p w:rsidR="00A955C8" w:rsidRDefault="00A955C8">
            <w:pPr>
              <w:spacing w:before="80" w:after="80"/>
              <w:rPr>
                <w:rFonts w:ascii="Arial Narrow" w:hAnsi="Arial Narrow"/>
                <w:sz w:val="18"/>
                <w:szCs w:val="18"/>
                <w:highlight w:val="yellow"/>
              </w:rPr>
            </w:pPr>
            <w:r>
              <w:rPr>
                <w:rFonts w:ascii="Arial Narrow" w:hAnsi="Arial Narrow"/>
                <w:sz w:val="18"/>
                <w:szCs w:val="18"/>
              </w:rPr>
              <w:t>Comprehensive and accurate explanation of the changes to public health approaches</w:t>
            </w:r>
          </w:p>
        </w:tc>
      </w:tr>
      <w:tr w:rsidR="00A955C8" w:rsidTr="00956185">
        <w:tc>
          <w:tcPr>
            <w:tcW w:w="0" w:type="auto"/>
            <w:vMerge/>
            <w:tcBorders>
              <w:left w:val="single" w:sz="4" w:space="0" w:color="auto"/>
              <w:right w:val="single" w:sz="4" w:space="0" w:color="auto"/>
            </w:tcBorders>
            <w:vAlign w:val="center"/>
            <w:hideMark/>
          </w:tcPr>
          <w:p w:rsidR="00A955C8" w:rsidRDefault="00A955C8">
            <w:pPr>
              <w:rPr>
                <w:rFonts w:ascii="Arial Narrow" w:hAnsi="Arial Narrow"/>
              </w:rPr>
            </w:pPr>
          </w:p>
        </w:tc>
        <w:tc>
          <w:tcPr>
            <w:tcW w:w="2623" w:type="dxa"/>
            <w:tcBorders>
              <w:top w:val="single" w:sz="4" w:space="0" w:color="auto"/>
              <w:left w:val="single" w:sz="4" w:space="0" w:color="auto"/>
              <w:bottom w:val="single" w:sz="4" w:space="0" w:color="auto"/>
              <w:right w:val="single" w:sz="4" w:space="0" w:color="auto"/>
            </w:tcBorders>
            <w:hideMark/>
          </w:tcPr>
          <w:p w:rsidR="00A955C8" w:rsidRDefault="00A955C8">
            <w:pPr>
              <w:spacing w:before="80" w:after="80"/>
              <w:rPr>
                <w:rFonts w:ascii="Arial Narrow" w:hAnsi="Arial Narrow"/>
                <w:sz w:val="18"/>
                <w:szCs w:val="18"/>
                <w:highlight w:val="yellow"/>
              </w:rPr>
            </w:pPr>
            <w:r>
              <w:rPr>
                <w:rFonts w:ascii="Arial Narrow" w:hAnsi="Arial Narrow"/>
                <w:sz w:val="18"/>
                <w:szCs w:val="18"/>
              </w:rPr>
              <w:t xml:space="preserve">Limited explanation of improvements in health over time </w:t>
            </w:r>
          </w:p>
        </w:tc>
        <w:tc>
          <w:tcPr>
            <w:tcW w:w="2624" w:type="dxa"/>
            <w:tcBorders>
              <w:top w:val="single" w:sz="4" w:space="0" w:color="auto"/>
              <w:left w:val="single" w:sz="4" w:space="0" w:color="auto"/>
              <w:bottom w:val="single" w:sz="4" w:space="0" w:color="auto"/>
              <w:right w:val="single" w:sz="4" w:space="0" w:color="auto"/>
            </w:tcBorders>
            <w:hideMark/>
          </w:tcPr>
          <w:p w:rsidR="00A955C8" w:rsidRDefault="00A955C8">
            <w:pPr>
              <w:spacing w:before="80" w:after="80"/>
              <w:rPr>
                <w:rFonts w:ascii="Arial Narrow" w:hAnsi="Arial Narrow"/>
                <w:sz w:val="18"/>
                <w:szCs w:val="18"/>
                <w:highlight w:val="yellow"/>
              </w:rPr>
            </w:pPr>
            <w:r>
              <w:rPr>
                <w:rFonts w:ascii="Arial Narrow" w:hAnsi="Arial Narrow"/>
                <w:sz w:val="18"/>
                <w:szCs w:val="18"/>
              </w:rPr>
              <w:t xml:space="preserve">Some analysis of improvements in health over time </w:t>
            </w:r>
          </w:p>
        </w:tc>
        <w:tc>
          <w:tcPr>
            <w:tcW w:w="2624" w:type="dxa"/>
            <w:tcBorders>
              <w:top w:val="single" w:sz="4" w:space="0" w:color="auto"/>
              <w:left w:val="single" w:sz="4" w:space="0" w:color="auto"/>
              <w:bottom w:val="single" w:sz="4" w:space="0" w:color="auto"/>
              <w:right w:val="single" w:sz="4" w:space="0" w:color="auto"/>
            </w:tcBorders>
            <w:hideMark/>
          </w:tcPr>
          <w:p w:rsidR="00A955C8" w:rsidRDefault="00A955C8">
            <w:pPr>
              <w:spacing w:before="80" w:after="80"/>
              <w:rPr>
                <w:rFonts w:ascii="Arial Narrow" w:hAnsi="Arial Narrow"/>
                <w:sz w:val="18"/>
                <w:szCs w:val="18"/>
                <w:highlight w:val="yellow"/>
              </w:rPr>
            </w:pPr>
            <w:r>
              <w:rPr>
                <w:rFonts w:ascii="Arial Narrow" w:hAnsi="Arial Narrow"/>
                <w:sz w:val="18"/>
                <w:szCs w:val="18"/>
              </w:rPr>
              <w:t xml:space="preserve">Satisfactory analysis of improvements in health over time </w:t>
            </w:r>
          </w:p>
        </w:tc>
        <w:tc>
          <w:tcPr>
            <w:tcW w:w="2624" w:type="dxa"/>
            <w:tcBorders>
              <w:top w:val="single" w:sz="4" w:space="0" w:color="auto"/>
              <w:left w:val="single" w:sz="4" w:space="0" w:color="auto"/>
              <w:bottom w:val="single" w:sz="4" w:space="0" w:color="auto"/>
              <w:right w:val="single" w:sz="4" w:space="0" w:color="auto"/>
            </w:tcBorders>
            <w:hideMark/>
          </w:tcPr>
          <w:p w:rsidR="00A955C8" w:rsidRDefault="00A955C8">
            <w:pPr>
              <w:spacing w:before="80" w:after="80"/>
              <w:rPr>
                <w:rFonts w:ascii="Arial Narrow" w:hAnsi="Arial Narrow"/>
                <w:sz w:val="18"/>
                <w:szCs w:val="18"/>
                <w:highlight w:val="yellow"/>
              </w:rPr>
            </w:pPr>
            <w:r>
              <w:rPr>
                <w:rFonts w:ascii="Arial Narrow" w:hAnsi="Arial Narrow"/>
                <w:sz w:val="18"/>
                <w:szCs w:val="18"/>
              </w:rPr>
              <w:t xml:space="preserve">Effective analysis of improvements in health over time </w:t>
            </w:r>
          </w:p>
        </w:tc>
        <w:tc>
          <w:tcPr>
            <w:tcW w:w="2624" w:type="dxa"/>
            <w:tcBorders>
              <w:top w:val="single" w:sz="4" w:space="0" w:color="auto"/>
              <w:left w:val="single" w:sz="4" w:space="0" w:color="auto"/>
              <w:bottom w:val="single" w:sz="4" w:space="0" w:color="auto"/>
              <w:right w:val="single" w:sz="4" w:space="0" w:color="auto"/>
            </w:tcBorders>
            <w:hideMark/>
          </w:tcPr>
          <w:p w:rsidR="00A955C8" w:rsidRDefault="00A955C8">
            <w:pPr>
              <w:spacing w:before="80" w:after="80"/>
              <w:rPr>
                <w:rFonts w:ascii="Arial Narrow" w:hAnsi="Arial Narrow"/>
                <w:sz w:val="18"/>
                <w:szCs w:val="18"/>
                <w:highlight w:val="yellow"/>
              </w:rPr>
            </w:pPr>
            <w:r>
              <w:rPr>
                <w:rFonts w:ascii="Arial Narrow" w:hAnsi="Arial Narrow"/>
                <w:sz w:val="18"/>
                <w:szCs w:val="18"/>
              </w:rPr>
              <w:t>Integrated and insightful analysis of improvements in health over time</w:t>
            </w:r>
          </w:p>
        </w:tc>
      </w:tr>
      <w:tr w:rsidR="00A955C8" w:rsidTr="00956185">
        <w:tc>
          <w:tcPr>
            <w:tcW w:w="0" w:type="auto"/>
            <w:vMerge/>
            <w:tcBorders>
              <w:left w:val="single" w:sz="4" w:space="0" w:color="auto"/>
              <w:right w:val="single" w:sz="4" w:space="0" w:color="auto"/>
            </w:tcBorders>
            <w:vAlign w:val="center"/>
            <w:hideMark/>
          </w:tcPr>
          <w:p w:rsidR="00A955C8" w:rsidRDefault="00A955C8">
            <w:pPr>
              <w:rPr>
                <w:rFonts w:ascii="Arial Narrow" w:hAnsi="Arial Narrow"/>
              </w:rPr>
            </w:pPr>
          </w:p>
        </w:tc>
        <w:tc>
          <w:tcPr>
            <w:tcW w:w="2623" w:type="dxa"/>
            <w:tcBorders>
              <w:top w:val="single" w:sz="4" w:space="0" w:color="auto"/>
              <w:left w:val="single" w:sz="4" w:space="0" w:color="auto"/>
              <w:bottom w:val="single" w:sz="4" w:space="0" w:color="auto"/>
              <w:right w:val="single" w:sz="4" w:space="0" w:color="auto"/>
            </w:tcBorders>
            <w:hideMark/>
          </w:tcPr>
          <w:p w:rsidR="00A955C8" w:rsidRDefault="00A955C8">
            <w:pPr>
              <w:spacing w:before="80" w:after="80"/>
              <w:rPr>
                <w:rFonts w:ascii="Arial Narrow" w:hAnsi="Arial Narrow"/>
                <w:sz w:val="18"/>
                <w:szCs w:val="18"/>
                <w:highlight w:val="yellow"/>
              </w:rPr>
            </w:pPr>
            <w:r>
              <w:rPr>
                <w:rFonts w:ascii="Arial Narrow" w:hAnsi="Arial Narrow"/>
                <w:sz w:val="18"/>
                <w:szCs w:val="18"/>
              </w:rPr>
              <w:t>Little explanation with some reference to the key components of Australia’s health system and different models of health in improving health outcomes.</w:t>
            </w:r>
          </w:p>
        </w:tc>
        <w:tc>
          <w:tcPr>
            <w:tcW w:w="2624" w:type="dxa"/>
            <w:tcBorders>
              <w:top w:val="single" w:sz="4" w:space="0" w:color="auto"/>
              <w:left w:val="single" w:sz="4" w:space="0" w:color="auto"/>
              <w:bottom w:val="single" w:sz="4" w:space="0" w:color="auto"/>
              <w:right w:val="single" w:sz="4" w:space="0" w:color="auto"/>
            </w:tcBorders>
            <w:hideMark/>
          </w:tcPr>
          <w:p w:rsidR="00A955C8" w:rsidRDefault="00A955C8">
            <w:pPr>
              <w:spacing w:before="80" w:after="80"/>
              <w:rPr>
                <w:rFonts w:ascii="Arial Narrow" w:hAnsi="Arial Narrow"/>
                <w:sz w:val="18"/>
                <w:szCs w:val="18"/>
                <w:highlight w:val="yellow"/>
              </w:rPr>
            </w:pPr>
            <w:r>
              <w:rPr>
                <w:rFonts w:ascii="Arial Narrow" w:hAnsi="Arial Narrow"/>
                <w:sz w:val="18"/>
                <w:szCs w:val="18"/>
              </w:rPr>
              <w:t>Brief explanation and limited analysis of the key components of Australia’s health system and different models of health in improving health outcomes.</w:t>
            </w:r>
          </w:p>
        </w:tc>
        <w:tc>
          <w:tcPr>
            <w:tcW w:w="2624" w:type="dxa"/>
            <w:tcBorders>
              <w:top w:val="single" w:sz="4" w:space="0" w:color="auto"/>
              <w:left w:val="single" w:sz="4" w:space="0" w:color="auto"/>
              <w:bottom w:val="single" w:sz="4" w:space="0" w:color="auto"/>
              <w:right w:val="single" w:sz="4" w:space="0" w:color="auto"/>
            </w:tcBorders>
            <w:hideMark/>
          </w:tcPr>
          <w:p w:rsidR="00A955C8" w:rsidRDefault="00A955C8">
            <w:pPr>
              <w:spacing w:before="80" w:after="80"/>
              <w:rPr>
                <w:rFonts w:ascii="Arial Narrow" w:hAnsi="Arial Narrow"/>
                <w:sz w:val="18"/>
                <w:szCs w:val="18"/>
                <w:highlight w:val="yellow"/>
              </w:rPr>
            </w:pPr>
            <w:r>
              <w:rPr>
                <w:rFonts w:ascii="Arial Narrow" w:hAnsi="Arial Narrow"/>
                <w:sz w:val="18"/>
                <w:szCs w:val="18"/>
              </w:rPr>
              <w:t>Clear explanation of the key components of Australia’s health system and clear analysis of the different models of health in improving health outcomes.</w:t>
            </w:r>
          </w:p>
        </w:tc>
        <w:tc>
          <w:tcPr>
            <w:tcW w:w="2624" w:type="dxa"/>
            <w:tcBorders>
              <w:top w:val="single" w:sz="4" w:space="0" w:color="auto"/>
              <w:left w:val="single" w:sz="4" w:space="0" w:color="auto"/>
              <w:bottom w:val="single" w:sz="4" w:space="0" w:color="auto"/>
              <w:right w:val="single" w:sz="4" w:space="0" w:color="auto"/>
            </w:tcBorders>
            <w:hideMark/>
          </w:tcPr>
          <w:p w:rsidR="00A955C8" w:rsidRDefault="00A955C8">
            <w:pPr>
              <w:spacing w:before="80" w:after="80"/>
              <w:rPr>
                <w:rFonts w:ascii="Arial Narrow" w:hAnsi="Arial Narrow"/>
                <w:sz w:val="18"/>
                <w:szCs w:val="18"/>
                <w:highlight w:val="yellow"/>
              </w:rPr>
            </w:pPr>
            <w:r>
              <w:rPr>
                <w:rFonts w:ascii="Arial Narrow" w:hAnsi="Arial Narrow"/>
                <w:sz w:val="18"/>
                <w:szCs w:val="18"/>
              </w:rPr>
              <w:t>Detailed explanation of the key components of Australia’s health system and well-developed analysis of the different models of health in improving health outcomes.</w:t>
            </w:r>
          </w:p>
        </w:tc>
        <w:tc>
          <w:tcPr>
            <w:tcW w:w="2624" w:type="dxa"/>
            <w:tcBorders>
              <w:top w:val="single" w:sz="4" w:space="0" w:color="auto"/>
              <w:left w:val="single" w:sz="4" w:space="0" w:color="auto"/>
              <w:bottom w:val="single" w:sz="4" w:space="0" w:color="auto"/>
              <w:right w:val="single" w:sz="4" w:space="0" w:color="auto"/>
            </w:tcBorders>
            <w:hideMark/>
          </w:tcPr>
          <w:p w:rsidR="00A955C8" w:rsidRDefault="00A955C8">
            <w:pPr>
              <w:spacing w:before="80" w:after="80"/>
              <w:rPr>
                <w:rFonts w:ascii="Arial Narrow" w:hAnsi="Arial Narrow"/>
                <w:sz w:val="18"/>
                <w:szCs w:val="18"/>
                <w:highlight w:val="yellow"/>
              </w:rPr>
            </w:pPr>
            <w:r>
              <w:rPr>
                <w:rFonts w:ascii="Arial Narrow" w:hAnsi="Arial Narrow"/>
                <w:sz w:val="18"/>
                <w:szCs w:val="18"/>
              </w:rPr>
              <w:t>Comprehensive explanation of the key components of Australia’s health system and comprehensive analysis of the different models of health in improving health outcomes.</w:t>
            </w:r>
          </w:p>
        </w:tc>
      </w:tr>
      <w:tr w:rsidR="00A955C8" w:rsidTr="00956185">
        <w:trPr>
          <w:trHeight w:val="932"/>
        </w:trPr>
        <w:tc>
          <w:tcPr>
            <w:tcW w:w="0" w:type="auto"/>
            <w:vMerge/>
            <w:tcBorders>
              <w:left w:val="single" w:sz="4" w:space="0" w:color="auto"/>
              <w:right w:val="single" w:sz="4" w:space="0" w:color="auto"/>
            </w:tcBorders>
            <w:vAlign w:val="center"/>
            <w:hideMark/>
          </w:tcPr>
          <w:p w:rsidR="00A955C8" w:rsidRDefault="00A955C8">
            <w:pPr>
              <w:rPr>
                <w:rFonts w:ascii="Arial Narrow" w:hAnsi="Arial Narrow"/>
              </w:rPr>
            </w:pPr>
          </w:p>
        </w:tc>
        <w:tc>
          <w:tcPr>
            <w:tcW w:w="2623" w:type="dxa"/>
            <w:tcBorders>
              <w:top w:val="single" w:sz="4" w:space="0" w:color="auto"/>
              <w:left w:val="single" w:sz="4" w:space="0" w:color="auto"/>
              <w:bottom w:val="single" w:sz="4" w:space="0" w:color="auto"/>
              <w:right w:val="single" w:sz="4" w:space="0" w:color="auto"/>
            </w:tcBorders>
            <w:hideMark/>
          </w:tcPr>
          <w:p w:rsidR="00A955C8" w:rsidRDefault="00A955C8">
            <w:pPr>
              <w:spacing w:before="80" w:after="80"/>
              <w:rPr>
                <w:rFonts w:ascii="Arial Narrow" w:hAnsi="Arial Narrow"/>
                <w:sz w:val="18"/>
                <w:szCs w:val="18"/>
                <w:highlight w:val="yellow"/>
              </w:rPr>
            </w:pPr>
            <w:r>
              <w:rPr>
                <w:rFonts w:ascii="Arial Narrow" w:hAnsi="Arial Narrow"/>
                <w:sz w:val="18"/>
                <w:szCs w:val="18"/>
              </w:rPr>
              <w:t>Limited application of the action areas of the Ottawa Charter for Health Promotion</w:t>
            </w:r>
          </w:p>
        </w:tc>
        <w:tc>
          <w:tcPr>
            <w:tcW w:w="2624" w:type="dxa"/>
            <w:tcBorders>
              <w:top w:val="single" w:sz="4" w:space="0" w:color="auto"/>
              <w:left w:val="single" w:sz="4" w:space="0" w:color="auto"/>
              <w:bottom w:val="single" w:sz="4" w:space="0" w:color="auto"/>
              <w:right w:val="single" w:sz="4" w:space="0" w:color="auto"/>
            </w:tcBorders>
            <w:hideMark/>
          </w:tcPr>
          <w:p w:rsidR="00A955C8" w:rsidRDefault="00A955C8">
            <w:pPr>
              <w:spacing w:before="80" w:after="80"/>
              <w:rPr>
                <w:rFonts w:ascii="Arial Narrow" w:hAnsi="Arial Narrow"/>
                <w:sz w:val="18"/>
                <w:szCs w:val="18"/>
                <w:highlight w:val="yellow"/>
              </w:rPr>
            </w:pPr>
            <w:r>
              <w:rPr>
                <w:rFonts w:ascii="Arial Narrow" w:hAnsi="Arial Narrow"/>
                <w:sz w:val="18"/>
                <w:szCs w:val="18"/>
              </w:rPr>
              <w:t>Some application of the action areas of the Ottawa Charter for Health Promotion</w:t>
            </w:r>
          </w:p>
        </w:tc>
        <w:tc>
          <w:tcPr>
            <w:tcW w:w="2624" w:type="dxa"/>
            <w:tcBorders>
              <w:top w:val="single" w:sz="4" w:space="0" w:color="auto"/>
              <w:left w:val="single" w:sz="4" w:space="0" w:color="auto"/>
              <w:bottom w:val="single" w:sz="4" w:space="0" w:color="auto"/>
              <w:right w:val="single" w:sz="4" w:space="0" w:color="auto"/>
            </w:tcBorders>
            <w:hideMark/>
          </w:tcPr>
          <w:p w:rsidR="00A955C8" w:rsidRDefault="00A955C8">
            <w:pPr>
              <w:spacing w:before="80" w:after="80"/>
              <w:rPr>
                <w:rFonts w:ascii="Arial Narrow" w:hAnsi="Arial Narrow"/>
                <w:sz w:val="18"/>
                <w:szCs w:val="18"/>
                <w:highlight w:val="yellow"/>
              </w:rPr>
            </w:pPr>
            <w:r>
              <w:rPr>
                <w:rFonts w:ascii="Arial Narrow" w:hAnsi="Arial Narrow"/>
                <w:sz w:val="18"/>
                <w:szCs w:val="18"/>
              </w:rPr>
              <w:t>Satisfactory application of the action areas of the Ottawa Charter for Health Promotion</w:t>
            </w:r>
          </w:p>
        </w:tc>
        <w:tc>
          <w:tcPr>
            <w:tcW w:w="2624" w:type="dxa"/>
            <w:tcBorders>
              <w:top w:val="single" w:sz="4" w:space="0" w:color="auto"/>
              <w:left w:val="single" w:sz="4" w:space="0" w:color="auto"/>
              <w:bottom w:val="single" w:sz="4" w:space="0" w:color="auto"/>
              <w:right w:val="single" w:sz="4" w:space="0" w:color="auto"/>
            </w:tcBorders>
            <w:hideMark/>
          </w:tcPr>
          <w:p w:rsidR="00A955C8" w:rsidRDefault="00A955C8">
            <w:pPr>
              <w:spacing w:before="80" w:after="80"/>
              <w:rPr>
                <w:rFonts w:ascii="Arial Narrow" w:hAnsi="Arial Narrow"/>
                <w:sz w:val="18"/>
                <w:szCs w:val="18"/>
                <w:highlight w:val="yellow"/>
              </w:rPr>
            </w:pPr>
            <w:r>
              <w:rPr>
                <w:rFonts w:ascii="Arial Narrow" w:hAnsi="Arial Narrow"/>
                <w:sz w:val="18"/>
                <w:szCs w:val="18"/>
              </w:rPr>
              <w:t>Detailed description and sound application of the action areas of the Ottawa Charter for Health Promotion</w:t>
            </w:r>
          </w:p>
        </w:tc>
        <w:tc>
          <w:tcPr>
            <w:tcW w:w="2624" w:type="dxa"/>
            <w:tcBorders>
              <w:top w:val="single" w:sz="4" w:space="0" w:color="auto"/>
              <w:left w:val="single" w:sz="4" w:space="0" w:color="auto"/>
              <w:bottom w:val="single" w:sz="4" w:space="0" w:color="auto"/>
              <w:right w:val="single" w:sz="4" w:space="0" w:color="auto"/>
            </w:tcBorders>
            <w:hideMark/>
          </w:tcPr>
          <w:p w:rsidR="00A955C8" w:rsidRDefault="00A955C8">
            <w:pPr>
              <w:spacing w:before="80" w:after="80"/>
              <w:rPr>
                <w:rFonts w:ascii="Arial Narrow" w:hAnsi="Arial Narrow"/>
                <w:sz w:val="18"/>
                <w:szCs w:val="18"/>
                <w:highlight w:val="yellow"/>
              </w:rPr>
            </w:pPr>
            <w:r>
              <w:rPr>
                <w:rFonts w:ascii="Arial Narrow" w:hAnsi="Arial Narrow"/>
                <w:sz w:val="18"/>
                <w:szCs w:val="18"/>
              </w:rPr>
              <w:t>Comprehensive description and consistent application of the action areas of the Ottawa Charter for Health Promotion</w:t>
            </w:r>
          </w:p>
        </w:tc>
      </w:tr>
      <w:tr w:rsidR="00A955C8" w:rsidTr="00956185">
        <w:tc>
          <w:tcPr>
            <w:tcW w:w="2235" w:type="dxa"/>
            <w:vMerge/>
            <w:tcBorders>
              <w:left w:val="single" w:sz="4" w:space="0" w:color="auto"/>
              <w:right w:val="single" w:sz="4" w:space="0" w:color="auto"/>
            </w:tcBorders>
          </w:tcPr>
          <w:p w:rsidR="00A955C8" w:rsidRDefault="00A955C8"/>
        </w:tc>
        <w:tc>
          <w:tcPr>
            <w:tcW w:w="2623" w:type="dxa"/>
            <w:tcBorders>
              <w:top w:val="single" w:sz="4" w:space="0" w:color="auto"/>
              <w:left w:val="single" w:sz="4" w:space="0" w:color="auto"/>
              <w:bottom w:val="single" w:sz="4" w:space="0" w:color="auto"/>
              <w:right w:val="single" w:sz="4" w:space="0" w:color="auto"/>
            </w:tcBorders>
            <w:hideMark/>
          </w:tcPr>
          <w:p w:rsidR="00A955C8" w:rsidRDefault="00A955C8">
            <w:pPr>
              <w:spacing w:before="80" w:after="80"/>
              <w:rPr>
                <w:rFonts w:ascii="Arial Narrow" w:hAnsi="Arial Narrow"/>
                <w:sz w:val="18"/>
                <w:szCs w:val="18"/>
              </w:rPr>
            </w:pPr>
            <w:r>
              <w:rPr>
                <w:rFonts w:ascii="Arial Narrow" w:hAnsi="Arial Narrow"/>
                <w:sz w:val="18"/>
                <w:szCs w:val="18"/>
              </w:rPr>
              <w:t xml:space="preserve">Very limited use of data and very limited evaluation of the effectiveness of initiatives to improve indigenous health and wellbeing </w:t>
            </w:r>
          </w:p>
        </w:tc>
        <w:tc>
          <w:tcPr>
            <w:tcW w:w="2624" w:type="dxa"/>
            <w:tcBorders>
              <w:top w:val="single" w:sz="4" w:space="0" w:color="auto"/>
              <w:left w:val="single" w:sz="4" w:space="0" w:color="auto"/>
              <w:bottom w:val="single" w:sz="4" w:space="0" w:color="auto"/>
              <w:right w:val="single" w:sz="4" w:space="0" w:color="auto"/>
            </w:tcBorders>
            <w:hideMark/>
          </w:tcPr>
          <w:p w:rsidR="00A955C8" w:rsidRDefault="00A955C8">
            <w:pPr>
              <w:spacing w:before="80" w:after="80"/>
              <w:rPr>
                <w:rFonts w:ascii="Arial Narrow" w:hAnsi="Arial Narrow"/>
                <w:sz w:val="18"/>
                <w:szCs w:val="18"/>
              </w:rPr>
            </w:pPr>
            <w:r>
              <w:rPr>
                <w:rFonts w:ascii="Arial Narrow" w:hAnsi="Arial Narrow"/>
                <w:sz w:val="18"/>
                <w:szCs w:val="18"/>
              </w:rPr>
              <w:t>Some use of data and some evaluation of the effectiveness of initiatives to improve indigenous health and wellbeing</w:t>
            </w:r>
          </w:p>
        </w:tc>
        <w:tc>
          <w:tcPr>
            <w:tcW w:w="2624" w:type="dxa"/>
            <w:tcBorders>
              <w:top w:val="single" w:sz="4" w:space="0" w:color="auto"/>
              <w:left w:val="single" w:sz="4" w:space="0" w:color="auto"/>
              <w:bottom w:val="single" w:sz="4" w:space="0" w:color="auto"/>
              <w:right w:val="single" w:sz="4" w:space="0" w:color="auto"/>
            </w:tcBorders>
            <w:hideMark/>
          </w:tcPr>
          <w:p w:rsidR="00A955C8" w:rsidRDefault="00A955C8">
            <w:pPr>
              <w:spacing w:before="80" w:after="80"/>
              <w:rPr>
                <w:rFonts w:ascii="Arial Narrow" w:hAnsi="Arial Narrow"/>
                <w:sz w:val="18"/>
                <w:szCs w:val="18"/>
              </w:rPr>
            </w:pPr>
            <w:r>
              <w:rPr>
                <w:rFonts w:ascii="Arial Narrow" w:hAnsi="Arial Narrow"/>
                <w:sz w:val="18"/>
                <w:szCs w:val="18"/>
              </w:rPr>
              <w:t>Satisfactory use of data and evaluation of the effectiveness of initiatives to improve indigenous health and wellbeing</w:t>
            </w:r>
          </w:p>
        </w:tc>
        <w:tc>
          <w:tcPr>
            <w:tcW w:w="2624" w:type="dxa"/>
            <w:tcBorders>
              <w:top w:val="single" w:sz="4" w:space="0" w:color="auto"/>
              <w:left w:val="single" w:sz="4" w:space="0" w:color="auto"/>
              <w:bottom w:val="single" w:sz="4" w:space="0" w:color="auto"/>
              <w:right w:val="single" w:sz="4" w:space="0" w:color="auto"/>
            </w:tcBorders>
            <w:hideMark/>
          </w:tcPr>
          <w:p w:rsidR="00A955C8" w:rsidRDefault="00A955C8">
            <w:pPr>
              <w:spacing w:before="80" w:after="80"/>
              <w:rPr>
                <w:rFonts w:ascii="Arial Narrow" w:hAnsi="Arial Narrow"/>
                <w:sz w:val="18"/>
                <w:szCs w:val="18"/>
              </w:rPr>
            </w:pPr>
            <w:r>
              <w:rPr>
                <w:rFonts w:ascii="Arial Narrow" w:hAnsi="Arial Narrow"/>
                <w:sz w:val="18"/>
                <w:szCs w:val="18"/>
              </w:rPr>
              <w:t>Effective use of data and sound evaluation of the effectiveness of initiatives to improve indigenous health and wellbeing</w:t>
            </w:r>
          </w:p>
        </w:tc>
        <w:tc>
          <w:tcPr>
            <w:tcW w:w="2624" w:type="dxa"/>
            <w:tcBorders>
              <w:top w:val="single" w:sz="4" w:space="0" w:color="auto"/>
              <w:left w:val="single" w:sz="4" w:space="0" w:color="auto"/>
              <w:bottom w:val="single" w:sz="4" w:space="0" w:color="auto"/>
              <w:right w:val="single" w:sz="4" w:space="0" w:color="auto"/>
            </w:tcBorders>
            <w:hideMark/>
          </w:tcPr>
          <w:p w:rsidR="00A955C8" w:rsidRDefault="00A955C8">
            <w:pPr>
              <w:spacing w:before="80" w:after="80"/>
              <w:rPr>
                <w:rFonts w:ascii="Arial Narrow" w:hAnsi="Arial Narrow"/>
                <w:sz w:val="18"/>
                <w:szCs w:val="18"/>
              </w:rPr>
            </w:pPr>
            <w:r>
              <w:rPr>
                <w:rFonts w:ascii="Arial Narrow" w:hAnsi="Arial Narrow"/>
                <w:sz w:val="18"/>
                <w:szCs w:val="18"/>
              </w:rPr>
              <w:t>Comprehensive use of data and extensive evaluation of the effectiveness of initiatives to improve indigenous health and wellbeing</w:t>
            </w:r>
          </w:p>
        </w:tc>
      </w:tr>
      <w:tr w:rsidR="00A955C8" w:rsidTr="00956185">
        <w:tc>
          <w:tcPr>
            <w:tcW w:w="2235" w:type="dxa"/>
            <w:vMerge/>
            <w:tcBorders>
              <w:left w:val="single" w:sz="4" w:space="0" w:color="auto"/>
              <w:bottom w:val="single" w:sz="4" w:space="0" w:color="auto"/>
              <w:right w:val="single" w:sz="4" w:space="0" w:color="auto"/>
            </w:tcBorders>
          </w:tcPr>
          <w:p w:rsidR="00A955C8" w:rsidRDefault="00A955C8"/>
        </w:tc>
        <w:tc>
          <w:tcPr>
            <w:tcW w:w="2623" w:type="dxa"/>
            <w:tcBorders>
              <w:top w:val="single" w:sz="4" w:space="0" w:color="auto"/>
              <w:left w:val="single" w:sz="4" w:space="0" w:color="auto"/>
              <w:bottom w:val="single" w:sz="4" w:space="0" w:color="auto"/>
              <w:right w:val="single" w:sz="4" w:space="0" w:color="auto"/>
            </w:tcBorders>
            <w:hideMark/>
          </w:tcPr>
          <w:p w:rsidR="00A955C8" w:rsidRDefault="00A955C8">
            <w:pPr>
              <w:spacing w:before="80" w:after="80"/>
              <w:rPr>
                <w:rFonts w:ascii="Arial Narrow" w:hAnsi="Arial Narrow"/>
                <w:sz w:val="18"/>
                <w:szCs w:val="18"/>
              </w:rPr>
            </w:pPr>
            <w:r>
              <w:rPr>
                <w:rFonts w:ascii="Arial Narrow" w:hAnsi="Arial Narrow"/>
                <w:sz w:val="18"/>
                <w:szCs w:val="18"/>
              </w:rPr>
              <w:t>Very little description of the role of the Australian Dietary Guidelines and Nutrition Australia in promoting healthy eating, with limited use of examples to draw informed conclusions as to why dietary improvements are difficult to achieve</w:t>
            </w:r>
          </w:p>
        </w:tc>
        <w:tc>
          <w:tcPr>
            <w:tcW w:w="2624" w:type="dxa"/>
            <w:tcBorders>
              <w:top w:val="single" w:sz="4" w:space="0" w:color="auto"/>
              <w:left w:val="single" w:sz="4" w:space="0" w:color="auto"/>
              <w:bottom w:val="single" w:sz="4" w:space="0" w:color="auto"/>
              <w:right w:val="single" w:sz="4" w:space="0" w:color="auto"/>
            </w:tcBorders>
            <w:hideMark/>
          </w:tcPr>
          <w:p w:rsidR="00A955C8" w:rsidRDefault="00A955C8">
            <w:pPr>
              <w:spacing w:before="80" w:after="80"/>
              <w:rPr>
                <w:rFonts w:ascii="Arial Narrow" w:hAnsi="Arial Narrow"/>
                <w:sz w:val="18"/>
                <w:szCs w:val="18"/>
              </w:rPr>
            </w:pPr>
            <w:r>
              <w:rPr>
                <w:rFonts w:ascii="Arial Narrow" w:hAnsi="Arial Narrow"/>
                <w:sz w:val="18"/>
                <w:szCs w:val="18"/>
              </w:rPr>
              <w:t>Brief description of the role of the Australian Dietary Guidelines and Nutrition Australia in promoting healthy eating, with limited use of examples to draw informed conclusions as to why dietary improvements are difficult to achieve</w:t>
            </w:r>
          </w:p>
        </w:tc>
        <w:tc>
          <w:tcPr>
            <w:tcW w:w="2624" w:type="dxa"/>
            <w:tcBorders>
              <w:top w:val="single" w:sz="4" w:space="0" w:color="auto"/>
              <w:left w:val="single" w:sz="4" w:space="0" w:color="auto"/>
              <w:bottom w:val="single" w:sz="4" w:space="0" w:color="auto"/>
              <w:right w:val="single" w:sz="4" w:space="0" w:color="auto"/>
            </w:tcBorders>
            <w:hideMark/>
          </w:tcPr>
          <w:p w:rsidR="00A955C8" w:rsidRDefault="00A955C8">
            <w:pPr>
              <w:spacing w:before="80" w:after="80"/>
              <w:rPr>
                <w:rFonts w:ascii="Arial Narrow" w:hAnsi="Arial Narrow"/>
                <w:sz w:val="18"/>
                <w:szCs w:val="18"/>
              </w:rPr>
            </w:pPr>
            <w:r>
              <w:rPr>
                <w:rFonts w:ascii="Arial Narrow" w:hAnsi="Arial Narrow"/>
                <w:sz w:val="18"/>
                <w:szCs w:val="18"/>
              </w:rPr>
              <w:t>General description of the role of the Australian Dietary Guidelines and Nutrition Australia in promoting healthy eating, with satisfactory use of examples to draw informed conclusions as to why dietary improvements are difficult to achieve</w:t>
            </w:r>
          </w:p>
        </w:tc>
        <w:tc>
          <w:tcPr>
            <w:tcW w:w="2624" w:type="dxa"/>
            <w:tcBorders>
              <w:top w:val="single" w:sz="4" w:space="0" w:color="auto"/>
              <w:left w:val="single" w:sz="4" w:space="0" w:color="auto"/>
              <w:bottom w:val="single" w:sz="4" w:space="0" w:color="auto"/>
              <w:right w:val="single" w:sz="4" w:space="0" w:color="auto"/>
            </w:tcBorders>
            <w:hideMark/>
          </w:tcPr>
          <w:p w:rsidR="00A955C8" w:rsidRDefault="00A955C8">
            <w:pPr>
              <w:spacing w:before="80" w:after="80"/>
              <w:rPr>
                <w:rFonts w:ascii="Arial Narrow" w:hAnsi="Arial Narrow"/>
                <w:sz w:val="18"/>
                <w:szCs w:val="18"/>
              </w:rPr>
            </w:pPr>
            <w:r>
              <w:rPr>
                <w:rFonts w:ascii="Arial Narrow" w:hAnsi="Arial Narrow"/>
                <w:sz w:val="18"/>
                <w:szCs w:val="18"/>
              </w:rPr>
              <w:t>Clear and detailed description of the role of the Australian Dietary Guidelines and Nutrition Australia in promoting healthy eating, with effective and appropriate use of examples to draw informed conclusions as to why dietary improvements are difficult to achieve</w:t>
            </w:r>
          </w:p>
        </w:tc>
        <w:tc>
          <w:tcPr>
            <w:tcW w:w="2624" w:type="dxa"/>
            <w:tcBorders>
              <w:top w:val="single" w:sz="4" w:space="0" w:color="auto"/>
              <w:left w:val="single" w:sz="4" w:space="0" w:color="auto"/>
              <w:bottom w:val="single" w:sz="4" w:space="0" w:color="auto"/>
              <w:right w:val="single" w:sz="4" w:space="0" w:color="auto"/>
            </w:tcBorders>
            <w:hideMark/>
          </w:tcPr>
          <w:p w:rsidR="00A955C8" w:rsidRDefault="00A955C8">
            <w:pPr>
              <w:spacing w:before="80" w:after="80"/>
              <w:rPr>
                <w:rFonts w:ascii="Arial Narrow" w:hAnsi="Arial Narrow"/>
                <w:sz w:val="18"/>
                <w:szCs w:val="18"/>
              </w:rPr>
            </w:pPr>
            <w:r>
              <w:rPr>
                <w:rFonts w:ascii="Arial Narrow" w:hAnsi="Arial Narrow"/>
                <w:sz w:val="18"/>
                <w:szCs w:val="18"/>
              </w:rPr>
              <w:t>Comprehensive description of the role of the Australian Dietary Guidelines and Nutrition Australia in promoting healthy eating, with integrated and insightful use of examples to draw informed conclusions as to why dietary improvements are difficult to achieve</w:t>
            </w:r>
          </w:p>
        </w:tc>
      </w:tr>
    </w:tbl>
    <w:p w:rsidR="00EC42E9" w:rsidRPr="00220593" w:rsidRDefault="00EC42E9" w:rsidP="00EC42E9">
      <w:pPr>
        <w:spacing w:after="0"/>
        <w:rPr>
          <w:sz w:val="8"/>
          <w:szCs w:val="8"/>
        </w:rPr>
      </w:pPr>
    </w:p>
    <w:p w:rsidR="00331121" w:rsidRDefault="00331121" w:rsidP="00220593">
      <w:pPr>
        <w:spacing w:after="0" w:line="240" w:lineRule="auto"/>
        <w:outlineLvl w:val="0"/>
        <w:rPr>
          <w:rFonts w:cs="Arial"/>
          <w:sz w:val="20"/>
          <w:szCs w:val="20"/>
        </w:rPr>
      </w:pPr>
      <w:r>
        <w:rPr>
          <w:rFonts w:cs="Arial"/>
          <w:sz w:val="20"/>
          <w:szCs w:val="20"/>
        </w:rPr>
        <w:t>KEY to marking scale based on the Outcome contri</w:t>
      </w:r>
      <w:bookmarkStart w:id="0" w:name="_GoBack"/>
      <w:bookmarkEnd w:id="0"/>
      <w:r>
        <w:rPr>
          <w:rFonts w:cs="Arial"/>
          <w:sz w:val="20"/>
          <w:szCs w:val="20"/>
        </w:rPr>
        <w:t>buting 50 marks</w:t>
      </w:r>
    </w:p>
    <w:tbl>
      <w:tblPr>
        <w:tblStyle w:val="TableGrid"/>
        <w:tblW w:w="0" w:type="auto"/>
        <w:tblLook w:val="04A0" w:firstRow="1" w:lastRow="0" w:firstColumn="1" w:lastColumn="0" w:noHBand="0" w:noVBand="1"/>
      </w:tblPr>
      <w:tblGrid>
        <w:gridCol w:w="2062"/>
        <w:gridCol w:w="2063"/>
        <w:gridCol w:w="2063"/>
        <w:gridCol w:w="2063"/>
        <w:gridCol w:w="2063"/>
      </w:tblGrid>
      <w:tr w:rsidR="00331121" w:rsidTr="00220593">
        <w:trPr>
          <w:trHeight w:val="397"/>
        </w:trPr>
        <w:tc>
          <w:tcPr>
            <w:tcW w:w="2062" w:type="dxa"/>
            <w:tcBorders>
              <w:top w:val="single" w:sz="4" w:space="0" w:color="auto"/>
              <w:left w:val="single" w:sz="4" w:space="0" w:color="auto"/>
              <w:bottom w:val="single" w:sz="4" w:space="0" w:color="auto"/>
              <w:right w:val="single" w:sz="4" w:space="0" w:color="auto"/>
            </w:tcBorders>
            <w:vAlign w:val="center"/>
            <w:hideMark/>
          </w:tcPr>
          <w:p w:rsidR="00331121" w:rsidRDefault="002B5B0F" w:rsidP="00220593">
            <w:pPr>
              <w:jc w:val="center"/>
              <w:rPr>
                <w:rFonts w:cs="Arial"/>
                <w:sz w:val="20"/>
                <w:szCs w:val="20"/>
              </w:rPr>
            </w:pPr>
            <w:r>
              <w:rPr>
                <w:rFonts w:cs="Arial"/>
                <w:sz w:val="20"/>
                <w:szCs w:val="20"/>
              </w:rPr>
              <w:t>Very l</w:t>
            </w:r>
            <w:r w:rsidR="00331121">
              <w:rPr>
                <w:rFonts w:cs="Arial"/>
                <w:sz w:val="20"/>
                <w:szCs w:val="20"/>
              </w:rPr>
              <w:t>ow 0–10</w:t>
            </w:r>
          </w:p>
        </w:tc>
        <w:tc>
          <w:tcPr>
            <w:tcW w:w="2063" w:type="dxa"/>
            <w:tcBorders>
              <w:top w:val="single" w:sz="4" w:space="0" w:color="auto"/>
              <w:left w:val="single" w:sz="4" w:space="0" w:color="auto"/>
              <w:bottom w:val="single" w:sz="4" w:space="0" w:color="auto"/>
              <w:right w:val="single" w:sz="4" w:space="0" w:color="auto"/>
            </w:tcBorders>
            <w:vAlign w:val="center"/>
            <w:hideMark/>
          </w:tcPr>
          <w:p w:rsidR="00331121" w:rsidRDefault="002B5B0F" w:rsidP="00220593">
            <w:pPr>
              <w:jc w:val="center"/>
              <w:rPr>
                <w:rFonts w:cs="Arial"/>
                <w:sz w:val="20"/>
                <w:szCs w:val="20"/>
              </w:rPr>
            </w:pPr>
            <w:r>
              <w:rPr>
                <w:rFonts w:cs="Arial"/>
                <w:sz w:val="20"/>
                <w:szCs w:val="20"/>
              </w:rPr>
              <w:t>L</w:t>
            </w:r>
            <w:r w:rsidR="00331121">
              <w:rPr>
                <w:rFonts w:cs="Arial"/>
                <w:sz w:val="20"/>
                <w:szCs w:val="20"/>
              </w:rPr>
              <w:t>ow 11–20</w:t>
            </w:r>
          </w:p>
        </w:tc>
        <w:tc>
          <w:tcPr>
            <w:tcW w:w="2063" w:type="dxa"/>
            <w:tcBorders>
              <w:top w:val="single" w:sz="4" w:space="0" w:color="auto"/>
              <w:left w:val="single" w:sz="4" w:space="0" w:color="auto"/>
              <w:bottom w:val="single" w:sz="4" w:space="0" w:color="auto"/>
              <w:right w:val="single" w:sz="4" w:space="0" w:color="auto"/>
            </w:tcBorders>
            <w:vAlign w:val="center"/>
            <w:hideMark/>
          </w:tcPr>
          <w:p w:rsidR="00331121" w:rsidRDefault="00331121" w:rsidP="00220593">
            <w:pPr>
              <w:jc w:val="center"/>
              <w:rPr>
                <w:rFonts w:cs="Arial"/>
                <w:sz w:val="20"/>
                <w:szCs w:val="20"/>
              </w:rPr>
            </w:pPr>
            <w:r>
              <w:rPr>
                <w:rFonts w:cs="Arial"/>
                <w:sz w:val="20"/>
                <w:szCs w:val="20"/>
              </w:rPr>
              <w:t>Medium 21–30</w:t>
            </w:r>
          </w:p>
        </w:tc>
        <w:tc>
          <w:tcPr>
            <w:tcW w:w="2063" w:type="dxa"/>
            <w:tcBorders>
              <w:top w:val="single" w:sz="4" w:space="0" w:color="auto"/>
              <w:left w:val="single" w:sz="4" w:space="0" w:color="auto"/>
              <w:bottom w:val="single" w:sz="4" w:space="0" w:color="auto"/>
              <w:right w:val="single" w:sz="4" w:space="0" w:color="auto"/>
            </w:tcBorders>
            <w:vAlign w:val="center"/>
            <w:hideMark/>
          </w:tcPr>
          <w:p w:rsidR="00331121" w:rsidRDefault="00331121" w:rsidP="00220593">
            <w:pPr>
              <w:jc w:val="center"/>
              <w:rPr>
                <w:rFonts w:cs="Arial"/>
                <w:sz w:val="20"/>
                <w:szCs w:val="20"/>
              </w:rPr>
            </w:pPr>
            <w:r>
              <w:rPr>
                <w:rFonts w:cs="Arial"/>
                <w:sz w:val="20"/>
                <w:szCs w:val="20"/>
              </w:rPr>
              <w:t>High 31–40</w:t>
            </w:r>
          </w:p>
        </w:tc>
        <w:tc>
          <w:tcPr>
            <w:tcW w:w="2063" w:type="dxa"/>
            <w:tcBorders>
              <w:top w:val="single" w:sz="4" w:space="0" w:color="auto"/>
              <w:left w:val="single" w:sz="4" w:space="0" w:color="auto"/>
              <w:bottom w:val="single" w:sz="4" w:space="0" w:color="auto"/>
              <w:right w:val="single" w:sz="4" w:space="0" w:color="auto"/>
            </w:tcBorders>
            <w:vAlign w:val="center"/>
            <w:hideMark/>
          </w:tcPr>
          <w:p w:rsidR="00331121" w:rsidRDefault="00331121" w:rsidP="00220593">
            <w:pPr>
              <w:jc w:val="center"/>
              <w:rPr>
                <w:rFonts w:cs="Arial"/>
                <w:sz w:val="20"/>
                <w:szCs w:val="20"/>
              </w:rPr>
            </w:pPr>
            <w:r>
              <w:rPr>
                <w:rFonts w:cs="Arial"/>
                <w:sz w:val="20"/>
                <w:szCs w:val="20"/>
              </w:rPr>
              <w:t>Very high 41–50</w:t>
            </w:r>
          </w:p>
        </w:tc>
      </w:tr>
    </w:tbl>
    <w:p w:rsidR="00EC42E9" w:rsidRPr="00220593" w:rsidRDefault="00EC42E9" w:rsidP="00D91EFE">
      <w:pPr>
        <w:spacing w:after="0"/>
        <w:rPr>
          <w:sz w:val="4"/>
          <w:szCs w:val="4"/>
        </w:rPr>
      </w:pPr>
    </w:p>
    <w:sectPr w:rsidR="00EC42E9" w:rsidRPr="00220593" w:rsidSect="00220593">
      <w:headerReference w:type="even" r:id="rId11"/>
      <w:headerReference w:type="default" r:id="rId12"/>
      <w:footerReference w:type="even" r:id="rId13"/>
      <w:footerReference w:type="default" r:id="rId14"/>
      <w:headerReference w:type="first" r:id="rId15"/>
      <w:footerReference w:type="first" r:id="rId16"/>
      <w:type w:val="continuous"/>
      <w:pgSz w:w="16840" w:h="11907" w:orient="landscape" w:code="9"/>
      <w:pgMar w:top="851" w:right="851" w:bottom="426"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D7A" w:rsidRDefault="007C3D7A" w:rsidP="00304EA1">
      <w:pPr>
        <w:spacing w:after="0" w:line="240" w:lineRule="auto"/>
      </w:pPr>
      <w:r>
        <w:separator/>
      </w:r>
    </w:p>
  </w:endnote>
  <w:endnote w:type="continuationSeparator" w:id="0">
    <w:p w:rsidR="007C3D7A" w:rsidRDefault="007C3D7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A13" w:rsidRDefault="001C5A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D7A" w:rsidRPr="00243F0D" w:rsidRDefault="007C3D7A" w:rsidP="00D3388E">
    <w:pPr>
      <w:pStyle w:val="VCAAcaptionsandfootnotes"/>
    </w:pPr>
    <w:r>
      <w:rPr>
        <w:color w:val="999999" w:themeColor="accent2"/>
      </w:rPr>
      <w:t xml:space="preserve">© </w:t>
    </w:r>
    <w:hyperlink r:id="rId1" w:history="1">
      <w:r>
        <w:rPr>
          <w:rStyle w:val="Hyperlink"/>
        </w:rPr>
        <w:t>VCAA</w:t>
      </w:r>
    </w:hyperlink>
    <w:r w:rsidRPr="00970580">
      <w:t xml:space="preserve"> </w:t>
    </w:r>
    <w:r>
      <w:t>2016</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220593">
      <w:rPr>
        <w:noProof/>
      </w:rPr>
      <w:t>2</w:t>
    </w:r>
    <w:r w:rsidRPr="00B4195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D7A" w:rsidRDefault="007C3D7A" w:rsidP="00D3388E">
    <w:pPr>
      <w:pStyle w:val="VCAAcaptionsandfootnotes"/>
      <w:spacing w:before="520"/>
    </w:pPr>
    <w:r w:rsidRPr="00970580">
      <w:t xml:space="preserve">© </w:t>
    </w:r>
    <w:hyperlink r:id="rId1" w:history="1">
      <w:r w:rsidRPr="00970580">
        <w:rPr>
          <w:rStyle w:val="Hyperlink"/>
        </w:rPr>
        <w:t>VCAA</w:t>
      </w:r>
    </w:hyperlink>
    <w:r>
      <w:rPr>
        <w:rStyle w:val="Hyperlink"/>
      </w:rPr>
      <w:t xml:space="preserve"> </w:t>
    </w:r>
    <w:r w:rsidRPr="00970580">
      <w:t xml:space="preserve"> </w:t>
    </w:r>
    <w:r w:rsidR="001C5A13">
      <w:t>2017</w:t>
    </w:r>
    <w:r>
      <w:ptab w:relativeTo="margin" w:alignment="right" w:leader="none"/>
    </w:r>
    <w:r>
      <w:rPr>
        <w:noProof/>
        <w:lang w:val="en-AU" w:eastAsia="en-AU"/>
      </w:rPr>
      <w:drawing>
        <wp:inline distT="0" distB="0" distL="0" distR="0" wp14:anchorId="7BEC6DC7" wp14:editId="383C69B3">
          <wp:extent cx="649225" cy="367734"/>
          <wp:effectExtent l="0" t="0" r="0" b="0"/>
          <wp:docPr id="4" name="Picture 4"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D7A" w:rsidRDefault="007C3D7A" w:rsidP="00304EA1">
      <w:pPr>
        <w:spacing w:after="0" w:line="240" w:lineRule="auto"/>
      </w:pPr>
      <w:r>
        <w:separator/>
      </w:r>
    </w:p>
  </w:footnote>
  <w:footnote w:type="continuationSeparator" w:id="0">
    <w:p w:rsidR="007C3D7A" w:rsidRDefault="007C3D7A"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A13" w:rsidRDefault="001C5A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E553F074911B417092379D9907A55E77"/>
      </w:placeholder>
      <w:dataBinding w:prefixMappings="xmlns:ns0='http://purl.org/dc/elements/1.1/' xmlns:ns1='http://schemas.openxmlformats.org/package/2006/metadata/core-properties' " w:xpath="/ns1:coreProperties[1]/ns0:title[1]" w:storeItemID="{6C3C8BC8-F283-45AE-878A-BAB7291924A1}"/>
      <w:text/>
    </w:sdtPr>
    <w:sdtEndPr/>
    <w:sdtContent>
      <w:p w:rsidR="007C3D7A" w:rsidRPr="00D86DE4" w:rsidRDefault="00ED288F" w:rsidP="00D86DE4">
        <w:pPr>
          <w:pStyle w:val="VCAAcaptionsandfootnotes"/>
          <w:rPr>
            <w:color w:val="999999" w:themeColor="accent2"/>
          </w:rPr>
        </w:pPr>
        <w:r>
          <w:rPr>
            <w:color w:val="999999" w:themeColor="accent2"/>
            <w:lang w:val="en-AU"/>
          </w:rPr>
          <w:t>VCE Outdoor and Environmental Studies: Performance Descriptors Unit 3 Outcome 1</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D7A" w:rsidRPr="009370BC" w:rsidRDefault="007C3D7A" w:rsidP="00D3388E">
    <w:pPr>
      <w:spacing w:after="0"/>
    </w:pPr>
    <w:r>
      <w:ptab w:relativeTo="margin" w:alignment="right" w:leader="none"/>
    </w:r>
    <w:r>
      <w:rPr>
        <w:noProof/>
        <w:lang w:val="en-AU" w:eastAsia="en-AU"/>
      </w:rPr>
      <w:drawing>
        <wp:inline distT="0" distB="0" distL="0" distR="0" wp14:anchorId="2F209129" wp14:editId="0F6DA1FF">
          <wp:extent cx="2160000" cy="408374"/>
          <wp:effectExtent l="0" t="0" r="0" b="0"/>
          <wp:docPr id="3" name="Picture 3"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2E9"/>
    <w:rsid w:val="00027228"/>
    <w:rsid w:val="0005780E"/>
    <w:rsid w:val="000A71F7"/>
    <w:rsid w:val="000F09E4"/>
    <w:rsid w:val="000F16FD"/>
    <w:rsid w:val="00164D7A"/>
    <w:rsid w:val="00180973"/>
    <w:rsid w:val="001C5A13"/>
    <w:rsid w:val="001E5ED4"/>
    <w:rsid w:val="00220593"/>
    <w:rsid w:val="002233AF"/>
    <w:rsid w:val="002279BA"/>
    <w:rsid w:val="002329F3"/>
    <w:rsid w:val="00243F0D"/>
    <w:rsid w:val="002647BB"/>
    <w:rsid w:val="002754C1"/>
    <w:rsid w:val="002841C8"/>
    <w:rsid w:val="0028516B"/>
    <w:rsid w:val="002B5B0F"/>
    <w:rsid w:val="002C6F90"/>
    <w:rsid w:val="00302FB8"/>
    <w:rsid w:val="00304EA1"/>
    <w:rsid w:val="00314D81"/>
    <w:rsid w:val="00322FC6"/>
    <w:rsid w:val="00331121"/>
    <w:rsid w:val="00372723"/>
    <w:rsid w:val="00391986"/>
    <w:rsid w:val="00400A2A"/>
    <w:rsid w:val="00416B45"/>
    <w:rsid w:val="00417AA3"/>
    <w:rsid w:val="00440B32"/>
    <w:rsid w:val="0046078D"/>
    <w:rsid w:val="004A2ED8"/>
    <w:rsid w:val="004F5BDA"/>
    <w:rsid w:val="0051631E"/>
    <w:rsid w:val="00536E80"/>
    <w:rsid w:val="00566029"/>
    <w:rsid w:val="005923CB"/>
    <w:rsid w:val="005B391B"/>
    <w:rsid w:val="005B442F"/>
    <w:rsid w:val="005D3D78"/>
    <w:rsid w:val="005E2EF0"/>
    <w:rsid w:val="005F59FF"/>
    <w:rsid w:val="00656B26"/>
    <w:rsid w:val="00693FFD"/>
    <w:rsid w:val="006D2159"/>
    <w:rsid w:val="006F787C"/>
    <w:rsid w:val="00702636"/>
    <w:rsid w:val="00724507"/>
    <w:rsid w:val="00742306"/>
    <w:rsid w:val="00751217"/>
    <w:rsid w:val="0076106A"/>
    <w:rsid w:val="00773E6C"/>
    <w:rsid w:val="007B186E"/>
    <w:rsid w:val="007C3D7A"/>
    <w:rsid w:val="00813C37"/>
    <w:rsid w:val="008154B5"/>
    <w:rsid w:val="00823962"/>
    <w:rsid w:val="00852719"/>
    <w:rsid w:val="00860115"/>
    <w:rsid w:val="0088783C"/>
    <w:rsid w:val="008F72A2"/>
    <w:rsid w:val="009370BC"/>
    <w:rsid w:val="0094241C"/>
    <w:rsid w:val="0098739B"/>
    <w:rsid w:val="00A17661"/>
    <w:rsid w:val="00A24B2D"/>
    <w:rsid w:val="00A30AF1"/>
    <w:rsid w:val="00A40966"/>
    <w:rsid w:val="00A51560"/>
    <w:rsid w:val="00A921E0"/>
    <w:rsid w:val="00A955C8"/>
    <w:rsid w:val="00B0738F"/>
    <w:rsid w:val="00B26601"/>
    <w:rsid w:val="00B41951"/>
    <w:rsid w:val="00B53229"/>
    <w:rsid w:val="00B62480"/>
    <w:rsid w:val="00B81B70"/>
    <w:rsid w:val="00BD0724"/>
    <w:rsid w:val="00BE1A80"/>
    <w:rsid w:val="00BE5521"/>
    <w:rsid w:val="00C53263"/>
    <w:rsid w:val="00C75F1D"/>
    <w:rsid w:val="00C94A8B"/>
    <w:rsid w:val="00CC1EDB"/>
    <w:rsid w:val="00CC4094"/>
    <w:rsid w:val="00D3388E"/>
    <w:rsid w:val="00D338E4"/>
    <w:rsid w:val="00D51947"/>
    <w:rsid w:val="00D532F0"/>
    <w:rsid w:val="00D77413"/>
    <w:rsid w:val="00D82759"/>
    <w:rsid w:val="00D86DE4"/>
    <w:rsid w:val="00D91EFE"/>
    <w:rsid w:val="00DC21C3"/>
    <w:rsid w:val="00E23F1D"/>
    <w:rsid w:val="00E36361"/>
    <w:rsid w:val="00E55AE9"/>
    <w:rsid w:val="00EC42E9"/>
    <w:rsid w:val="00ED288F"/>
    <w:rsid w:val="00F40D53"/>
    <w:rsid w:val="00F4525C"/>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0DB33B8"/>
  <w15:docId w15:val="{3282B4F3-B217-4374-9C6B-9F3589ACF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C3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CC4094"/>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BE1A80"/>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BE1A80"/>
    <w:pPr>
      <w:numPr>
        <w:numId w:val="3"/>
      </w:numPr>
      <w:ind w:left="425" w:hanging="425"/>
    </w:pPr>
    <w:rPr>
      <w:lang w:val="en-US"/>
    </w:rPr>
  </w:style>
  <w:style w:type="paragraph" w:customStyle="1" w:styleId="VCAAtablecondensedbullet">
    <w:name w:val="VCAA table condensed bullet"/>
    <w:basedOn w:val="Normal"/>
    <w:qFormat/>
    <w:rsid w:val="00BE1A80"/>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semiHidden/>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64768">
      <w:bodyDiv w:val="1"/>
      <w:marLeft w:val="0"/>
      <w:marRight w:val="0"/>
      <w:marTop w:val="0"/>
      <w:marBottom w:val="0"/>
      <w:divBdr>
        <w:top w:val="none" w:sz="0" w:space="0" w:color="auto"/>
        <w:left w:val="none" w:sz="0" w:space="0" w:color="auto"/>
        <w:bottom w:val="none" w:sz="0" w:space="0" w:color="auto"/>
        <w:right w:val="none" w:sz="0" w:space="0" w:color="auto"/>
      </w:divBdr>
    </w:div>
    <w:div w:id="648362448">
      <w:bodyDiv w:val="1"/>
      <w:marLeft w:val="0"/>
      <w:marRight w:val="0"/>
      <w:marTop w:val="0"/>
      <w:marBottom w:val="0"/>
      <w:divBdr>
        <w:top w:val="none" w:sz="0" w:space="0" w:color="auto"/>
        <w:left w:val="none" w:sz="0" w:space="0" w:color="auto"/>
        <w:bottom w:val="none" w:sz="0" w:space="0" w:color="auto"/>
        <w:right w:val="none" w:sz="0" w:space="0" w:color="auto"/>
      </w:divBdr>
    </w:div>
    <w:div w:id="124730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53F074911B417092379D9907A55E77"/>
        <w:category>
          <w:name w:val="General"/>
          <w:gallery w:val="placeholder"/>
        </w:category>
        <w:types>
          <w:type w:val="bbPlcHdr"/>
        </w:types>
        <w:behaviors>
          <w:behavior w:val="content"/>
        </w:behaviors>
        <w:guid w:val="{6BAAEFAB-DFB8-4353-AB5E-1F089C47FF22}"/>
      </w:docPartPr>
      <w:docPartBody>
        <w:p w:rsidR="00F06195" w:rsidRDefault="00F06195">
          <w:pPr>
            <w:pStyle w:val="E553F074911B417092379D9907A55E77"/>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95"/>
    <w:rsid w:val="006B2328"/>
    <w:rsid w:val="00F06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553F074911B417092379D9907A55E77">
    <w:name w:val="E553F074911B417092379D9907A55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EECD_Expired xmlns="http://schemas.microsoft.com/sharepoint/v3">false</DEECD_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B04A4-7D04-46C5-8D2F-37B6BC56D22A}"/>
</file>

<file path=customXml/itemProps2.xml><?xml version="1.0" encoding="utf-8"?>
<ds:datastoreItem xmlns:ds="http://schemas.openxmlformats.org/officeDocument/2006/customXml" ds:itemID="{DB07BD22-C75B-476D-8E68-E355506F0ABF}"/>
</file>

<file path=customXml/itemProps3.xml><?xml version="1.0" encoding="utf-8"?>
<ds:datastoreItem xmlns:ds="http://schemas.openxmlformats.org/officeDocument/2006/customXml" ds:itemID="{9CFD13F0-8BAC-438A-BCCC-C856CB841621}"/>
</file>

<file path=customXml/itemProps4.xml><?xml version="1.0" encoding="utf-8"?>
<ds:datastoreItem xmlns:ds="http://schemas.openxmlformats.org/officeDocument/2006/customXml" ds:itemID="{6580AA9A-339B-48C6-BFE7-8B741A6ED81A}"/>
</file>

<file path=docProps/app.xml><?xml version="1.0" encoding="utf-8"?>
<Properties xmlns="http://schemas.openxmlformats.org/officeDocument/2006/extended-properties" xmlns:vt="http://schemas.openxmlformats.org/officeDocument/2006/docPropsVTypes">
  <Template>VCAAA4landscape.dotx</Template>
  <TotalTime>0</TotalTime>
  <Pages>1</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VCE Outdoor and Environmental Studies: Performance Descriptors Unit 3 Outcome 1</vt:lpstr>
    </vt:vector>
  </TitlesOfParts>
  <Company>Victorian Curriculum and Assessment Authority</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Outdoor and Environmental Studies: Performance Descriptors Unit 3 Outcome 1</dc:title>
  <dc:creator>VCAA</dc:creator>
  <cp:keywords>VCE, Outdoor and Environmental Studies, Advice for teachers, Performance Descriptors, Performance Descriptors, Unit 3 Outcome 1</cp:keywords>
  <cp:lastModifiedBy>Coleman, Julie J</cp:lastModifiedBy>
  <cp:revision>4</cp:revision>
  <cp:lastPrinted>2015-05-15T02:35:00Z</cp:lastPrinted>
  <dcterms:created xsi:type="dcterms:W3CDTF">2017-06-20T00:19:00Z</dcterms:created>
  <dcterms:modified xsi:type="dcterms:W3CDTF">2018-12-09T22:07:00Z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25;#VCAA|ae0180aa-7478-4220-a827-32d8158f8b8e</vt:lpwstr>
  </property>
  <property fmtid="{D5CDD505-2E9C-101B-9397-08002B2CF9AE}" pid="3" name="DEECD_SubjectCategory">
    <vt:lpwstr/>
  </property>
  <property fmtid="{D5CDD505-2E9C-101B-9397-08002B2CF9AE}" pid="4" name="ContentTypeId">
    <vt:lpwstr>0x0101007BA2A11A40BE9045AE22BD0150786171</vt:lpwstr>
  </property>
  <property fmtid="{D5CDD505-2E9C-101B-9397-08002B2CF9AE}" pid="5" name="DEECD_ItemType">
    <vt:lpwstr>40;#Page|eb523acf-a821-456c-a76b-7607578309d7</vt:lpwstr>
  </property>
  <property fmtid="{D5CDD505-2E9C-101B-9397-08002B2CF9AE}" pid="6" name="DEECD_Audience">
    <vt:lpwstr/>
  </property>
</Properties>
</file>