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958E" w14:textId="216C362F" w:rsidR="00F21AEF" w:rsidRDefault="00F21AEF" w:rsidP="00FA50A6">
      <w:pPr>
        <w:pStyle w:val="VCAAHeading1"/>
      </w:pPr>
      <w:r>
        <w:t xml:space="preserve">VCE Art </w:t>
      </w:r>
      <w:r w:rsidR="002F4AEA">
        <w:t xml:space="preserve">Creative Practice </w:t>
      </w:r>
      <w:r>
        <w:t>Performance Descriptors</w:t>
      </w:r>
    </w:p>
    <w:tbl>
      <w:tblPr>
        <w:tblStyle w:val="TableGrid"/>
        <w:tblW w:w="14028" w:type="dxa"/>
        <w:tblInd w:w="5" w:type="dxa"/>
        <w:tblLook w:val="04A0" w:firstRow="1" w:lastRow="0" w:firstColumn="1" w:lastColumn="0" w:noHBand="0" w:noVBand="1"/>
      </w:tblPr>
      <w:tblGrid>
        <w:gridCol w:w="1784"/>
        <w:gridCol w:w="811"/>
        <w:gridCol w:w="1337"/>
        <w:gridCol w:w="375"/>
        <w:gridCol w:w="1644"/>
        <w:gridCol w:w="2019"/>
        <w:gridCol w:w="2019"/>
        <w:gridCol w:w="2019"/>
        <w:gridCol w:w="2020"/>
      </w:tblGrid>
      <w:tr w:rsidR="008507CF" w:rsidRPr="008D74EF" w14:paraId="113A2AA2" w14:textId="2B8826AF" w:rsidTr="008507CF">
        <w:trPr>
          <w:gridAfter w:val="5"/>
          <w:wAfter w:w="9721" w:type="dxa"/>
        </w:trPr>
        <w:tc>
          <w:tcPr>
            <w:tcW w:w="1784" w:type="dxa"/>
            <w:tcBorders>
              <w:top w:val="nil"/>
              <w:left w:val="nil"/>
              <w:bottom w:val="nil"/>
              <w:right w:val="nil"/>
            </w:tcBorders>
          </w:tcPr>
          <w:p w14:paraId="770C971F" w14:textId="77777777" w:rsidR="008507CF" w:rsidRPr="008D74EF" w:rsidRDefault="008507CF" w:rsidP="0040314A">
            <w:pPr>
              <w:rPr>
                <w:sz w:val="12"/>
                <w:szCs w:val="12"/>
              </w:rPr>
            </w:pPr>
          </w:p>
        </w:tc>
        <w:tc>
          <w:tcPr>
            <w:tcW w:w="811" w:type="dxa"/>
            <w:tcBorders>
              <w:top w:val="nil"/>
              <w:left w:val="nil"/>
              <w:bottom w:val="nil"/>
              <w:right w:val="nil"/>
            </w:tcBorders>
          </w:tcPr>
          <w:p w14:paraId="38EA57E1" w14:textId="40D2EE4B" w:rsidR="008507CF" w:rsidRPr="008D74EF" w:rsidRDefault="008507CF" w:rsidP="0040314A">
            <w:pPr>
              <w:rPr>
                <w:sz w:val="12"/>
                <w:szCs w:val="12"/>
              </w:rPr>
            </w:pPr>
          </w:p>
        </w:tc>
        <w:tc>
          <w:tcPr>
            <w:tcW w:w="1712" w:type="dxa"/>
            <w:gridSpan w:val="2"/>
            <w:tcBorders>
              <w:top w:val="nil"/>
              <w:left w:val="nil"/>
              <w:bottom w:val="nil"/>
              <w:right w:val="nil"/>
            </w:tcBorders>
          </w:tcPr>
          <w:p w14:paraId="2140DCD8" w14:textId="77777777" w:rsidR="008507CF" w:rsidRPr="008D74EF" w:rsidRDefault="008507CF" w:rsidP="0040314A">
            <w:pPr>
              <w:rPr>
                <w:sz w:val="12"/>
                <w:szCs w:val="12"/>
              </w:rPr>
            </w:pPr>
          </w:p>
        </w:tc>
      </w:tr>
      <w:tr w:rsidR="00457EA6" w:rsidRPr="009B433C" w14:paraId="790D9CD8" w14:textId="77777777" w:rsidTr="007157C3">
        <w:tc>
          <w:tcPr>
            <w:tcW w:w="14028" w:type="dxa"/>
            <w:gridSpan w:val="9"/>
            <w:shd w:val="clear" w:color="auto" w:fill="0072AA" w:themeFill="accent1" w:themeFillShade="BF"/>
          </w:tcPr>
          <w:p w14:paraId="3AD42EA1" w14:textId="50651911" w:rsidR="00457EA6" w:rsidRPr="009B433C" w:rsidRDefault="00457EA6" w:rsidP="008507CF">
            <w:pPr>
              <w:spacing w:before="120" w:after="120"/>
              <w:jc w:val="center"/>
              <w:rPr>
                <w:rFonts w:ascii="Arial Narrow" w:hAnsi="Arial Narrow"/>
                <w:b/>
                <w:color w:val="FFFFFF" w:themeColor="background1"/>
                <w:sz w:val="18"/>
                <w:szCs w:val="18"/>
                <w:lang w:val="en-AU"/>
              </w:rPr>
            </w:pPr>
            <w:r w:rsidRPr="009B433C">
              <w:rPr>
                <w:rFonts w:ascii="Arial Narrow" w:hAnsi="Arial Narrow"/>
                <w:b/>
                <w:color w:val="FFFFFF" w:themeColor="background1"/>
                <w:sz w:val="18"/>
                <w:szCs w:val="18"/>
                <w:lang w:val="en-AU"/>
              </w:rPr>
              <w:t>DESCRIPTOR: typical performance in each range</w:t>
            </w:r>
          </w:p>
        </w:tc>
      </w:tr>
      <w:tr w:rsidR="00457EA6" w:rsidRPr="009B433C" w14:paraId="59F9E2CD" w14:textId="77777777" w:rsidTr="00FA50A6">
        <w:trPr>
          <w:trHeight w:val="340"/>
        </w:trPr>
        <w:tc>
          <w:tcPr>
            <w:tcW w:w="1784" w:type="dxa"/>
            <w:vMerge w:val="restart"/>
            <w:shd w:val="clear" w:color="auto" w:fill="auto"/>
          </w:tcPr>
          <w:p w14:paraId="40FB0C3D" w14:textId="7A115F3E" w:rsidR="00457EA6" w:rsidRPr="00FA50A6" w:rsidRDefault="00457EA6" w:rsidP="006F6FFF">
            <w:pPr>
              <w:pStyle w:val="VCAAbody"/>
              <w:spacing w:before="600" w:after="0"/>
              <w:rPr>
                <w:rFonts w:ascii="Arial Narrow" w:hAnsi="Arial Narrow"/>
                <w:b/>
                <w:bCs/>
                <w:lang w:val="en-AU"/>
              </w:rPr>
            </w:pPr>
            <w:bookmarkStart w:id="0" w:name="_Toc66196702"/>
            <w:bookmarkStart w:id="1" w:name="_Toc80786130"/>
            <w:bookmarkStart w:id="2" w:name="_Toc81899417"/>
            <w:bookmarkStart w:id="3" w:name="_Toc87877668"/>
            <w:bookmarkStart w:id="4" w:name="_Toc97552596"/>
            <w:r w:rsidRPr="00FA50A6">
              <w:rPr>
                <w:rFonts w:ascii="Arial Narrow" w:hAnsi="Arial Narrow"/>
                <w:b/>
                <w:bCs/>
                <w:lang w:val="en-AU"/>
              </w:rPr>
              <w:t xml:space="preserve">Unit 4 </w:t>
            </w:r>
          </w:p>
          <w:p w14:paraId="773DA511" w14:textId="23E22948" w:rsidR="00457EA6" w:rsidRPr="00FA50A6" w:rsidRDefault="00457EA6" w:rsidP="00FA50A6">
            <w:pPr>
              <w:pStyle w:val="VCAAbody"/>
              <w:spacing w:before="0"/>
              <w:rPr>
                <w:rFonts w:ascii="Arial Narrow" w:hAnsi="Arial Narrow"/>
                <w:b/>
                <w:bCs/>
              </w:rPr>
            </w:pPr>
            <w:r w:rsidRPr="00FA50A6">
              <w:rPr>
                <w:rFonts w:ascii="Arial Narrow" w:hAnsi="Arial Narrow"/>
                <w:b/>
                <w:bCs/>
                <w:lang w:val="en-AU"/>
              </w:rPr>
              <w:t>Outcome 3</w:t>
            </w:r>
            <w:bookmarkEnd w:id="0"/>
            <w:bookmarkEnd w:id="1"/>
            <w:bookmarkEnd w:id="2"/>
            <w:bookmarkEnd w:id="3"/>
            <w:bookmarkEnd w:id="4"/>
          </w:p>
          <w:p w14:paraId="3B454CBD" w14:textId="0F7CC01D" w:rsidR="00457EA6" w:rsidRPr="00FA50A6" w:rsidRDefault="00457EA6" w:rsidP="00FA50A6">
            <w:pPr>
              <w:pStyle w:val="VCAAbody"/>
              <w:spacing w:line="240" w:lineRule="auto"/>
              <w:rPr>
                <w:rFonts w:ascii="Arial Narrow" w:hAnsi="Arial Narrow"/>
                <w:lang w:val="en-AU"/>
              </w:rPr>
            </w:pPr>
            <w:r w:rsidRPr="00FA50A6">
              <w:rPr>
                <w:rFonts w:ascii="Arial Narrow" w:hAnsi="Arial Narrow"/>
                <w:lang w:val="en-AU"/>
              </w:rPr>
              <w:t>On completion of this unit the student should be able to compare the practices of historical and contemporary artists, and use the Interpretive Lenses to analyse and interpret the meanings and messages of selected artworks.</w:t>
            </w:r>
          </w:p>
        </w:tc>
        <w:tc>
          <w:tcPr>
            <w:tcW w:w="2148" w:type="dxa"/>
            <w:gridSpan w:val="2"/>
            <w:shd w:val="clear" w:color="auto" w:fill="D9D9D9" w:themeFill="background1" w:themeFillShade="D9"/>
          </w:tcPr>
          <w:p w14:paraId="6C9DB83D" w14:textId="6882127A" w:rsidR="00457EA6" w:rsidRPr="00FA50A6" w:rsidRDefault="00457EA6" w:rsidP="00FA50A6">
            <w:pPr>
              <w:pStyle w:val="VCAAtablecondensed"/>
              <w:spacing w:before="120" w:after="120" w:line="240" w:lineRule="auto"/>
              <w:rPr>
                <w:szCs w:val="20"/>
              </w:rPr>
            </w:pPr>
            <w:r w:rsidRPr="00FA50A6">
              <w:rPr>
                <w:b/>
                <w:szCs w:val="20"/>
                <w:lang w:val="en-AU"/>
              </w:rPr>
              <w:t>Key skill</w:t>
            </w:r>
          </w:p>
        </w:tc>
        <w:tc>
          <w:tcPr>
            <w:tcW w:w="2019" w:type="dxa"/>
            <w:gridSpan w:val="2"/>
            <w:shd w:val="clear" w:color="auto" w:fill="auto"/>
          </w:tcPr>
          <w:p w14:paraId="79B1E43B" w14:textId="7A016909" w:rsidR="00457EA6" w:rsidRPr="00FA50A6" w:rsidRDefault="00457EA6" w:rsidP="006F6FFF">
            <w:pPr>
              <w:pStyle w:val="VCAAtablecondensed"/>
              <w:spacing w:before="120" w:after="120" w:line="240" w:lineRule="auto"/>
              <w:jc w:val="center"/>
              <w:rPr>
                <w:rFonts w:eastAsia="Calibri"/>
                <w:szCs w:val="20"/>
              </w:rPr>
            </w:pPr>
            <w:r w:rsidRPr="00FA50A6">
              <w:rPr>
                <w:b/>
                <w:bCs/>
                <w:szCs w:val="20"/>
              </w:rPr>
              <w:t xml:space="preserve">Very </w:t>
            </w:r>
            <w:r w:rsidR="00FA50A6" w:rsidRPr="00FA50A6">
              <w:rPr>
                <w:b/>
                <w:bCs/>
                <w:szCs w:val="20"/>
              </w:rPr>
              <w:t>l</w:t>
            </w:r>
            <w:r w:rsidRPr="00FA50A6">
              <w:rPr>
                <w:b/>
                <w:bCs/>
                <w:szCs w:val="20"/>
              </w:rPr>
              <w:t>ow</w:t>
            </w:r>
          </w:p>
        </w:tc>
        <w:tc>
          <w:tcPr>
            <w:tcW w:w="2019" w:type="dxa"/>
          </w:tcPr>
          <w:p w14:paraId="388DB72D" w14:textId="564CC762" w:rsidR="00457EA6" w:rsidRPr="00FA50A6" w:rsidRDefault="00457EA6" w:rsidP="006F6FFF">
            <w:pPr>
              <w:pStyle w:val="VCAAtablecondensed"/>
              <w:spacing w:before="120" w:after="120" w:line="240" w:lineRule="auto"/>
              <w:jc w:val="center"/>
              <w:rPr>
                <w:rFonts w:eastAsia="Calibri"/>
                <w:szCs w:val="20"/>
              </w:rPr>
            </w:pPr>
            <w:r w:rsidRPr="00FA50A6">
              <w:rPr>
                <w:b/>
                <w:bCs/>
                <w:szCs w:val="20"/>
              </w:rPr>
              <w:t>Low</w:t>
            </w:r>
          </w:p>
        </w:tc>
        <w:tc>
          <w:tcPr>
            <w:tcW w:w="2019" w:type="dxa"/>
          </w:tcPr>
          <w:p w14:paraId="2FB90A0C" w14:textId="5A89E8E5" w:rsidR="00457EA6" w:rsidRPr="00FA50A6" w:rsidRDefault="00457EA6" w:rsidP="006F6FFF">
            <w:pPr>
              <w:pStyle w:val="VCAAtablecondensed"/>
              <w:spacing w:before="120" w:after="120" w:line="240" w:lineRule="auto"/>
              <w:jc w:val="center"/>
              <w:rPr>
                <w:rFonts w:eastAsia="Calibri"/>
                <w:szCs w:val="20"/>
              </w:rPr>
            </w:pPr>
            <w:r w:rsidRPr="00FA50A6">
              <w:rPr>
                <w:b/>
                <w:bCs/>
                <w:szCs w:val="20"/>
              </w:rPr>
              <w:t>Medium</w:t>
            </w:r>
          </w:p>
        </w:tc>
        <w:tc>
          <w:tcPr>
            <w:tcW w:w="2019" w:type="dxa"/>
          </w:tcPr>
          <w:p w14:paraId="68C339E3" w14:textId="77B8816A" w:rsidR="00457EA6" w:rsidRPr="00FA50A6" w:rsidRDefault="00457EA6" w:rsidP="006F6FFF">
            <w:pPr>
              <w:pStyle w:val="VCAAtablecondensed"/>
              <w:spacing w:before="120" w:after="120" w:line="240" w:lineRule="auto"/>
              <w:jc w:val="center"/>
              <w:rPr>
                <w:rFonts w:eastAsia="Calibri"/>
                <w:szCs w:val="20"/>
              </w:rPr>
            </w:pPr>
            <w:r w:rsidRPr="00FA50A6">
              <w:rPr>
                <w:b/>
                <w:bCs/>
                <w:szCs w:val="20"/>
              </w:rPr>
              <w:t>High</w:t>
            </w:r>
          </w:p>
        </w:tc>
        <w:tc>
          <w:tcPr>
            <w:tcW w:w="2020" w:type="dxa"/>
          </w:tcPr>
          <w:p w14:paraId="249096E7" w14:textId="1735243B" w:rsidR="00457EA6" w:rsidRPr="00FA50A6" w:rsidRDefault="00457EA6" w:rsidP="006F6FFF">
            <w:pPr>
              <w:pStyle w:val="VCAAtablecondensed"/>
              <w:spacing w:before="120" w:after="120" w:line="240" w:lineRule="auto"/>
              <w:jc w:val="center"/>
              <w:rPr>
                <w:rFonts w:eastAsia="Calibri"/>
                <w:szCs w:val="20"/>
              </w:rPr>
            </w:pPr>
            <w:r w:rsidRPr="00FA50A6">
              <w:rPr>
                <w:b/>
                <w:bCs/>
                <w:szCs w:val="20"/>
              </w:rPr>
              <w:t xml:space="preserve">Very </w:t>
            </w:r>
            <w:r w:rsidR="00FA50A6">
              <w:rPr>
                <w:b/>
                <w:bCs/>
                <w:szCs w:val="20"/>
              </w:rPr>
              <w:t>h</w:t>
            </w:r>
            <w:r w:rsidRPr="00FA50A6">
              <w:rPr>
                <w:b/>
                <w:bCs/>
                <w:szCs w:val="20"/>
              </w:rPr>
              <w:t>igh</w:t>
            </w:r>
          </w:p>
        </w:tc>
      </w:tr>
      <w:tr w:rsidR="00457EA6" w:rsidRPr="009B433C" w14:paraId="20169F29" w14:textId="77777777" w:rsidTr="00A42922">
        <w:trPr>
          <w:trHeight w:val="1349"/>
        </w:trPr>
        <w:tc>
          <w:tcPr>
            <w:tcW w:w="1784" w:type="dxa"/>
            <w:vMerge/>
            <w:shd w:val="clear" w:color="auto" w:fill="auto"/>
          </w:tcPr>
          <w:p w14:paraId="14481342" w14:textId="075EE95C" w:rsidR="00457EA6" w:rsidRPr="00632E5D" w:rsidRDefault="00457EA6" w:rsidP="008507CF">
            <w:pPr>
              <w:pStyle w:val="VCAAtablecondensed"/>
              <w:spacing w:line="240" w:lineRule="auto"/>
              <w:ind w:left="313"/>
            </w:pPr>
          </w:p>
        </w:tc>
        <w:tc>
          <w:tcPr>
            <w:tcW w:w="2148" w:type="dxa"/>
            <w:gridSpan w:val="2"/>
            <w:shd w:val="clear" w:color="auto" w:fill="D9D9D9" w:themeFill="background1" w:themeFillShade="D9"/>
          </w:tcPr>
          <w:p w14:paraId="1EEAAABB" w14:textId="02B92834" w:rsidR="00457EA6" w:rsidRPr="00632E5D" w:rsidRDefault="00457EA6" w:rsidP="00FA50A6">
            <w:pPr>
              <w:pStyle w:val="VCAAtablecondensed"/>
              <w:numPr>
                <w:ilvl w:val="0"/>
                <w:numId w:val="11"/>
              </w:numPr>
              <w:spacing w:line="240" w:lineRule="auto"/>
              <w:ind w:left="313" w:hanging="284"/>
              <w:rPr>
                <w:rFonts w:eastAsia="Calibri"/>
                <w:szCs w:val="20"/>
              </w:rPr>
            </w:pPr>
            <w:r w:rsidRPr="00632E5D">
              <w:t>compare the practices of historical and contemporary artists</w:t>
            </w:r>
          </w:p>
        </w:tc>
        <w:tc>
          <w:tcPr>
            <w:tcW w:w="2019" w:type="dxa"/>
            <w:gridSpan w:val="2"/>
            <w:shd w:val="clear" w:color="auto" w:fill="auto"/>
          </w:tcPr>
          <w:p w14:paraId="2C25271F" w14:textId="25BB564E" w:rsidR="00457EA6" w:rsidRPr="00632E5D" w:rsidRDefault="00457EA6" w:rsidP="008507CF">
            <w:pPr>
              <w:pStyle w:val="VCAAtablecondensed"/>
              <w:spacing w:line="240" w:lineRule="auto"/>
              <w:rPr>
                <w:rFonts w:eastAsia="Calibri"/>
                <w:szCs w:val="20"/>
              </w:rPr>
            </w:pPr>
            <w:r w:rsidRPr="00632E5D">
              <w:rPr>
                <w:rFonts w:eastAsia="Calibri"/>
                <w:szCs w:val="20"/>
              </w:rPr>
              <w:t xml:space="preserve">The practices of historical and contemporary artists </w:t>
            </w:r>
            <w:r>
              <w:rPr>
                <w:rFonts w:eastAsia="Calibri"/>
                <w:szCs w:val="20"/>
              </w:rPr>
              <w:t>are listed</w:t>
            </w:r>
            <w:r w:rsidRPr="00632E5D">
              <w:rPr>
                <w:rFonts w:eastAsia="Calibri"/>
                <w:szCs w:val="20"/>
              </w:rPr>
              <w:t xml:space="preserve">. </w:t>
            </w:r>
          </w:p>
        </w:tc>
        <w:tc>
          <w:tcPr>
            <w:tcW w:w="2019" w:type="dxa"/>
          </w:tcPr>
          <w:p w14:paraId="285A8F81" w14:textId="2212F469" w:rsidR="00457EA6" w:rsidRPr="00632E5D" w:rsidRDefault="00457EA6" w:rsidP="008507CF">
            <w:pPr>
              <w:pStyle w:val="VCAAtablecondensed"/>
              <w:spacing w:line="240" w:lineRule="auto"/>
              <w:rPr>
                <w:szCs w:val="20"/>
              </w:rPr>
            </w:pPr>
            <w:r w:rsidRPr="00632E5D">
              <w:rPr>
                <w:rFonts w:eastAsia="Calibri"/>
                <w:szCs w:val="20"/>
              </w:rPr>
              <w:t xml:space="preserve">The practices of historical and contemporary artists are </w:t>
            </w:r>
            <w:r>
              <w:rPr>
                <w:rFonts w:eastAsia="Calibri"/>
                <w:szCs w:val="20"/>
              </w:rPr>
              <w:t>described</w:t>
            </w:r>
            <w:r w:rsidRPr="00632E5D">
              <w:rPr>
                <w:rFonts w:eastAsia="Calibri"/>
                <w:szCs w:val="20"/>
              </w:rPr>
              <w:t xml:space="preserve">. </w:t>
            </w:r>
          </w:p>
        </w:tc>
        <w:tc>
          <w:tcPr>
            <w:tcW w:w="2019" w:type="dxa"/>
          </w:tcPr>
          <w:p w14:paraId="35400707" w14:textId="0DEC42FE" w:rsidR="00457EA6" w:rsidRPr="00632E5D" w:rsidRDefault="00457EA6" w:rsidP="008507CF">
            <w:pPr>
              <w:pStyle w:val="VCAAtablecondensed"/>
              <w:spacing w:line="240" w:lineRule="auto"/>
              <w:rPr>
                <w:rFonts w:eastAsia="Calibri"/>
                <w:szCs w:val="20"/>
              </w:rPr>
            </w:pPr>
            <w:r w:rsidRPr="00632E5D">
              <w:rPr>
                <w:rFonts w:eastAsia="Calibri"/>
                <w:szCs w:val="20"/>
              </w:rPr>
              <w:t xml:space="preserve">The practices of historical and contemporary artists </w:t>
            </w:r>
            <w:r>
              <w:rPr>
                <w:rFonts w:eastAsia="Calibri"/>
                <w:szCs w:val="20"/>
              </w:rPr>
              <w:t xml:space="preserve">are discussed </w:t>
            </w:r>
            <w:r w:rsidRPr="00632E5D">
              <w:rPr>
                <w:rFonts w:eastAsia="Calibri"/>
                <w:szCs w:val="20"/>
              </w:rPr>
              <w:t>and compared.</w:t>
            </w:r>
          </w:p>
        </w:tc>
        <w:tc>
          <w:tcPr>
            <w:tcW w:w="2019" w:type="dxa"/>
          </w:tcPr>
          <w:p w14:paraId="745A7619" w14:textId="2F0DDD9D" w:rsidR="00457EA6" w:rsidRPr="00632E5D" w:rsidRDefault="00457EA6" w:rsidP="008507CF">
            <w:pPr>
              <w:pStyle w:val="VCAAtablecondensed"/>
              <w:spacing w:line="240" w:lineRule="auto"/>
              <w:rPr>
                <w:szCs w:val="20"/>
              </w:rPr>
            </w:pPr>
            <w:r w:rsidRPr="00632E5D">
              <w:rPr>
                <w:rFonts w:eastAsia="Calibri"/>
                <w:szCs w:val="20"/>
              </w:rPr>
              <w:t xml:space="preserve">The practices of historical and contemporary artists </w:t>
            </w:r>
            <w:r>
              <w:rPr>
                <w:rFonts w:eastAsia="Calibri"/>
                <w:szCs w:val="20"/>
              </w:rPr>
              <w:t>are</w:t>
            </w:r>
            <w:r w:rsidRPr="00632E5D">
              <w:rPr>
                <w:rFonts w:eastAsia="Calibri"/>
                <w:szCs w:val="20"/>
              </w:rPr>
              <w:t xml:space="preserve"> compared </w:t>
            </w:r>
            <w:r>
              <w:rPr>
                <w:rFonts w:eastAsia="Calibri"/>
                <w:szCs w:val="20"/>
              </w:rPr>
              <w:t>using identified examples from both artists.</w:t>
            </w:r>
          </w:p>
        </w:tc>
        <w:tc>
          <w:tcPr>
            <w:tcW w:w="2020" w:type="dxa"/>
          </w:tcPr>
          <w:p w14:paraId="1BFEFC02" w14:textId="6891202E" w:rsidR="00457EA6" w:rsidRPr="00632E5D" w:rsidRDefault="00457EA6" w:rsidP="008507CF">
            <w:pPr>
              <w:pStyle w:val="VCAAtablecondensed"/>
              <w:spacing w:line="240" w:lineRule="auto"/>
              <w:rPr>
                <w:szCs w:val="20"/>
              </w:rPr>
            </w:pPr>
            <w:r w:rsidRPr="00632E5D">
              <w:rPr>
                <w:rFonts w:eastAsia="Calibri"/>
                <w:szCs w:val="20"/>
              </w:rPr>
              <w:t xml:space="preserve">The practices of historical and contemporary artists </w:t>
            </w:r>
            <w:r>
              <w:rPr>
                <w:rFonts w:eastAsia="Calibri"/>
                <w:szCs w:val="20"/>
              </w:rPr>
              <w:t xml:space="preserve">are compared using specific examples from the practices of both artists. </w:t>
            </w:r>
          </w:p>
        </w:tc>
      </w:tr>
      <w:tr w:rsidR="00457EA6" w:rsidRPr="009B433C" w14:paraId="23F9577D" w14:textId="77777777" w:rsidTr="00A42922">
        <w:trPr>
          <w:trHeight w:val="1360"/>
        </w:trPr>
        <w:tc>
          <w:tcPr>
            <w:tcW w:w="1784" w:type="dxa"/>
            <w:vMerge/>
            <w:shd w:val="clear" w:color="auto" w:fill="auto"/>
          </w:tcPr>
          <w:p w14:paraId="1C862EE1" w14:textId="77777777" w:rsidR="00457EA6" w:rsidRPr="00716B2E" w:rsidRDefault="00457EA6" w:rsidP="0012222A">
            <w:pPr>
              <w:pStyle w:val="VCAAbull"/>
            </w:pPr>
          </w:p>
        </w:tc>
        <w:tc>
          <w:tcPr>
            <w:tcW w:w="2148" w:type="dxa"/>
            <w:gridSpan w:val="2"/>
            <w:vMerge w:val="restart"/>
            <w:shd w:val="clear" w:color="auto" w:fill="D9D9D9" w:themeFill="background1" w:themeFillShade="D9"/>
          </w:tcPr>
          <w:p w14:paraId="7BFC58F6" w14:textId="2C177F95" w:rsidR="00457EA6" w:rsidRDefault="00457EA6" w:rsidP="0012222A">
            <w:pPr>
              <w:pStyle w:val="VCAAbull"/>
            </w:pPr>
            <w:r w:rsidRPr="00716B2E">
              <w:t>analyse, interpret and compare meanings and messages of historical and contemporary artworks</w:t>
            </w:r>
          </w:p>
          <w:p w14:paraId="626F622C" w14:textId="4A52BD0C" w:rsidR="00457EA6" w:rsidRPr="0062012B" w:rsidRDefault="00457EA6" w:rsidP="0012222A">
            <w:pPr>
              <w:pStyle w:val="VCAAbull"/>
            </w:pPr>
            <w:r w:rsidRPr="00716B2E">
              <w:t>apply the Structural, Personal and Cultural Lenses to the analysis and interpretation of the meanings and messages of artworks</w:t>
            </w:r>
          </w:p>
        </w:tc>
        <w:tc>
          <w:tcPr>
            <w:tcW w:w="2019" w:type="dxa"/>
            <w:gridSpan w:val="2"/>
            <w:shd w:val="clear" w:color="auto" w:fill="auto"/>
          </w:tcPr>
          <w:p w14:paraId="5DDAA126" w14:textId="2BA48AD9" w:rsidR="00457EA6" w:rsidRPr="00632E5D" w:rsidRDefault="00457EA6" w:rsidP="008507CF">
            <w:pPr>
              <w:pStyle w:val="VCAAtablecondensed"/>
              <w:spacing w:line="240" w:lineRule="auto"/>
              <w:rPr>
                <w:rFonts w:eastAsia="Calibri"/>
                <w:szCs w:val="20"/>
              </w:rPr>
            </w:pPr>
            <w:r w:rsidRPr="0062012B">
              <w:t xml:space="preserve">The meanings and messages of the artworks </w:t>
            </w:r>
            <w:r>
              <w:t>are identified.</w:t>
            </w:r>
          </w:p>
        </w:tc>
        <w:tc>
          <w:tcPr>
            <w:tcW w:w="2019" w:type="dxa"/>
          </w:tcPr>
          <w:p w14:paraId="27650F64" w14:textId="383A4868" w:rsidR="00457EA6" w:rsidRPr="00FA50A6" w:rsidRDefault="00457EA6" w:rsidP="008507CF">
            <w:pPr>
              <w:pStyle w:val="VCAAtablecondensed"/>
              <w:spacing w:line="240" w:lineRule="auto"/>
            </w:pPr>
            <w:r>
              <w:t xml:space="preserve">Description of the </w:t>
            </w:r>
            <w:r w:rsidRPr="0062012B">
              <w:t>meanings and messages</w:t>
            </w:r>
            <w:r>
              <w:t xml:space="preserve"> of artworks using aspects of t</w:t>
            </w:r>
            <w:r w:rsidRPr="0062012B">
              <w:t>he Interpretive Lenses have been used.</w:t>
            </w:r>
          </w:p>
        </w:tc>
        <w:tc>
          <w:tcPr>
            <w:tcW w:w="2019" w:type="dxa"/>
          </w:tcPr>
          <w:p w14:paraId="6B0C27F9" w14:textId="5FF22C42" w:rsidR="00457EA6" w:rsidRPr="00632E5D" w:rsidRDefault="00457EA6" w:rsidP="008507CF">
            <w:pPr>
              <w:pStyle w:val="VCAAtablecondensed"/>
              <w:spacing w:line="240" w:lineRule="auto"/>
              <w:rPr>
                <w:rFonts w:eastAsia="Calibri"/>
                <w:szCs w:val="20"/>
              </w:rPr>
            </w:pPr>
            <w:r>
              <w:rPr>
                <w:rFonts w:eastAsia="Calibri"/>
                <w:szCs w:val="20"/>
              </w:rPr>
              <w:t>Analysis of the meanings and messages of artworks using the appropriate Interpretative lenses.</w:t>
            </w:r>
          </w:p>
        </w:tc>
        <w:tc>
          <w:tcPr>
            <w:tcW w:w="2019" w:type="dxa"/>
          </w:tcPr>
          <w:p w14:paraId="4C666195" w14:textId="4784A86F" w:rsidR="00457EA6" w:rsidRPr="00632E5D" w:rsidRDefault="00457EA6" w:rsidP="008507CF">
            <w:pPr>
              <w:pStyle w:val="VCAAtablecondensed"/>
              <w:spacing w:line="240" w:lineRule="auto"/>
              <w:rPr>
                <w:rFonts w:eastAsia="Calibri"/>
                <w:szCs w:val="20"/>
              </w:rPr>
            </w:pPr>
            <w:r>
              <w:t>Interpretation of the meanings and messages of artworks using aspects of the interpretative lenses and evidence from the artworks.</w:t>
            </w:r>
          </w:p>
        </w:tc>
        <w:tc>
          <w:tcPr>
            <w:tcW w:w="2020" w:type="dxa"/>
          </w:tcPr>
          <w:p w14:paraId="0EBA8126" w14:textId="5F322C46" w:rsidR="00457EA6" w:rsidRPr="00632E5D" w:rsidRDefault="00457EA6" w:rsidP="008507CF">
            <w:pPr>
              <w:pStyle w:val="VCAAtablecondensed"/>
              <w:spacing w:line="240" w:lineRule="auto"/>
              <w:rPr>
                <w:rFonts w:eastAsia="Calibri"/>
                <w:szCs w:val="20"/>
              </w:rPr>
            </w:pPr>
            <w:r>
              <w:rPr>
                <w:rFonts w:eastAsia="Calibri"/>
                <w:szCs w:val="20"/>
              </w:rPr>
              <w:t xml:space="preserve">Interpretation of the meanings and messages of artworks by evaluating and applying the interpretative lenses, and specific examples from artworks </w:t>
            </w:r>
          </w:p>
        </w:tc>
      </w:tr>
      <w:tr w:rsidR="00457EA6" w:rsidRPr="009B433C" w14:paraId="1C37F617" w14:textId="77777777" w:rsidTr="00A42922">
        <w:trPr>
          <w:trHeight w:val="1360"/>
        </w:trPr>
        <w:tc>
          <w:tcPr>
            <w:tcW w:w="1784" w:type="dxa"/>
            <w:vMerge/>
            <w:shd w:val="clear" w:color="auto" w:fill="auto"/>
          </w:tcPr>
          <w:p w14:paraId="26F30358" w14:textId="77777777" w:rsidR="00457EA6" w:rsidRPr="00632E5D" w:rsidRDefault="00457EA6" w:rsidP="008507CF">
            <w:pPr>
              <w:pStyle w:val="VCAAtablecondensed"/>
              <w:spacing w:line="240" w:lineRule="auto"/>
              <w:rPr>
                <w:szCs w:val="20"/>
              </w:rPr>
            </w:pPr>
          </w:p>
        </w:tc>
        <w:tc>
          <w:tcPr>
            <w:tcW w:w="2148" w:type="dxa"/>
            <w:gridSpan w:val="2"/>
            <w:vMerge/>
            <w:shd w:val="clear" w:color="auto" w:fill="D9D9D9" w:themeFill="background1" w:themeFillShade="D9"/>
          </w:tcPr>
          <w:p w14:paraId="7BC1366B" w14:textId="62C1269B" w:rsidR="00457EA6" w:rsidRPr="00632E5D" w:rsidRDefault="00457EA6" w:rsidP="00FA50A6">
            <w:pPr>
              <w:pStyle w:val="VCAAtablecondensed"/>
              <w:spacing w:line="240" w:lineRule="auto"/>
              <w:ind w:left="313" w:hanging="284"/>
              <w:rPr>
                <w:szCs w:val="20"/>
              </w:rPr>
            </w:pPr>
          </w:p>
        </w:tc>
        <w:tc>
          <w:tcPr>
            <w:tcW w:w="2019" w:type="dxa"/>
            <w:gridSpan w:val="2"/>
            <w:shd w:val="clear" w:color="auto" w:fill="auto"/>
          </w:tcPr>
          <w:p w14:paraId="729A8981" w14:textId="71BB8CB3" w:rsidR="00457EA6" w:rsidRPr="00632E5D" w:rsidRDefault="00457EA6" w:rsidP="008507CF">
            <w:pPr>
              <w:pStyle w:val="VCAAtablecondensed"/>
              <w:spacing w:line="240" w:lineRule="auto"/>
              <w:rPr>
                <w:szCs w:val="20"/>
              </w:rPr>
            </w:pPr>
            <w:r>
              <w:rPr>
                <w:szCs w:val="20"/>
              </w:rPr>
              <w:t xml:space="preserve">Meanings and messages of artworks are described. </w:t>
            </w:r>
          </w:p>
        </w:tc>
        <w:tc>
          <w:tcPr>
            <w:tcW w:w="2019" w:type="dxa"/>
          </w:tcPr>
          <w:p w14:paraId="2D9A107A" w14:textId="7DA2971B" w:rsidR="00457EA6" w:rsidRPr="00632E5D" w:rsidRDefault="00457EA6" w:rsidP="008507CF">
            <w:pPr>
              <w:pStyle w:val="VCAAtablecondensed"/>
              <w:spacing w:line="240" w:lineRule="auto"/>
              <w:rPr>
                <w:szCs w:val="20"/>
              </w:rPr>
            </w:pPr>
            <w:r>
              <w:rPr>
                <w:szCs w:val="20"/>
              </w:rPr>
              <w:t>Meanings and messages of artworks are compared.</w:t>
            </w:r>
          </w:p>
        </w:tc>
        <w:tc>
          <w:tcPr>
            <w:tcW w:w="2019" w:type="dxa"/>
          </w:tcPr>
          <w:p w14:paraId="0A76E07B" w14:textId="4EE042F4" w:rsidR="00457EA6" w:rsidRPr="00632E5D" w:rsidRDefault="00457EA6" w:rsidP="008507CF">
            <w:pPr>
              <w:pStyle w:val="VCAAtablecondensed"/>
              <w:spacing w:line="240" w:lineRule="auto"/>
              <w:rPr>
                <w:szCs w:val="20"/>
              </w:rPr>
            </w:pPr>
            <w:r>
              <w:rPr>
                <w:szCs w:val="20"/>
              </w:rPr>
              <w:t>Meaning and messages of artworks are compared using the appropriate Interpretative lenses and by drawing on examples from the artworks</w:t>
            </w:r>
          </w:p>
        </w:tc>
        <w:tc>
          <w:tcPr>
            <w:tcW w:w="2019" w:type="dxa"/>
          </w:tcPr>
          <w:p w14:paraId="0D8E7F17" w14:textId="093681F3" w:rsidR="00457EA6" w:rsidRPr="00632E5D" w:rsidRDefault="00457EA6" w:rsidP="008507CF">
            <w:pPr>
              <w:pStyle w:val="VCAAtablecondensed"/>
              <w:spacing w:line="240" w:lineRule="auto"/>
              <w:rPr>
                <w:szCs w:val="20"/>
              </w:rPr>
            </w:pPr>
            <w:r>
              <w:rPr>
                <w:szCs w:val="20"/>
              </w:rPr>
              <w:t>Meanings and messages of artworks are compared using appropriate aspects of the interpretative lenses and selected examples from the artworks.</w:t>
            </w:r>
          </w:p>
        </w:tc>
        <w:tc>
          <w:tcPr>
            <w:tcW w:w="2020" w:type="dxa"/>
          </w:tcPr>
          <w:p w14:paraId="71210E8C" w14:textId="005CD24A" w:rsidR="00457EA6" w:rsidRPr="00632E5D" w:rsidRDefault="00457EA6" w:rsidP="008507CF">
            <w:pPr>
              <w:pStyle w:val="VCAAtablecondensed"/>
              <w:spacing w:line="240" w:lineRule="auto"/>
              <w:rPr>
                <w:szCs w:val="20"/>
              </w:rPr>
            </w:pPr>
            <w:r>
              <w:rPr>
                <w:szCs w:val="20"/>
              </w:rPr>
              <w:t xml:space="preserve">Meanings and messages of artworks are connected, evaluated and compared using the interpretative lenses and selected evidence from the artworks and other sources. </w:t>
            </w:r>
          </w:p>
        </w:tc>
      </w:tr>
    </w:tbl>
    <w:p w14:paraId="59BAA8E3" w14:textId="77777777" w:rsidR="0012222A" w:rsidRDefault="0012222A">
      <w:r>
        <w:br w:type="page"/>
      </w:r>
    </w:p>
    <w:tbl>
      <w:tblPr>
        <w:tblStyle w:val="TableGrid"/>
        <w:tblW w:w="14028" w:type="dxa"/>
        <w:tblLook w:val="04A0" w:firstRow="1" w:lastRow="0" w:firstColumn="1" w:lastColumn="0" w:noHBand="0" w:noVBand="1"/>
      </w:tblPr>
      <w:tblGrid>
        <w:gridCol w:w="1784"/>
        <w:gridCol w:w="2148"/>
        <w:gridCol w:w="2019"/>
        <w:gridCol w:w="2019"/>
        <w:gridCol w:w="2019"/>
        <w:gridCol w:w="2019"/>
        <w:gridCol w:w="2020"/>
      </w:tblGrid>
      <w:tr w:rsidR="00457EA6" w:rsidRPr="009B433C" w14:paraId="3A7F8F9C" w14:textId="77777777" w:rsidTr="0012222A">
        <w:trPr>
          <w:trHeight w:val="283"/>
        </w:trPr>
        <w:tc>
          <w:tcPr>
            <w:tcW w:w="1784" w:type="dxa"/>
            <w:vMerge w:val="restart"/>
            <w:shd w:val="clear" w:color="auto" w:fill="auto"/>
          </w:tcPr>
          <w:p w14:paraId="07B16847" w14:textId="576F090A" w:rsidR="00457EA6" w:rsidRPr="00716B2E" w:rsidRDefault="00457EA6" w:rsidP="0012222A">
            <w:pPr>
              <w:pStyle w:val="VCAAbull"/>
              <w:numPr>
                <w:ilvl w:val="0"/>
                <w:numId w:val="0"/>
              </w:numPr>
              <w:ind w:left="313"/>
            </w:pPr>
          </w:p>
        </w:tc>
        <w:tc>
          <w:tcPr>
            <w:tcW w:w="2148" w:type="dxa"/>
            <w:shd w:val="clear" w:color="auto" w:fill="D9D9D9" w:themeFill="background1" w:themeFillShade="D9"/>
          </w:tcPr>
          <w:p w14:paraId="5BEB2803" w14:textId="53D4042F" w:rsidR="00457EA6" w:rsidRPr="004A791C" w:rsidRDefault="00457EA6" w:rsidP="0012222A">
            <w:pPr>
              <w:pStyle w:val="VCAAbull"/>
            </w:pPr>
            <w:r w:rsidRPr="00716B2E">
              <w:t>substantiate the analysis and interpretation of artworks with evidence from the artworks and other sources</w:t>
            </w:r>
          </w:p>
        </w:tc>
        <w:tc>
          <w:tcPr>
            <w:tcW w:w="2019" w:type="dxa"/>
            <w:shd w:val="clear" w:color="auto" w:fill="auto"/>
          </w:tcPr>
          <w:p w14:paraId="25C6E991" w14:textId="30731EFB" w:rsidR="00457EA6" w:rsidRPr="00632E5D" w:rsidRDefault="00457EA6" w:rsidP="008507CF">
            <w:pPr>
              <w:pStyle w:val="VCAAtablecondensed"/>
              <w:spacing w:line="240" w:lineRule="auto"/>
              <w:rPr>
                <w:rFonts w:eastAsia="Calibri"/>
                <w:szCs w:val="20"/>
              </w:rPr>
            </w:pPr>
            <w:r w:rsidRPr="00632E5D">
              <w:rPr>
                <w:rFonts w:eastAsia="Calibri"/>
                <w:szCs w:val="20"/>
              </w:rPr>
              <w:t>Evidenc</w:t>
            </w:r>
            <w:r>
              <w:rPr>
                <w:rFonts w:eastAsia="Calibri"/>
                <w:szCs w:val="20"/>
              </w:rPr>
              <w:t>e from artworks is identified.</w:t>
            </w:r>
          </w:p>
        </w:tc>
        <w:tc>
          <w:tcPr>
            <w:tcW w:w="2019" w:type="dxa"/>
          </w:tcPr>
          <w:p w14:paraId="5AFB267B" w14:textId="4B18EA6A" w:rsidR="00457EA6" w:rsidRPr="00632E5D" w:rsidRDefault="00457EA6" w:rsidP="00FA50A6">
            <w:pPr>
              <w:pStyle w:val="VCAAtablecondensed"/>
              <w:spacing w:line="240" w:lineRule="auto"/>
              <w:rPr>
                <w:rFonts w:eastAsia="Calibri"/>
                <w:szCs w:val="20"/>
              </w:rPr>
            </w:pPr>
            <w:r>
              <w:rPr>
                <w:rFonts w:eastAsia="Calibri"/>
                <w:szCs w:val="20"/>
              </w:rPr>
              <w:t>E</w:t>
            </w:r>
            <w:r w:rsidRPr="00632E5D">
              <w:rPr>
                <w:rFonts w:eastAsia="Calibri"/>
                <w:szCs w:val="20"/>
              </w:rPr>
              <w:t>vidence</w:t>
            </w:r>
            <w:r>
              <w:rPr>
                <w:rFonts w:eastAsia="Calibri"/>
                <w:szCs w:val="20"/>
              </w:rPr>
              <w:t xml:space="preserve"> from artworks is used in the discussion and comparison.</w:t>
            </w:r>
          </w:p>
        </w:tc>
        <w:tc>
          <w:tcPr>
            <w:tcW w:w="2019" w:type="dxa"/>
          </w:tcPr>
          <w:p w14:paraId="70002F79" w14:textId="15E5B5F5" w:rsidR="00457EA6" w:rsidRPr="00632E5D" w:rsidRDefault="00457EA6" w:rsidP="00FA50A6">
            <w:pPr>
              <w:pStyle w:val="VCAAtablecondensed"/>
              <w:spacing w:line="240" w:lineRule="auto"/>
              <w:rPr>
                <w:rFonts w:eastAsia="Calibri"/>
                <w:szCs w:val="20"/>
              </w:rPr>
            </w:pPr>
            <w:r>
              <w:rPr>
                <w:rFonts w:eastAsia="Calibri"/>
                <w:szCs w:val="20"/>
              </w:rPr>
              <w:t xml:space="preserve">Evidence from artworks and other sources </w:t>
            </w:r>
            <w:r w:rsidRPr="00632E5D">
              <w:rPr>
                <w:rFonts w:eastAsia="Calibri"/>
                <w:szCs w:val="20"/>
              </w:rPr>
              <w:t>supports the analysis</w:t>
            </w:r>
            <w:r>
              <w:rPr>
                <w:rFonts w:eastAsia="Calibri"/>
                <w:szCs w:val="20"/>
              </w:rPr>
              <w:t xml:space="preserve"> and comparison.</w:t>
            </w:r>
          </w:p>
        </w:tc>
        <w:tc>
          <w:tcPr>
            <w:tcW w:w="2019" w:type="dxa"/>
          </w:tcPr>
          <w:p w14:paraId="522A1949" w14:textId="28823C7D" w:rsidR="00457EA6" w:rsidRPr="00632E5D" w:rsidRDefault="00457EA6" w:rsidP="00FA50A6">
            <w:pPr>
              <w:pStyle w:val="VCAAtablecondensed"/>
              <w:spacing w:line="240" w:lineRule="auto"/>
              <w:rPr>
                <w:rFonts w:eastAsia="Calibri"/>
                <w:szCs w:val="20"/>
              </w:rPr>
            </w:pPr>
            <w:r>
              <w:rPr>
                <w:rFonts w:eastAsia="Calibri"/>
                <w:szCs w:val="20"/>
              </w:rPr>
              <w:t xml:space="preserve">Evidence </w:t>
            </w:r>
            <w:r w:rsidRPr="00632E5D">
              <w:rPr>
                <w:rFonts w:eastAsia="Calibri"/>
                <w:szCs w:val="20"/>
              </w:rPr>
              <w:t xml:space="preserve">from </w:t>
            </w:r>
            <w:r>
              <w:rPr>
                <w:rFonts w:eastAsia="Calibri"/>
                <w:szCs w:val="20"/>
              </w:rPr>
              <w:t xml:space="preserve">artworks and </w:t>
            </w:r>
            <w:r w:rsidRPr="00632E5D">
              <w:rPr>
                <w:rFonts w:eastAsia="Calibri"/>
                <w:szCs w:val="20"/>
              </w:rPr>
              <w:t xml:space="preserve">a range of sources supports the interpretation, and comparison </w:t>
            </w:r>
          </w:p>
        </w:tc>
        <w:tc>
          <w:tcPr>
            <w:tcW w:w="2020" w:type="dxa"/>
          </w:tcPr>
          <w:p w14:paraId="3418E7C0" w14:textId="5CC8EC43" w:rsidR="00457EA6" w:rsidRPr="00632E5D" w:rsidRDefault="00457EA6" w:rsidP="008507CF">
            <w:pPr>
              <w:pStyle w:val="VCAAtablecondensed"/>
              <w:spacing w:line="240" w:lineRule="auto"/>
              <w:rPr>
                <w:rFonts w:eastAsia="Calibri"/>
                <w:szCs w:val="20"/>
              </w:rPr>
            </w:pPr>
            <w:r>
              <w:rPr>
                <w:rFonts w:eastAsia="Calibri"/>
                <w:szCs w:val="20"/>
              </w:rPr>
              <w:t xml:space="preserve">Evidence from artworks and a range of sources is integrated into the interpretation and comparison </w:t>
            </w:r>
          </w:p>
        </w:tc>
      </w:tr>
      <w:tr w:rsidR="00457EA6" w:rsidRPr="009B433C" w14:paraId="29810422" w14:textId="77777777" w:rsidTr="0012222A">
        <w:trPr>
          <w:trHeight w:val="1191"/>
        </w:trPr>
        <w:tc>
          <w:tcPr>
            <w:tcW w:w="1784" w:type="dxa"/>
            <w:vMerge/>
            <w:shd w:val="clear" w:color="auto" w:fill="auto"/>
          </w:tcPr>
          <w:p w14:paraId="05B0EA31" w14:textId="77777777" w:rsidR="00457EA6" w:rsidRPr="00716B2E" w:rsidRDefault="00457EA6" w:rsidP="0012222A">
            <w:pPr>
              <w:pStyle w:val="VCAAbull"/>
            </w:pPr>
          </w:p>
        </w:tc>
        <w:tc>
          <w:tcPr>
            <w:tcW w:w="2148" w:type="dxa"/>
            <w:shd w:val="clear" w:color="auto" w:fill="D9D9D9" w:themeFill="background1" w:themeFillShade="D9"/>
          </w:tcPr>
          <w:p w14:paraId="1614940B" w14:textId="3BFA202B" w:rsidR="00457EA6" w:rsidRPr="0062012B" w:rsidRDefault="00457EA6" w:rsidP="0012222A">
            <w:pPr>
              <w:pStyle w:val="VCAAbull"/>
            </w:pPr>
            <w:r w:rsidRPr="00716B2E">
              <w:t>use appropriate terminology and comparative language in the analysis, interpretation and comparison of the practices of artists and their artworks</w:t>
            </w:r>
          </w:p>
        </w:tc>
        <w:tc>
          <w:tcPr>
            <w:tcW w:w="2019" w:type="dxa"/>
            <w:shd w:val="clear" w:color="auto" w:fill="auto"/>
          </w:tcPr>
          <w:p w14:paraId="58096D80" w14:textId="3123FC92" w:rsidR="00457EA6" w:rsidRPr="00CD2895" w:rsidRDefault="00457EA6" w:rsidP="008507CF">
            <w:pPr>
              <w:pStyle w:val="VCAAtablecondensed"/>
              <w:spacing w:line="240" w:lineRule="auto"/>
            </w:pPr>
            <w:r>
              <w:t>Art terminology is used.</w:t>
            </w:r>
          </w:p>
        </w:tc>
        <w:tc>
          <w:tcPr>
            <w:tcW w:w="2019" w:type="dxa"/>
          </w:tcPr>
          <w:p w14:paraId="7CBAA77B" w14:textId="5B1DCFF2" w:rsidR="00457EA6" w:rsidRPr="00CD2895" w:rsidRDefault="00457EA6" w:rsidP="008507CF">
            <w:pPr>
              <w:pStyle w:val="VCAAtablecondensed"/>
              <w:spacing w:line="240" w:lineRule="auto"/>
            </w:pPr>
            <w:r w:rsidRPr="0062012B">
              <w:t xml:space="preserve">Art terminology is used </w:t>
            </w:r>
            <w:r>
              <w:t xml:space="preserve">to compare of the practices of artists and their artworks. </w:t>
            </w:r>
          </w:p>
        </w:tc>
        <w:tc>
          <w:tcPr>
            <w:tcW w:w="2019" w:type="dxa"/>
          </w:tcPr>
          <w:p w14:paraId="1FB80DAD" w14:textId="12AE70D8" w:rsidR="00457EA6" w:rsidRPr="00CD2895" w:rsidRDefault="00457EA6" w:rsidP="008507CF">
            <w:pPr>
              <w:pStyle w:val="VCAAtablecondensed"/>
              <w:spacing w:line="240" w:lineRule="auto"/>
            </w:pPr>
            <w:r w:rsidRPr="0062012B">
              <w:t>Art terminology supports the analysis</w:t>
            </w:r>
            <w:r>
              <w:t xml:space="preserve"> and comparison of the practices of artists and their artworks. </w:t>
            </w:r>
          </w:p>
        </w:tc>
        <w:tc>
          <w:tcPr>
            <w:tcW w:w="2019" w:type="dxa"/>
          </w:tcPr>
          <w:p w14:paraId="72F16037" w14:textId="1BF169D9" w:rsidR="00457EA6" w:rsidRPr="00CD2895" w:rsidRDefault="00457EA6" w:rsidP="008507CF">
            <w:pPr>
              <w:pStyle w:val="VCAAtablecondensed"/>
              <w:spacing w:line="240" w:lineRule="auto"/>
            </w:pPr>
            <w:r>
              <w:t xml:space="preserve">Selects art </w:t>
            </w:r>
            <w:r w:rsidRPr="0062012B">
              <w:t xml:space="preserve">terminology </w:t>
            </w:r>
            <w:r>
              <w:t xml:space="preserve">to interpret and compare the practices of artists and their artworks. </w:t>
            </w:r>
          </w:p>
        </w:tc>
        <w:tc>
          <w:tcPr>
            <w:tcW w:w="2020" w:type="dxa"/>
          </w:tcPr>
          <w:p w14:paraId="31050AED" w14:textId="2516A6DD" w:rsidR="00457EA6" w:rsidRPr="00CD2895" w:rsidRDefault="00457EA6" w:rsidP="008507CF">
            <w:pPr>
              <w:pStyle w:val="VCAAtablecondensed"/>
              <w:spacing w:line="240" w:lineRule="auto"/>
            </w:pPr>
            <w:r>
              <w:t xml:space="preserve">Applies specific </w:t>
            </w:r>
            <w:r w:rsidRPr="0062012B">
              <w:t xml:space="preserve">art terminology </w:t>
            </w:r>
            <w:r>
              <w:t xml:space="preserve">in the interpretation and comparison of the practices of artists and their artworks. </w:t>
            </w:r>
          </w:p>
        </w:tc>
      </w:tr>
      <w:tr w:rsidR="00457EA6" w:rsidRPr="009B433C" w14:paraId="713555AD" w14:textId="77777777" w:rsidTr="0012222A">
        <w:trPr>
          <w:trHeight w:val="1191"/>
        </w:trPr>
        <w:tc>
          <w:tcPr>
            <w:tcW w:w="1784" w:type="dxa"/>
            <w:vMerge/>
            <w:shd w:val="clear" w:color="auto" w:fill="auto"/>
          </w:tcPr>
          <w:p w14:paraId="42212FF4" w14:textId="77777777" w:rsidR="00457EA6" w:rsidRPr="00716B2E" w:rsidRDefault="00457EA6" w:rsidP="0012222A">
            <w:pPr>
              <w:pStyle w:val="VCAAbull"/>
            </w:pPr>
          </w:p>
        </w:tc>
        <w:tc>
          <w:tcPr>
            <w:tcW w:w="2148" w:type="dxa"/>
            <w:shd w:val="clear" w:color="auto" w:fill="D9D9D9" w:themeFill="background1" w:themeFillShade="D9"/>
          </w:tcPr>
          <w:p w14:paraId="0E398B45" w14:textId="1261652A" w:rsidR="00457EA6" w:rsidRPr="00716B2E" w:rsidRDefault="00457EA6" w:rsidP="0012222A">
            <w:pPr>
              <w:pStyle w:val="VCAAbull"/>
            </w:pPr>
            <w:r w:rsidRPr="00716B2E">
              <w:t>use a range of resources to compare the practices of historical and contemporary artists, and to analyse and interpret their artworks</w:t>
            </w:r>
          </w:p>
        </w:tc>
        <w:tc>
          <w:tcPr>
            <w:tcW w:w="2019" w:type="dxa"/>
            <w:shd w:val="clear" w:color="auto" w:fill="auto"/>
          </w:tcPr>
          <w:p w14:paraId="50A0918F" w14:textId="03FC2286" w:rsidR="00457EA6" w:rsidRDefault="00457EA6" w:rsidP="008507CF">
            <w:pPr>
              <w:pStyle w:val="VCAAtablecondensed"/>
              <w:spacing w:line="240" w:lineRule="auto"/>
            </w:pPr>
            <w:r>
              <w:t>Evidence from resources is identified.</w:t>
            </w:r>
          </w:p>
        </w:tc>
        <w:tc>
          <w:tcPr>
            <w:tcW w:w="2019" w:type="dxa"/>
          </w:tcPr>
          <w:p w14:paraId="3AFCFD55" w14:textId="578ED980" w:rsidR="00457EA6" w:rsidRPr="0062012B" w:rsidRDefault="00457EA6" w:rsidP="008507CF">
            <w:pPr>
              <w:pStyle w:val="VCAAtablecondensed"/>
              <w:spacing w:line="240" w:lineRule="auto"/>
            </w:pPr>
            <w:r>
              <w:t xml:space="preserve">Evidence from resources is used in the discussion and comparison. </w:t>
            </w:r>
          </w:p>
        </w:tc>
        <w:tc>
          <w:tcPr>
            <w:tcW w:w="2019" w:type="dxa"/>
          </w:tcPr>
          <w:p w14:paraId="168F6C50" w14:textId="25212036" w:rsidR="00457EA6" w:rsidRPr="0062012B" w:rsidRDefault="00A42922" w:rsidP="008507CF">
            <w:pPr>
              <w:pStyle w:val="VCAAtablecondensed"/>
              <w:spacing w:line="240" w:lineRule="auto"/>
            </w:pPr>
            <w:r>
              <w:t>Evidence from resources supports the analysis and comparison</w:t>
            </w:r>
          </w:p>
        </w:tc>
        <w:tc>
          <w:tcPr>
            <w:tcW w:w="2019" w:type="dxa"/>
          </w:tcPr>
          <w:p w14:paraId="173B0904" w14:textId="685A2FE7" w:rsidR="00457EA6" w:rsidRDefault="00A42922" w:rsidP="008507CF">
            <w:pPr>
              <w:pStyle w:val="VCAAtablecondensed"/>
              <w:spacing w:line="240" w:lineRule="auto"/>
            </w:pPr>
            <w:r>
              <w:t>Evidence from a range of resources supports the interpretation and comparison</w:t>
            </w:r>
          </w:p>
        </w:tc>
        <w:tc>
          <w:tcPr>
            <w:tcW w:w="2020" w:type="dxa"/>
          </w:tcPr>
          <w:p w14:paraId="4ED58AA9" w14:textId="003407B1" w:rsidR="00457EA6" w:rsidRDefault="00A42922" w:rsidP="008507CF">
            <w:pPr>
              <w:pStyle w:val="VCAAtablecondensed"/>
              <w:spacing w:line="240" w:lineRule="auto"/>
            </w:pPr>
            <w:r>
              <w:t>Evidence from a range of resources is integrated into the comparison and interpretation.</w:t>
            </w:r>
          </w:p>
        </w:tc>
      </w:tr>
    </w:tbl>
    <w:p w14:paraId="379D95CB" w14:textId="2126CD60" w:rsidR="00EA3405" w:rsidRDefault="00D140D3" w:rsidP="00FA50A6">
      <w:pPr>
        <w:pStyle w:val="VCAAHeading4"/>
      </w:pPr>
      <w:r>
        <w:t xml:space="preserve">Total </w:t>
      </w:r>
      <w:r w:rsidR="00FA50A6">
        <w:t>a</w:t>
      </w:r>
      <w:r>
        <w:t xml:space="preserve">ssessment </w:t>
      </w:r>
      <w:r w:rsidR="00FA50A6">
        <w:t>t</w:t>
      </w:r>
      <w:r>
        <w:t>ask m</w:t>
      </w:r>
      <w:r w:rsidR="00EA3405">
        <w:t xml:space="preserve">arking </w:t>
      </w:r>
      <w:r>
        <w:t>s</w:t>
      </w:r>
      <w:r w:rsidR="00EA3405">
        <w:t>cale</w:t>
      </w:r>
    </w:p>
    <w:tbl>
      <w:tblPr>
        <w:tblStyle w:val="TableGrid"/>
        <w:tblW w:w="14170" w:type="dxa"/>
        <w:tblLook w:val="04A0" w:firstRow="1" w:lastRow="0" w:firstColumn="1" w:lastColumn="0" w:noHBand="0" w:noVBand="1"/>
      </w:tblPr>
      <w:tblGrid>
        <w:gridCol w:w="2689"/>
        <w:gridCol w:w="2296"/>
        <w:gridCol w:w="2296"/>
        <w:gridCol w:w="2296"/>
        <w:gridCol w:w="2296"/>
        <w:gridCol w:w="2297"/>
      </w:tblGrid>
      <w:tr w:rsidR="00EA3405" w:rsidRPr="009B433C" w14:paraId="01FBF2F0" w14:textId="77777777" w:rsidTr="00FA50A6">
        <w:trPr>
          <w:trHeight w:val="492"/>
        </w:trPr>
        <w:tc>
          <w:tcPr>
            <w:tcW w:w="2689" w:type="dxa"/>
            <w:shd w:val="clear" w:color="auto" w:fill="auto"/>
          </w:tcPr>
          <w:p w14:paraId="66CB4D42" w14:textId="778C62A1" w:rsidR="00EA3405" w:rsidRPr="00E00CCC" w:rsidRDefault="00EA3405" w:rsidP="00E00CCC">
            <w:pPr>
              <w:pStyle w:val="VCAAtablecondensed"/>
              <w:rPr>
                <w:b/>
                <w:bCs/>
              </w:rPr>
            </w:pPr>
            <w:r w:rsidRPr="00E00CCC">
              <w:rPr>
                <w:b/>
                <w:bCs/>
              </w:rPr>
              <w:t xml:space="preserve">Total </w:t>
            </w:r>
            <w:r w:rsidR="00FA50A6">
              <w:rPr>
                <w:b/>
                <w:bCs/>
              </w:rPr>
              <w:t>m</w:t>
            </w:r>
            <w:r w:rsidRPr="00E00CCC">
              <w:rPr>
                <w:b/>
                <w:bCs/>
              </w:rPr>
              <w:t>arks</w:t>
            </w:r>
          </w:p>
        </w:tc>
        <w:tc>
          <w:tcPr>
            <w:tcW w:w="2296" w:type="dxa"/>
            <w:shd w:val="clear" w:color="auto" w:fill="auto"/>
          </w:tcPr>
          <w:p w14:paraId="205FC415" w14:textId="1813FFC7" w:rsidR="00EA3405" w:rsidRPr="00E00CCC" w:rsidRDefault="00E00CCC" w:rsidP="00FA50A6">
            <w:pPr>
              <w:pStyle w:val="VCAAtablecondensed"/>
              <w:jc w:val="center"/>
              <w:rPr>
                <w:b/>
                <w:bCs/>
              </w:rPr>
            </w:pPr>
            <w:r w:rsidRPr="00E00CCC">
              <w:rPr>
                <w:b/>
                <w:bCs/>
              </w:rPr>
              <w:t xml:space="preserve">Very </w:t>
            </w:r>
            <w:r w:rsidR="00FA50A6">
              <w:rPr>
                <w:b/>
                <w:bCs/>
              </w:rPr>
              <w:t>l</w:t>
            </w:r>
            <w:r w:rsidRPr="00E00CCC">
              <w:rPr>
                <w:b/>
                <w:bCs/>
              </w:rPr>
              <w:t>ow</w:t>
            </w:r>
          </w:p>
        </w:tc>
        <w:tc>
          <w:tcPr>
            <w:tcW w:w="2296" w:type="dxa"/>
          </w:tcPr>
          <w:p w14:paraId="14F20AB6" w14:textId="0A492A7A" w:rsidR="00EA3405" w:rsidRPr="00E00CCC" w:rsidRDefault="00E00CCC" w:rsidP="00FA50A6">
            <w:pPr>
              <w:pStyle w:val="VCAAtablecondensed"/>
              <w:jc w:val="center"/>
              <w:rPr>
                <w:b/>
                <w:bCs/>
              </w:rPr>
            </w:pPr>
            <w:r w:rsidRPr="00E00CCC">
              <w:rPr>
                <w:b/>
                <w:bCs/>
              </w:rPr>
              <w:t>Low</w:t>
            </w:r>
          </w:p>
        </w:tc>
        <w:tc>
          <w:tcPr>
            <w:tcW w:w="2296" w:type="dxa"/>
          </w:tcPr>
          <w:p w14:paraId="24919A9F" w14:textId="6BACA458" w:rsidR="00EA3405" w:rsidRPr="00E00CCC" w:rsidRDefault="00E00CCC" w:rsidP="00FA50A6">
            <w:pPr>
              <w:pStyle w:val="VCAAtablecondensed"/>
              <w:jc w:val="center"/>
              <w:rPr>
                <w:b/>
                <w:bCs/>
              </w:rPr>
            </w:pPr>
            <w:r w:rsidRPr="00E00CCC">
              <w:rPr>
                <w:b/>
                <w:bCs/>
              </w:rPr>
              <w:t>Medium</w:t>
            </w:r>
          </w:p>
        </w:tc>
        <w:tc>
          <w:tcPr>
            <w:tcW w:w="2296" w:type="dxa"/>
          </w:tcPr>
          <w:p w14:paraId="00E58993" w14:textId="47AAD446" w:rsidR="00EA3405" w:rsidRPr="00E00CCC" w:rsidRDefault="00E00CCC" w:rsidP="00FA50A6">
            <w:pPr>
              <w:pStyle w:val="VCAAtablecondensed"/>
              <w:jc w:val="center"/>
              <w:rPr>
                <w:b/>
                <w:bCs/>
              </w:rPr>
            </w:pPr>
            <w:r w:rsidRPr="00E00CCC">
              <w:rPr>
                <w:b/>
                <w:bCs/>
              </w:rPr>
              <w:t>High</w:t>
            </w:r>
          </w:p>
        </w:tc>
        <w:tc>
          <w:tcPr>
            <w:tcW w:w="2297" w:type="dxa"/>
          </w:tcPr>
          <w:p w14:paraId="00DB8EA5" w14:textId="368FF0E2" w:rsidR="00EA3405" w:rsidRPr="00E00CCC" w:rsidRDefault="00E00CCC" w:rsidP="00FA50A6">
            <w:pPr>
              <w:pStyle w:val="VCAAtablecondensed"/>
              <w:jc w:val="center"/>
              <w:rPr>
                <w:b/>
                <w:bCs/>
              </w:rPr>
            </w:pPr>
            <w:r w:rsidRPr="00E00CCC">
              <w:rPr>
                <w:b/>
                <w:bCs/>
              </w:rPr>
              <w:t xml:space="preserve">Very </w:t>
            </w:r>
            <w:r w:rsidR="00FA50A6">
              <w:rPr>
                <w:b/>
                <w:bCs/>
              </w:rPr>
              <w:t>h</w:t>
            </w:r>
            <w:r w:rsidRPr="00E00CCC">
              <w:rPr>
                <w:b/>
                <w:bCs/>
              </w:rPr>
              <w:t>igh</w:t>
            </w:r>
          </w:p>
        </w:tc>
      </w:tr>
      <w:tr w:rsidR="00D140D3" w:rsidRPr="009B433C" w14:paraId="358FC454" w14:textId="77777777" w:rsidTr="00FA50A6">
        <w:trPr>
          <w:trHeight w:val="414"/>
        </w:trPr>
        <w:tc>
          <w:tcPr>
            <w:tcW w:w="2689" w:type="dxa"/>
            <w:shd w:val="clear" w:color="auto" w:fill="auto"/>
          </w:tcPr>
          <w:p w14:paraId="59B13088" w14:textId="19E50E37" w:rsidR="00D140D3" w:rsidRPr="00E00CCC" w:rsidRDefault="00D140D3" w:rsidP="00D140D3">
            <w:pPr>
              <w:pStyle w:val="VCAAtablecondensedbullet"/>
              <w:numPr>
                <w:ilvl w:val="0"/>
                <w:numId w:val="0"/>
              </w:numPr>
            </w:pPr>
            <w:r>
              <w:t>30 marks</w:t>
            </w:r>
          </w:p>
        </w:tc>
        <w:tc>
          <w:tcPr>
            <w:tcW w:w="2296" w:type="dxa"/>
            <w:shd w:val="clear" w:color="auto" w:fill="auto"/>
          </w:tcPr>
          <w:p w14:paraId="7D9FC28B" w14:textId="0198BC99" w:rsidR="00D140D3" w:rsidRPr="00E00CCC" w:rsidRDefault="00D140D3" w:rsidP="00FA50A6">
            <w:pPr>
              <w:pStyle w:val="VCAAtablecondensedbullet"/>
              <w:numPr>
                <w:ilvl w:val="0"/>
                <w:numId w:val="0"/>
              </w:numPr>
              <w:jc w:val="center"/>
            </w:pPr>
            <w:r w:rsidRPr="0062012B">
              <w:rPr>
                <w:sz w:val="18"/>
                <w:szCs w:val="18"/>
              </w:rPr>
              <w:t>1–6</w:t>
            </w:r>
          </w:p>
        </w:tc>
        <w:tc>
          <w:tcPr>
            <w:tcW w:w="2296" w:type="dxa"/>
          </w:tcPr>
          <w:p w14:paraId="74F75956" w14:textId="68B1B8A0" w:rsidR="00D140D3" w:rsidRPr="00E00CCC" w:rsidRDefault="00D140D3" w:rsidP="00FA50A6">
            <w:pPr>
              <w:pStyle w:val="VCAAtablecondensedbullet"/>
              <w:numPr>
                <w:ilvl w:val="0"/>
                <w:numId w:val="0"/>
              </w:numPr>
              <w:jc w:val="center"/>
            </w:pPr>
            <w:r w:rsidRPr="0062012B">
              <w:rPr>
                <w:sz w:val="18"/>
                <w:szCs w:val="18"/>
              </w:rPr>
              <w:t>7–12</w:t>
            </w:r>
          </w:p>
        </w:tc>
        <w:tc>
          <w:tcPr>
            <w:tcW w:w="2296" w:type="dxa"/>
          </w:tcPr>
          <w:p w14:paraId="502B2869" w14:textId="3A1A6EC6" w:rsidR="00D140D3" w:rsidRPr="00E00CCC" w:rsidRDefault="00D140D3" w:rsidP="00FA50A6">
            <w:pPr>
              <w:pStyle w:val="VCAAtablecondensedbullet"/>
              <w:numPr>
                <w:ilvl w:val="0"/>
                <w:numId w:val="0"/>
              </w:numPr>
              <w:jc w:val="center"/>
            </w:pPr>
            <w:r w:rsidRPr="0062012B">
              <w:rPr>
                <w:sz w:val="18"/>
                <w:szCs w:val="18"/>
              </w:rPr>
              <w:t>13–18</w:t>
            </w:r>
          </w:p>
        </w:tc>
        <w:tc>
          <w:tcPr>
            <w:tcW w:w="2296" w:type="dxa"/>
          </w:tcPr>
          <w:p w14:paraId="22BA1AD7" w14:textId="3BF7FEFC" w:rsidR="00D140D3" w:rsidRPr="00E00CCC" w:rsidRDefault="00D140D3" w:rsidP="00FA50A6">
            <w:pPr>
              <w:pStyle w:val="VCAAtablecondensedbullet"/>
              <w:numPr>
                <w:ilvl w:val="0"/>
                <w:numId w:val="0"/>
              </w:numPr>
              <w:jc w:val="center"/>
            </w:pPr>
            <w:r w:rsidRPr="0062012B">
              <w:rPr>
                <w:sz w:val="18"/>
                <w:szCs w:val="18"/>
              </w:rPr>
              <w:t>19–24</w:t>
            </w:r>
          </w:p>
        </w:tc>
        <w:tc>
          <w:tcPr>
            <w:tcW w:w="2297" w:type="dxa"/>
          </w:tcPr>
          <w:p w14:paraId="58A463A6" w14:textId="764AE2F5" w:rsidR="00D140D3" w:rsidRPr="00EA3405" w:rsidRDefault="00D140D3" w:rsidP="00FA50A6">
            <w:pPr>
              <w:pStyle w:val="VCAAtablecondensedbullet"/>
              <w:numPr>
                <w:ilvl w:val="0"/>
                <w:numId w:val="0"/>
              </w:numPr>
              <w:jc w:val="center"/>
            </w:pPr>
            <w:r w:rsidRPr="0062012B">
              <w:rPr>
                <w:sz w:val="18"/>
                <w:szCs w:val="18"/>
              </w:rPr>
              <w:t>25–30</w:t>
            </w:r>
          </w:p>
        </w:tc>
      </w:tr>
    </w:tbl>
    <w:p w14:paraId="049A2DF3" w14:textId="77777777" w:rsidR="00EA3405" w:rsidRPr="0010760F" w:rsidRDefault="00EA3405" w:rsidP="00E00CCC"/>
    <w:sectPr w:rsidR="00EA3405" w:rsidRPr="0010760F" w:rsidSect="00CD2895">
      <w:headerReference w:type="default" r:id="rId11"/>
      <w:footerReference w:type="default" r:id="rId12"/>
      <w:headerReference w:type="first" r:id="rId13"/>
      <w:footerReference w:type="first" r:id="rId14"/>
      <w:type w:val="continuous"/>
      <w:pgSz w:w="16840" w:h="11907" w:orient="landscape" w:code="9"/>
      <w:pgMar w:top="1442" w:right="1389"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678"/>
      <w:gridCol w:w="4679"/>
      <w:gridCol w:w="4676"/>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854"/>
      <w:gridCol w:w="4678"/>
      <w:gridCol w:w="4676"/>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4DD64CF" w:rsidR="00FD29D3" w:rsidRPr="00D86DE4" w:rsidRDefault="00E00CCC" w:rsidP="00D86DE4">
    <w:pPr>
      <w:pStyle w:val="VCAAcaptionsandfootnotes"/>
      <w:rPr>
        <w:color w:val="999999" w:themeColor="accent2"/>
      </w:rPr>
    </w:pPr>
    <w:r>
      <w:rPr>
        <w:color w:val="999999" w:themeColor="accent2"/>
      </w:rPr>
      <w:t xml:space="preserve">VCE Art Making and Exhibiting Unit 3 Outcome 3 Performance Descriptors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D819E5"/>
    <w:multiLevelType w:val="hybridMultilevel"/>
    <w:tmpl w:val="2EF01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AE4F42"/>
    <w:multiLevelType w:val="hybridMultilevel"/>
    <w:tmpl w:val="399A3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0E775BE"/>
    <w:multiLevelType w:val="hybridMultilevel"/>
    <w:tmpl w:val="7CA67770"/>
    <w:lvl w:ilvl="0" w:tplc="A77E259A">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55AA2E33"/>
    <w:multiLevelType w:val="hybridMultilevel"/>
    <w:tmpl w:val="3B6A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5E638C8"/>
    <w:multiLevelType w:val="hybridMultilevel"/>
    <w:tmpl w:val="1DBC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8"/>
  </w:num>
  <w:num w:numId="6">
    <w:abstractNumId w:val="0"/>
  </w:num>
  <w:num w:numId="7">
    <w:abstractNumId w:val="10"/>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C01"/>
    <w:rsid w:val="0005780E"/>
    <w:rsid w:val="00060A23"/>
    <w:rsid w:val="00065CC6"/>
    <w:rsid w:val="000A71F7"/>
    <w:rsid w:val="000F09E4"/>
    <w:rsid w:val="000F16FD"/>
    <w:rsid w:val="000F5AAF"/>
    <w:rsid w:val="0010760F"/>
    <w:rsid w:val="0012222A"/>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4AEA"/>
    <w:rsid w:val="00302FB8"/>
    <w:rsid w:val="00304EA1"/>
    <w:rsid w:val="00313265"/>
    <w:rsid w:val="00313C4C"/>
    <w:rsid w:val="00314D81"/>
    <w:rsid w:val="00322FC6"/>
    <w:rsid w:val="00347729"/>
    <w:rsid w:val="0035293F"/>
    <w:rsid w:val="0036397C"/>
    <w:rsid w:val="0037265C"/>
    <w:rsid w:val="00391986"/>
    <w:rsid w:val="003A00B4"/>
    <w:rsid w:val="003C5E71"/>
    <w:rsid w:val="00417AA3"/>
    <w:rsid w:val="00425DFE"/>
    <w:rsid w:val="00434EDB"/>
    <w:rsid w:val="00440B32"/>
    <w:rsid w:val="00457EA6"/>
    <w:rsid w:val="0046078D"/>
    <w:rsid w:val="00495C80"/>
    <w:rsid w:val="004A2ED8"/>
    <w:rsid w:val="004A791C"/>
    <w:rsid w:val="004D7A91"/>
    <w:rsid w:val="004E120B"/>
    <w:rsid w:val="004F5BDA"/>
    <w:rsid w:val="0051631E"/>
    <w:rsid w:val="005176A5"/>
    <w:rsid w:val="005234B5"/>
    <w:rsid w:val="00537A1F"/>
    <w:rsid w:val="00566029"/>
    <w:rsid w:val="005923CB"/>
    <w:rsid w:val="005B391B"/>
    <w:rsid w:val="005C0756"/>
    <w:rsid w:val="005D3D78"/>
    <w:rsid w:val="005E2EF0"/>
    <w:rsid w:val="005F4092"/>
    <w:rsid w:val="00632E5D"/>
    <w:rsid w:val="0068471E"/>
    <w:rsid w:val="00684F98"/>
    <w:rsid w:val="00693FFD"/>
    <w:rsid w:val="006D2159"/>
    <w:rsid w:val="006F6FFF"/>
    <w:rsid w:val="006F787C"/>
    <w:rsid w:val="00702636"/>
    <w:rsid w:val="00724507"/>
    <w:rsid w:val="00773E6C"/>
    <w:rsid w:val="00781FB1"/>
    <w:rsid w:val="007A3FBC"/>
    <w:rsid w:val="007D1B6D"/>
    <w:rsid w:val="00813C37"/>
    <w:rsid w:val="008154B5"/>
    <w:rsid w:val="00823962"/>
    <w:rsid w:val="008507CF"/>
    <w:rsid w:val="00852719"/>
    <w:rsid w:val="00860115"/>
    <w:rsid w:val="008858A0"/>
    <w:rsid w:val="0088783C"/>
    <w:rsid w:val="009370BC"/>
    <w:rsid w:val="00970580"/>
    <w:rsid w:val="0098739B"/>
    <w:rsid w:val="009B0DC3"/>
    <w:rsid w:val="009B61E5"/>
    <w:rsid w:val="009D1E89"/>
    <w:rsid w:val="009E5707"/>
    <w:rsid w:val="00A17661"/>
    <w:rsid w:val="00A24B2D"/>
    <w:rsid w:val="00A40966"/>
    <w:rsid w:val="00A42922"/>
    <w:rsid w:val="00A636BA"/>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60571"/>
    <w:rsid w:val="00C75F1D"/>
    <w:rsid w:val="00C95156"/>
    <w:rsid w:val="00CA0DC2"/>
    <w:rsid w:val="00CB68E8"/>
    <w:rsid w:val="00CD2895"/>
    <w:rsid w:val="00D04F01"/>
    <w:rsid w:val="00D06414"/>
    <w:rsid w:val="00D140D3"/>
    <w:rsid w:val="00D24E5A"/>
    <w:rsid w:val="00D338E4"/>
    <w:rsid w:val="00D51947"/>
    <w:rsid w:val="00D532F0"/>
    <w:rsid w:val="00D77413"/>
    <w:rsid w:val="00D82759"/>
    <w:rsid w:val="00D86DE4"/>
    <w:rsid w:val="00DE1909"/>
    <w:rsid w:val="00DE51DB"/>
    <w:rsid w:val="00E00CCC"/>
    <w:rsid w:val="00E23F1D"/>
    <w:rsid w:val="00E30E05"/>
    <w:rsid w:val="00E36361"/>
    <w:rsid w:val="00E538E6"/>
    <w:rsid w:val="00E55AE9"/>
    <w:rsid w:val="00E67C32"/>
    <w:rsid w:val="00EA3405"/>
    <w:rsid w:val="00EB0C84"/>
    <w:rsid w:val="00F0722B"/>
    <w:rsid w:val="00F17FDE"/>
    <w:rsid w:val="00F21AEF"/>
    <w:rsid w:val="00F40D53"/>
    <w:rsid w:val="00F4525C"/>
    <w:rsid w:val="00F50D86"/>
    <w:rsid w:val="00FA50A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VCAAbull">
    <w:name w:val="VCAA bull"/>
    <w:basedOn w:val="VCAAbullet"/>
    <w:autoRedefine/>
    <w:qFormat/>
    <w:rsid w:val="0012222A"/>
    <w:pPr>
      <w:numPr>
        <w:numId w:val="10"/>
      </w:numPr>
      <w:spacing w:after="120" w:line="240" w:lineRule="auto"/>
      <w:ind w:left="312" w:hanging="284"/>
      <w:contextualSpacing w:val="0"/>
    </w:pPr>
    <w:rPr>
      <w:rFonts w:ascii="Arial Narrow" w:hAnsi="Arial Narrow"/>
      <w:color w:val="auto"/>
      <w:szCs w:val="20"/>
      <w:lang w:val="en-AU"/>
    </w:rPr>
  </w:style>
  <w:style w:type="character" w:styleId="CommentReference">
    <w:name w:val="annotation reference"/>
    <w:basedOn w:val="DefaultParagraphFont"/>
    <w:uiPriority w:val="99"/>
    <w:semiHidden/>
    <w:unhideWhenUsed/>
    <w:rsid w:val="00457EA6"/>
    <w:rPr>
      <w:sz w:val="16"/>
      <w:szCs w:val="16"/>
    </w:rPr>
  </w:style>
  <w:style w:type="paragraph" w:styleId="CommentText">
    <w:name w:val="annotation text"/>
    <w:basedOn w:val="Normal"/>
    <w:link w:val="CommentTextChar"/>
    <w:uiPriority w:val="99"/>
    <w:semiHidden/>
    <w:unhideWhenUsed/>
    <w:rsid w:val="00457EA6"/>
    <w:pPr>
      <w:spacing w:line="240" w:lineRule="auto"/>
    </w:pPr>
    <w:rPr>
      <w:sz w:val="20"/>
      <w:szCs w:val="20"/>
    </w:rPr>
  </w:style>
  <w:style w:type="character" w:customStyle="1" w:styleId="CommentTextChar">
    <w:name w:val="Comment Text Char"/>
    <w:basedOn w:val="DefaultParagraphFont"/>
    <w:link w:val="CommentText"/>
    <w:uiPriority w:val="99"/>
    <w:semiHidden/>
    <w:rsid w:val="00457EA6"/>
    <w:rPr>
      <w:sz w:val="20"/>
      <w:szCs w:val="20"/>
    </w:rPr>
  </w:style>
  <w:style w:type="paragraph" w:styleId="CommentSubject">
    <w:name w:val="annotation subject"/>
    <w:basedOn w:val="CommentText"/>
    <w:next w:val="CommentText"/>
    <w:link w:val="CommentSubjectChar"/>
    <w:uiPriority w:val="99"/>
    <w:semiHidden/>
    <w:unhideWhenUsed/>
    <w:rsid w:val="00457EA6"/>
    <w:rPr>
      <w:b/>
      <w:bCs/>
    </w:rPr>
  </w:style>
  <w:style w:type="character" w:customStyle="1" w:styleId="CommentSubjectChar">
    <w:name w:val="Comment Subject Char"/>
    <w:basedOn w:val="CommentTextChar"/>
    <w:link w:val="CommentSubject"/>
    <w:uiPriority w:val="99"/>
    <w:semiHidden/>
    <w:rsid w:val="00457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37369CC-8EB7-4390-96F5-99BDD0198A62}"/>
</file>

<file path=customXml/itemProps4.xml><?xml version="1.0" encoding="utf-8"?>
<ds:datastoreItem xmlns:ds="http://schemas.openxmlformats.org/officeDocument/2006/customXml" ds:itemID="{C1D84808-72B1-41EB-8281-50E4ACA6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 Performance Descriptors</dc:title>
  <dc:subject>VCE Art Creative Practice</dc:subject>
  <dc:creator>vcaa@education.vic.gov.au</dc:creator>
  <cp:keywords>art, creative, practice, VCE, performance, descriptors</cp:keywords>
  <cp:lastModifiedBy>Julie Coleman</cp:lastModifiedBy>
  <cp:revision>3</cp:revision>
  <cp:lastPrinted>2015-05-15T02:36:00Z</cp:lastPrinted>
  <dcterms:created xsi:type="dcterms:W3CDTF">2022-11-28T01:46:00Z</dcterms:created>
  <dcterms:modified xsi:type="dcterms:W3CDTF">2022-11-28T02:18:00Z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