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p w14:paraId="05D06905" w14:textId="2BE8E72E" w:rsidR="001276E6" w:rsidRDefault="00BD6B2F" w:rsidP="001276E6">
          <w:pPr>
            <w:pStyle w:val="VCAADocumenttitle"/>
          </w:pPr>
          <w:r>
            <w:t xml:space="preserve">Unit </w:t>
          </w:r>
          <w:r w:rsidR="008C6870">
            <w:t>2</w:t>
          </w:r>
          <w:r>
            <w:t xml:space="preserve"> Environmental Science learning context examples</w:t>
          </w:r>
        </w:p>
      </w:sdtContent>
    </w:sdt>
    <w:p w14:paraId="6C11FF71" w14:textId="1E42EC78" w:rsidR="009A0FD6" w:rsidRPr="00D46741" w:rsidRDefault="009A0FD6" w:rsidP="009A0FD6">
      <w:pPr>
        <w:pStyle w:val="VCAAbody"/>
        <w:rPr>
          <w:color w:val="auto"/>
          <w:lang w:val="en-AU"/>
        </w:rPr>
      </w:pPr>
      <w:r w:rsidRPr="00442DB0">
        <w:rPr>
          <w:color w:val="auto"/>
        </w:rPr>
        <w:t xml:space="preserve">The overarching Unit </w:t>
      </w:r>
      <w:r w:rsidR="008C6870">
        <w:rPr>
          <w:color w:val="auto"/>
        </w:rPr>
        <w:t>2</w:t>
      </w:r>
      <w:r w:rsidRPr="00442DB0">
        <w:rPr>
          <w:color w:val="auto"/>
        </w:rPr>
        <w:t xml:space="preserve"> question, ‘</w:t>
      </w:r>
      <w:r w:rsidR="005C572B">
        <w:rPr>
          <w:color w:val="auto"/>
        </w:rPr>
        <w:t>What affects</w:t>
      </w:r>
      <w:r w:rsidRPr="00442DB0">
        <w:rPr>
          <w:color w:val="auto"/>
        </w:rPr>
        <w:t xml:space="preserve"> Earth’s </w:t>
      </w:r>
      <w:r w:rsidR="005C572B">
        <w:rPr>
          <w:color w:val="auto"/>
        </w:rPr>
        <w:t>capacity</w:t>
      </w:r>
      <w:r w:rsidRPr="00442DB0">
        <w:rPr>
          <w:color w:val="auto"/>
        </w:rPr>
        <w:t xml:space="preserve"> to </w:t>
      </w:r>
      <w:r w:rsidR="005C572B">
        <w:rPr>
          <w:color w:val="auto"/>
        </w:rPr>
        <w:t>sustain</w:t>
      </w:r>
      <w:r w:rsidRPr="00442DB0">
        <w:rPr>
          <w:color w:val="auto"/>
        </w:rPr>
        <w:t xml:space="preserve"> life?’ enables </w:t>
      </w:r>
      <w:r w:rsidRPr="00D46741">
        <w:rPr>
          <w:color w:val="auto"/>
        </w:rPr>
        <w:t xml:space="preserve">teachers to design teaching and assessment programs that are tailored to meet the needs of their cohort, and the contexts in which their schools are placed and in which students are learning, including resources. These programs must be aligned to the </w:t>
      </w:r>
      <w:r w:rsidRPr="00D46741">
        <w:rPr>
          <w:i/>
          <w:iCs/>
          <w:color w:val="auto"/>
          <w:lang w:val="en-AU"/>
        </w:rPr>
        <w:t xml:space="preserve">VCE Environmental Science Study Design </w:t>
      </w:r>
      <w:r w:rsidRPr="00D46741">
        <w:rPr>
          <w:color w:val="auto"/>
          <w:lang w:val="en-AU"/>
        </w:rPr>
        <w:t>and comply with the VCE assessment principles.</w:t>
      </w:r>
    </w:p>
    <w:p w14:paraId="332EE2C1" w14:textId="76F2DD22" w:rsidR="00E8766D" w:rsidRPr="00086EF6" w:rsidRDefault="00E8766D" w:rsidP="009A0FD6">
      <w:pPr>
        <w:pStyle w:val="VCAAbody"/>
        <w:rPr>
          <w:color w:val="auto"/>
        </w:rPr>
      </w:pPr>
      <w:r>
        <w:rPr>
          <w:color w:val="212121"/>
          <w:shd w:val="clear" w:color="auto" w:fill="FFFFFF"/>
        </w:rPr>
        <w:t xml:space="preserve">The mandated assessment task for this unit is </w:t>
      </w:r>
      <w:r w:rsidR="005C572B">
        <w:rPr>
          <w:color w:val="212121"/>
          <w:shd w:val="clear" w:color="auto" w:fill="FFFFFF"/>
        </w:rPr>
        <w:t>a response as to how science can be applied in the management of a selected pollutant or in securing food and/or water,</w:t>
      </w:r>
      <w:r w:rsidR="00C6188F">
        <w:rPr>
          <w:color w:val="212121"/>
          <w:shd w:val="clear" w:color="auto" w:fill="FFFFFF"/>
        </w:rPr>
        <w:t xml:space="preserve"> as outlined on page</w:t>
      </w:r>
      <w:r w:rsidR="00A478C2">
        <w:rPr>
          <w:color w:val="212121"/>
          <w:shd w:val="clear" w:color="auto" w:fill="FFFFFF"/>
        </w:rPr>
        <w:t xml:space="preserve"> </w:t>
      </w:r>
      <w:r w:rsidR="00754274" w:rsidRPr="00E5627E">
        <w:rPr>
          <w:color w:val="auto"/>
          <w:shd w:val="clear" w:color="auto" w:fill="FFFFFF"/>
        </w:rPr>
        <w:t>29</w:t>
      </w:r>
      <w:r w:rsidR="00754274">
        <w:rPr>
          <w:color w:val="212121"/>
          <w:shd w:val="clear" w:color="auto" w:fill="FFFFFF"/>
        </w:rPr>
        <w:t xml:space="preserve"> </w:t>
      </w:r>
      <w:r w:rsidR="00C6188F">
        <w:rPr>
          <w:color w:val="212121"/>
          <w:shd w:val="clear" w:color="auto" w:fill="FFFFFF"/>
        </w:rPr>
        <w:t>of the study design</w:t>
      </w:r>
      <w:r>
        <w:rPr>
          <w:color w:val="212121"/>
          <w:shd w:val="clear" w:color="auto" w:fill="FFFFFF"/>
        </w:rPr>
        <w:t xml:space="preserve">. </w:t>
      </w:r>
      <w:r w:rsidR="005C572B">
        <w:rPr>
          <w:color w:val="212121"/>
          <w:shd w:val="clear" w:color="auto" w:fill="FFFFFF"/>
        </w:rPr>
        <w:t>It is expected that the task is largely a secondary data investigation and may therefore be based on the scientific methodologies of a case study or a literature review, but primary data may also be generated to supplement the investigation through fieldwork, laboratory work and/or modelling or simulations. A commercial or student’s own development of a product, process or system may also be rel</w:t>
      </w:r>
      <w:r w:rsidR="00940D1E">
        <w:rPr>
          <w:color w:val="212121"/>
          <w:shd w:val="clear" w:color="auto" w:fill="FFFFFF"/>
        </w:rPr>
        <w:t>e</w:t>
      </w:r>
      <w:r w:rsidR="005C572B">
        <w:rPr>
          <w:color w:val="212121"/>
          <w:shd w:val="clear" w:color="auto" w:fill="FFFFFF"/>
        </w:rPr>
        <w:t>vant</w:t>
      </w:r>
      <w:r w:rsidR="00940D1E">
        <w:rPr>
          <w:color w:val="212121"/>
          <w:shd w:val="clear" w:color="auto" w:fill="FFFFFF"/>
        </w:rPr>
        <w:t xml:space="preserve"> as </w:t>
      </w:r>
      <w:r w:rsidR="00AC3EC2">
        <w:rPr>
          <w:color w:val="212121"/>
          <w:shd w:val="clear" w:color="auto" w:fill="FFFFFF"/>
        </w:rPr>
        <w:t xml:space="preserve">the basis of the response, as </w:t>
      </w:r>
      <w:r w:rsidR="00940D1E">
        <w:rPr>
          <w:color w:val="212121"/>
          <w:shd w:val="clear" w:color="auto" w:fill="FFFFFF"/>
        </w:rPr>
        <w:t>may be the consideration of a proposed development as reported in scientific or research literature</w:t>
      </w:r>
      <w:r w:rsidR="005C572B" w:rsidRPr="00086EF6">
        <w:rPr>
          <w:color w:val="auto"/>
          <w:shd w:val="clear" w:color="auto" w:fill="FFFFFF"/>
        </w:rPr>
        <w:t xml:space="preserve">.  </w:t>
      </w:r>
    </w:p>
    <w:p w14:paraId="130CB248" w14:textId="08F307D6" w:rsidR="00824C12" w:rsidRPr="00D46741" w:rsidRDefault="00401138" w:rsidP="00701140">
      <w:pPr>
        <w:spacing w:after="0"/>
        <w:rPr>
          <w:rFonts w:ascii="Arial" w:hAnsi="Arial" w:cs="Arial"/>
          <w:lang w:val="en-US"/>
        </w:rPr>
      </w:pPr>
      <w:r w:rsidRPr="00D46741">
        <w:rPr>
          <w:rFonts w:ascii="Arial" w:hAnsi="Arial" w:cs="Arial"/>
          <w:lang w:val="en-US"/>
        </w:rPr>
        <w:t xml:space="preserve">The following tables provide examples of learning contexts relevant to the key knowledge </w:t>
      </w:r>
      <w:r w:rsidR="00414A15" w:rsidRPr="00D46741">
        <w:rPr>
          <w:rFonts w:ascii="Arial" w:hAnsi="Arial" w:cs="Arial"/>
          <w:lang w:val="en-US"/>
        </w:rPr>
        <w:t xml:space="preserve">for Unit </w:t>
      </w:r>
      <w:r w:rsidR="00940D1E">
        <w:rPr>
          <w:rFonts w:ascii="Arial" w:hAnsi="Arial" w:cs="Arial"/>
          <w:lang w:val="en-US"/>
        </w:rPr>
        <w:t>2</w:t>
      </w:r>
      <w:r w:rsidR="00414A15" w:rsidRPr="00D46741">
        <w:rPr>
          <w:rFonts w:ascii="Arial" w:hAnsi="Arial" w:cs="Arial"/>
          <w:lang w:val="en-US"/>
        </w:rPr>
        <w:t xml:space="preserve"> </w:t>
      </w:r>
      <w:r w:rsidRPr="00D46741">
        <w:rPr>
          <w:rFonts w:ascii="Arial" w:hAnsi="Arial" w:cs="Arial"/>
          <w:lang w:val="en-US"/>
        </w:rPr>
        <w:t>on pages</w:t>
      </w:r>
      <w:r w:rsidR="008C6870">
        <w:rPr>
          <w:rFonts w:ascii="Arial" w:hAnsi="Arial" w:cs="Arial"/>
          <w:lang w:val="en-US"/>
        </w:rPr>
        <w:t xml:space="preserve"> </w:t>
      </w:r>
      <w:r w:rsidR="00940D1E">
        <w:rPr>
          <w:rFonts w:ascii="Arial" w:hAnsi="Arial" w:cs="Arial"/>
          <w:lang w:val="en-US"/>
        </w:rPr>
        <w:t>24</w:t>
      </w:r>
      <w:r w:rsidR="00086EF6">
        <w:rPr>
          <w:rFonts w:ascii="Arial" w:hAnsi="Arial" w:cs="Arial"/>
          <w:lang w:val="en-US"/>
        </w:rPr>
        <w:t>–</w:t>
      </w:r>
      <w:r w:rsidR="00414A15" w:rsidRPr="00D46741">
        <w:rPr>
          <w:rFonts w:ascii="Arial" w:hAnsi="Arial" w:cs="Arial"/>
          <w:lang w:val="en-US"/>
        </w:rPr>
        <w:t>2</w:t>
      </w:r>
      <w:r w:rsidR="00940D1E">
        <w:rPr>
          <w:rFonts w:ascii="Arial" w:hAnsi="Arial" w:cs="Arial"/>
          <w:lang w:val="en-US"/>
        </w:rPr>
        <w:t>7</w:t>
      </w:r>
      <w:r w:rsidR="00414A15" w:rsidRPr="00D46741">
        <w:rPr>
          <w:rFonts w:ascii="Arial" w:hAnsi="Arial" w:cs="Arial"/>
          <w:lang w:val="en-US"/>
        </w:rPr>
        <w:t xml:space="preserve"> of the </w:t>
      </w:r>
      <w:r w:rsidR="00414A15" w:rsidRPr="00D46741">
        <w:rPr>
          <w:rFonts w:ascii="Arial" w:hAnsi="Arial" w:cs="Arial"/>
          <w:i/>
          <w:iCs/>
          <w:lang w:val="en-US"/>
        </w:rPr>
        <w:t>VCE Environmental Science Study Design</w:t>
      </w:r>
      <w:r w:rsidRPr="00D46741">
        <w:rPr>
          <w:rFonts w:ascii="Arial" w:hAnsi="Arial" w:cs="Arial"/>
          <w:lang w:val="en-US"/>
        </w:rPr>
        <w:t xml:space="preserve"> aligned with the outcome for the unit.</w:t>
      </w:r>
      <w:r w:rsidR="00414A15" w:rsidRPr="00D46741">
        <w:rPr>
          <w:rFonts w:ascii="Arial" w:hAnsi="Arial" w:cs="Arial"/>
          <w:lang w:val="en-US"/>
        </w:rPr>
        <w:t xml:space="preserve"> Teachers should select relevant key science skills on pages 7–9 of the study design as appropriate to the </w:t>
      </w:r>
      <w:r w:rsidR="00940D1E">
        <w:rPr>
          <w:rFonts w:ascii="Arial" w:hAnsi="Arial" w:cs="Arial"/>
          <w:lang w:val="en-US"/>
        </w:rPr>
        <w:t xml:space="preserve">learning </w:t>
      </w:r>
      <w:r w:rsidR="00940D1E" w:rsidRPr="00D46741">
        <w:rPr>
          <w:rFonts w:ascii="Arial" w:hAnsi="Arial" w:cs="Arial"/>
          <w:lang w:val="en-US"/>
        </w:rPr>
        <w:t>context</w:t>
      </w:r>
      <w:r w:rsidR="00940D1E">
        <w:rPr>
          <w:rFonts w:ascii="Arial" w:hAnsi="Arial" w:cs="Arial"/>
          <w:lang w:val="en-US"/>
        </w:rPr>
        <w:t>s</w:t>
      </w:r>
      <w:r w:rsidR="00414A15" w:rsidRPr="00D46741">
        <w:rPr>
          <w:rFonts w:ascii="Arial" w:hAnsi="Arial" w:cs="Arial"/>
          <w:lang w:val="en-US"/>
        </w:rPr>
        <w:t>.</w:t>
      </w:r>
    </w:p>
    <w:p w14:paraId="07DDE1D4" w14:textId="0397BA29" w:rsidR="00E90D31" w:rsidRPr="00B261F8" w:rsidRDefault="00E90D31" w:rsidP="00086EF6">
      <w:pPr>
        <w:pStyle w:val="VCAAHeading3"/>
        <w:spacing w:after="240"/>
      </w:pPr>
      <w:r w:rsidRPr="00B261F8">
        <w:t xml:space="preserve">Unit 2 Area of </w:t>
      </w:r>
      <w:r w:rsidR="00686013">
        <w:t>S</w:t>
      </w:r>
      <w:r w:rsidRPr="00B261F8">
        <w:t>tudy 1: Pollution effects on Earth’s systems</w:t>
      </w:r>
    </w:p>
    <w:tbl>
      <w:tblPr>
        <w:tblStyle w:val="TableGrid"/>
        <w:tblW w:w="9715" w:type="dxa"/>
        <w:tblLook w:val="04A0" w:firstRow="1" w:lastRow="0" w:firstColumn="1" w:lastColumn="0" w:noHBand="0" w:noVBand="1"/>
      </w:tblPr>
      <w:tblGrid>
        <w:gridCol w:w="4855"/>
        <w:gridCol w:w="4860"/>
      </w:tblGrid>
      <w:tr w:rsidR="00086EF6" w:rsidRPr="00086EF6" w14:paraId="0D223A67" w14:textId="77777777" w:rsidTr="00086EF6">
        <w:tc>
          <w:tcPr>
            <w:tcW w:w="4855" w:type="dxa"/>
            <w:shd w:val="clear" w:color="auto" w:fill="0F7EB4"/>
          </w:tcPr>
          <w:p w14:paraId="3CBB5272" w14:textId="77777777" w:rsidR="00701140" w:rsidRPr="00086EF6" w:rsidRDefault="00701140" w:rsidP="00086EF6">
            <w:pPr>
              <w:pStyle w:val="VCAAtablecondensed"/>
              <w:rPr>
                <w:b/>
                <w:color w:val="FFFFFF" w:themeColor="background1"/>
              </w:rPr>
            </w:pPr>
            <w:r w:rsidRPr="00086EF6">
              <w:rPr>
                <w:b/>
                <w:color w:val="FFFFFF" w:themeColor="background1"/>
              </w:rPr>
              <w:t>Key knowledge point</w:t>
            </w:r>
          </w:p>
        </w:tc>
        <w:tc>
          <w:tcPr>
            <w:tcW w:w="4860" w:type="dxa"/>
            <w:shd w:val="clear" w:color="auto" w:fill="0F7EB4"/>
          </w:tcPr>
          <w:p w14:paraId="7956AC70" w14:textId="77777777" w:rsidR="00701140" w:rsidRPr="00086EF6" w:rsidRDefault="00701140" w:rsidP="00086EF6">
            <w:pPr>
              <w:pStyle w:val="VCAAtablecondensed"/>
              <w:rPr>
                <w:b/>
                <w:color w:val="FFFFFF" w:themeColor="background1"/>
              </w:rPr>
            </w:pPr>
            <w:r w:rsidRPr="00086EF6">
              <w:rPr>
                <w:b/>
                <w:color w:val="FFFFFF" w:themeColor="background1"/>
              </w:rPr>
              <w:t>Examples of learning contexts</w:t>
            </w:r>
          </w:p>
        </w:tc>
      </w:tr>
      <w:tr w:rsidR="00E90D31" w14:paraId="4E7785A7" w14:textId="77777777" w:rsidTr="00E5627E">
        <w:trPr>
          <w:trHeight w:val="1652"/>
        </w:trPr>
        <w:tc>
          <w:tcPr>
            <w:tcW w:w="4855" w:type="dxa"/>
          </w:tcPr>
          <w:p w14:paraId="74E29132" w14:textId="590C8D47" w:rsidR="00E90D31" w:rsidRPr="00086EF6" w:rsidRDefault="00E90D31" w:rsidP="00086EF6">
            <w:pPr>
              <w:pStyle w:val="VCAAtablecondensed"/>
            </w:pPr>
            <w:r w:rsidRPr="00E90D31">
              <w:t xml:space="preserve">chemical and physical characteristics of pollutants that influence dispersal of emissions from </w:t>
            </w:r>
            <w:r w:rsidR="00A478C2">
              <w:t xml:space="preserve">natural and manufactured </w:t>
            </w:r>
            <w:r w:rsidRPr="00E90D31">
              <w:t>source</w:t>
            </w:r>
            <w:r w:rsidR="00A478C2">
              <w:t>s</w:t>
            </w:r>
          </w:p>
        </w:tc>
        <w:tc>
          <w:tcPr>
            <w:tcW w:w="4860" w:type="dxa"/>
          </w:tcPr>
          <w:p w14:paraId="563A223A" w14:textId="77777777" w:rsidR="00E90D31" w:rsidRPr="00E90D31" w:rsidRDefault="00E90D31" w:rsidP="00086EF6">
            <w:pPr>
              <w:pStyle w:val="VCAAtablecondensedbullet"/>
              <w:tabs>
                <w:tab w:val="clear" w:pos="340"/>
              </w:tabs>
            </w:pPr>
            <w:r w:rsidRPr="00E90D31">
              <w:t xml:space="preserve">state of matter at 25 </w:t>
            </w:r>
            <w:r w:rsidRPr="00AC3EC2">
              <w:rPr>
                <w:vertAlign w:val="superscript"/>
              </w:rPr>
              <w:t>o</w:t>
            </w:r>
            <w:r w:rsidRPr="00E90D31">
              <w:t xml:space="preserve">C, </w:t>
            </w:r>
          </w:p>
          <w:p w14:paraId="0F3FE24A" w14:textId="77777777" w:rsidR="00E90D31" w:rsidRPr="00E90D31" w:rsidRDefault="00E90D31" w:rsidP="00086EF6">
            <w:pPr>
              <w:pStyle w:val="VCAAtablecondensedbullet"/>
              <w:tabs>
                <w:tab w:val="clear" w:pos="340"/>
              </w:tabs>
            </w:pPr>
            <w:r w:rsidRPr="00E90D31">
              <w:t>solubility in oil and water</w:t>
            </w:r>
          </w:p>
          <w:p w14:paraId="20D8F4D8" w14:textId="77777777" w:rsidR="00E90D31" w:rsidRPr="00E90D31" w:rsidRDefault="00E90D31" w:rsidP="00086EF6">
            <w:pPr>
              <w:pStyle w:val="VCAAtablecondensedbullet"/>
              <w:tabs>
                <w:tab w:val="clear" w:pos="340"/>
              </w:tabs>
            </w:pPr>
            <w:r w:rsidRPr="00E90D31">
              <w:t>density</w:t>
            </w:r>
          </w:p>
          <w:p w14:paraId="3E35D2A4" w14:textId="77777777" w:rsidR="00E90D31" w:rsidRPr="00E90D31" w:rsidRDefault="00E90D31" w:rsidP="00086EF6">
            <w:pPr>
              <w:pStyle w:val="VCAAtablecondensedbullet"/>
              <w:tabs>
                <w:tab w:val="clear" w:pos="340"/>
              </w:tabs>
            </w:pPr>
            <w:r w:rsidRPr="00E90D31">
              <w:t>chemical activity</w:t>
            </w:r>
          </w:p>
          <w:p w14:paraId="2811D079" w14:textId="31DEC50E" w:rsidR="00E90D31" w:rsidRPr="00E90D31" w:rsidRDefault="00E90D31" w:rsidP="00086EF6">
            <w:pPr>
              <w:pStyle w:val="VCAAtablecondensedbullet"/>
              <w:tabs>
                <w:tab w:val="clear" w:pos="340"/>
              </w:tabs>
            </w:pPr>
            <w:r w:rsidRPr="00E90D31">
              <w:t xml:space="preserve">radioactivity  </w:t>
            </w:r>
          </w:p>
        </w:tc>
      </w:tr>
      <w:tr w:rsidR="00EB188F" w14:paraId="42C07A59" w14:textId="77777777" w:rsidTr="003056B1">
        <w:tc>
          <w:tcPr>
            <w:tcW w:w="4855" w:type="dxa"/>
          </w:tcPr>
          <w:p w14:paraId="46D4FF24" w14:textId="28E86726" w:rsidR="00EB188F" w:rsidRDefault="00EB188F" w:rsidP="00086EF6">
            <w:pPr>
              <w:pStyle w:val="VCAAtablecondensed"/>
            </w:pPr>
            <w:r w:rsidRPr="00E5627E">
              <w:t>the transport mechanisms, persistence, fate and toxicity of pollutants throughout Earth’s four interrelated systems</w:t>
            </w:r>
          </w:p>
        </w:tc>
        <w:tc>
          <w:tcPr>
            <w:tcW w:w="4860" w:type="dxa"/>
          </w:tcPr>
          <w:p w14:paraId="19577FDB" w14:textId="48D9E95D" w:rsidR="00EB188F" w:rsidRDefault="00EB188F" w:rsidP="00086EF6">
            <w:pPr>
              <w:pStyle w:val="VCAAtablecondensedbullet"/>
              <w:tabs>
                <w:tab w:val="clear" w:pos="340"/>
              </w:tabs>
            </w:pPr>
            <w:r>
              <w:t xml:space="preserve">transport of </w:t>
            </w:r>
            <w:r w:rsidR="00A32B0B">
              <w:t xml:space="preserve">dissolved </w:t>
            </w:r>
            <w:r>
              <w:t>pollutants in rivers and streams by current</w:t>
            </w:r>
            <w:r w:rsidR="00A32B0B">
              <w:t xml:space="preserve"> flow</w:t>
            </w:r>
          </w:p>
          <w:p w14:paraId="5BB8606E" w14:textId="233F2432" w:rsidR="00EB188F" w:rsidRDefault="00EB188F" w:rsidP="00086EF6">
            <w:pPr>
              <w:pStyle w:val="VCAAtablecondensedbullet"/>
              <w:tabs>
                <w:tab w:val="clear" w:pos="340"/>
              </w:tabs>
            </w:pPr>
            <w:r>
              <w:t>transport of gaseous pollutants via diffusion</w:t>
            </w:r>
            <w:r w:rsidR="00A32B0B">
              <w:t xml:space="preserve"> and transport by air currents</w:t>
            </w:r>
          </w:p>
          <w:p w14:paraId="485C69E8" w14:textId="68641483" w:rsidR="00A32B0B" w:rsidRDefault="00A32B0B" w:rsidP="00086EF6">
            <w:pPr>
              <w:pStyle w:val="VCAAtablecondensedbullet"/>
              <w:tabs>
                <w:tab w:val="clear" w:pos="340"/>
              </w:tabs>
            </w:pPr>
            <w:r>
              <w:t>transport of pollutants into soils via leaching</w:t>
            </w:r>
          </w:p>
          <w:p w14:paraId="1B20D88E" w14:textId="77777777" w:rsidR="00A32B0B" w:rsidRDefault="00A32B0B" w:rsidP="00086EF6">
            <w:pPr>
              <w:pStyle w:val="VCAAtablecondensedbullet"/>
              <w:tabs>
                <w:tab w:val="clear" w:pos="340"/>
              </w:tabs>
            </w:pPr>
            <w:r>
              <w:t xml:space="preserve">biodegradable versus persistent pollutants </w:t>
            </w:r>
          </w:p>
          <w:p w14:paraId="3A1F6D83" w14:textId="77777777" w:rsidR="00A32B0B" w:rsidRDefault="00A32B0B" w:rsidP="00086EF6">
            <w:pPr>
              <w:pStyle w:val="VCAAtablecondensedbullet"/>
              <w:tabs>
                <w:tab w:val="clear" w:pos="340"/>
              </w:tabs>
            </w:pPr>
            <w:r>
              <w:t>chemical reactions, for example, formation of ozone, NO</w:t>
            </w:r>
            <w:r w:rsidRPr="00E5627E">
              <w:rPr>
                <w:vertAlign w:val="subscript"/>
              </w:rPr>
              <w:t>x</w:t>
            </w:r>
            <w:r>
              <w:t xml:space="preserve"> and SO</w:t>
            </w:r>
            <w:r w:rsidRPr="00E5627E">
              <w:rPr>
                <w:vertAlign w:val="subscript"/>
              </w:rPr>
              <w:t>x</w:t>
            </w:r>
            <w:r>
              <w:rPr>
                <w:vertAlign w:val="subscript"/>
              </w:rPr>
              <w:t xml:space="preserve"> </w:t>
            </w:r>
            <w:r w:rsidRPr="00E5627E">
              <w:t>in the atmosphere</w:t>
            </w:r>
          </w:p>
          <w:p w14:paraId="744CD627" w14:textId="21B87B39" w:rsidR="00A32B0B" w:rsidRPr="00E90D31" w:rsidRDefault="00A32B0B" w:rsidP="00086EF6">
            <w:pPr>
              <w:pStyle w:val="VCAAtablecondensedbullet"/>
              <w:tabs>
                <w:tab w:val="clear" w:pos="340"/>
              </w:tabs>
            </w:pPr>
            <w:r>
              <w:t xml:space="preserve">toxicity: </w:t>
            </w:r>
            <w:r w:rsidRPr="00E5627E">
              <w:t>gases</w:t>
            </w:r>
            <w:r>
              <w:t xml:space="preserve"> (for example,</w:t>
            </w:r>
            <w:r w:rsidRPr="00E5627E">
              <w:t xml:space="preserve"> hydrogen chloride, benzene or toluene, dioxin</w:t>
            </w:r>
            <w:r>
              <w:t>);</w:t>
            </w:r>
            <w:r w:rsidRPr="00E5627E">
              <w:t xml:space="preserve"> compounds </w:t>
            </w:r>
            <w:r>
              <w:t xml:space="preserve">(for example, </w:t>
            </w:r>
            <w:r w:rsidRPr="00E5627E">
              <w:t>asbestos</w:t>
            </w:r>
            <w:r>
              <w:t xml:space="preserve">) </w:t>
            </w:r>
            <w:r w:rsidRPr="00E5627E">
              <w:t xml:space="preserve">or elements </w:t>
            </w:r>
            <w:r>
              <w:t>(for example,</w:t>
            </w:r>
            <w:r w:rsidRPr="00E5627E">
              <w:t xml:space="preserve"> cadmium, mercury, chromium</w:t>
            </w:r>
            <w:r>
              <w:t>)</w:t>
            </w:r>
            <w:r w:rsidRPr="00E5627E">
              <w:t>.</w:t>
            </w:r>
          </w:p>
        </w:tc>
      </w:tr>
      <w:tr w:rsidR="00E90D31" w14:paraId="3B6EC260" w14:textId="77777777" w:rsidTr="003056B1">
        <w:tc>
          <w:tcPr>
            <w:tcW w:w="4855" w:type="dxa"/>
          </w:tcPr>
          <w:p w14:paraId="2A8D0103" w14:textId="081A3816" w:rsidR="00E90D31" w:rsidRPr="00E90D31" w:rsidRDefault="00A478C2" w:rsidP="00086EF6">
            <w:pPr>
              <w:pStyle w:val="VCAAtablecondensed"/>
            </w:pPr>
            <w:r>
              <w:lastRenderedPageBreak/>
              <w:t xml:space="preserve">the </w:t>
            </w:r>
            <w:r w:rsidR="00E90D31" w:rsidRPr="00E90D31">
              <w:t xml:space="preserve">impacts of </w:t>
            </w:r>
            <w:r>
              <w:t xml:space="preserve">a range of </w:t>
            </w:r>
            <w:r w:rsidR="00E90D31" w:rsidRPr="00E90D31">
              <w:t xml:space="preserve">pollutants </w:t>
            </w:r>
            <w:r>
              <w:t xml:space="preserve">on the health and survival of living things in the biosphere, including humans, and on the quality of the atmosphere, hydrosphere and lithosphere with reference to risk, exposure, dosage, tolerance limits, LD50, chronic and acute toxicity, allergies, disruption of system regulation and synergistic action </w:t>
            </w:r>
          </w:p>
        </w:tc>
        <w:tc>
          <w:tcPr>
            <w:tcW w:w="4860" w:type="dxa"/>
          </w:tcPr>
          <w:p w14:paraId="01923BBD" w14:textId="63D3726D" w:rsidR="00EB188F" w:rsidRDefault="00EB188F" w:rsidP="00086EF6">
            <w:pPr>
              <w:pStyle w:val="VCAAtablecondensedbullet"/>
              <w:tabs>
                <w:tab w:val="clear" w:pos="340"/>
              </w:tabs>
            </w:pPr>
            <w:r>
              <w:t>examples of pollutants: chemical pollutants; endocrine disruptors; optical radiation; electromagnetic fields; noise; heat; odours</w:t>
            </w:r>
          </w:p>
          <w:p w14:paraId="22705DC2" w14:textId="6CE1B3D3" w:rsidR="00E90D31" w:rsidRPr="00E90D31" w:rsidRDefault="00E90D31" w:rsidP="00086EF6">
            <w:pPr>
              <w:pStyle w:val="VCAAtablecondensedbullet"/>
              <w:tabs>
                <w:tab w:val="clear" w:pos="340"/>
              </w:tabs>
            </w:pPr>
            <w:r w:rsidRPr="00E90D31">
              <w:t>concepts of: risk</w:t>
            </w:r>
            <w:r w:rsidR="00EB188F">
              <w:t>;</w:t>
            </w:r>
            <w:r w:rsidRPr="00E90D31">
              <w:t xml:space="preserve"> exposure</w:t>
            </w:r>
            <w:r w:rsidR="00EB188F">
              <w:t>;</w:t>
            </w:r>
            <w:r w:rsidRPr="00E90D31">
              <w:t xml:space="preserve"> dosage</w:t>
            </w:r>
            <w:r w:rsidR="00EB188F">
              <w:t xml:space="preserve">; </w:t>
            </w:r>
            <w:r w:rsidRPr="00E90D31">
              <w:t>tolerance limits</w:t>
            </w:r>
            <w:r w:rsidR="00EB188F">
              <w:t xml:space="preserve">; </w:t>
            </w:r>
            <w:r w:rsidRPr="00E90D31">
              <w:t>LD50</w:t>
            </w:r>
            <w:r w:rsidR="00EB188F">
              <w:t xml:space="preserve">; </w:t>
            </w:r>
            <w:r w:rsidRPr="00E90D31">
              <w:t>chronic and acute toxicity</w:t>
            </w:r>
            <w:r w:rsidR="00EB188F">
              <w:t xml:space="preserve">; </w:t>
            </w:r>
            <w:r w:rsidRPr="00E90D31">
              <w:t>synergistic action</w:t>
            </w:r>
          </w:p>
          <w:p w14:paraId="4BC9A43B" w14:textId="29EB0FBF" w:rsidR="00E90D31" w:rsidRPr="00E90D31" w:rsidRDefault="00E90D31" w:rsidP="00086EF6">
            <w:pPr>
              <w:pStyle w:val="VCAAtablecondensedbullet"/>
              <w:tabs>
                <w:tab w:val="clear" w:pos="340"/>
              </w:tabs>
            </w:pPr>
            <w:r w:rsidRPr="00E90D31">
              <w:t>human effects: allergies</w:t>
            </w:r>
            <w:r w:rsidR="00EB188F">
              <w:t>;</w:t>
            </w:r>
            <w:r w:rsidRPr="00E90D31">
              <w:t xml:space="preserve"> disruption of system regulation</w:t>
            </w:r>
            <w:r w:rsidR="00EB188F">
              <w:t>;</w:t>
            </w:r>
            <w:r w:rsidR="003B1383">
              <w:t xml:space="preserve"> cancer</w:t>
            </w:r>
            <w:r w:rsidR="00EB188F">
              <w:t>; respiratory illnesses; deafness</w:t>
            </w:r>
          </w:p>
          <w:p w14:paraId="6C98C29C" w14:textId="437C78BD" w:rsidR="00E90D31" w:rsidRPr="00E90D31" w:rsidRDefault="00E90D31" w:rsidP="00086EF6">
            <w:pPr>
              <w:pStyle w:val="VCAAtablecondensedbullet"/>
              <w:tabs>
                <w:tab w:val="clear" w:pos="340"/>
              </w:tabs>
            </w:pPr>
            <w:r w:rsidRPr="00E90D31">
              <w:t>environmental effects: smog</w:t>
            </w:r>
            <w:r w:rsidR="00575E3C">
              <w:t>,</w:t>
            </w:r>
            <w:r w:rsidRPr="00E90D31">
              <w:t xml:space="preserve"> bioaccumulation </w:t>
            </w:r>
          </w:p>
        </w:tc>
      </w:tr>
    </w:tbl>
    <w:p w14:paraId="28A48481" w14:textId="4D21A739" w:rsidR="00701140" w:rsidRDefault="00701140" w:rsidP="00086EF6">
      <w:pPr>
        <w:pStyle w:val="VCAAHeading3"/>
        <w:spacing w:after="240"/>
      </w:pPr>
      <w:r>
        <w:t xml:space="preserve">Unit 1 Area of </w:t>
      </w:r>
      <w:r w:rsidR="00F93514">
        <w:t>S</w:t>
      </w:r>
      <w:r>
        <w:t xml:space="preserve">tudy 1: </w:t>
      </w:r>
      <w:r w:rsidR="00AC3EC2" w:rsidRPr="00B261F8">
        <w:t>Managing pollution</w:t>
      </w:r>
    </w:p>
    <w:tbl>
      <w:tblPr>
        <w:tblStyle w:val="TableGrid"/>
        <w:tblW w:w="9715" w:type="dxa"/>
        <w:tblLook w:val="04A0" w:firstRow="1" w:lastRow="0" w:firstColumn="1" w:lastColumn="0" w:noHBand="0" w:noVBand="1"/>
      </w:tblPr>
      <w:tblGrid>
        <w:gridCol w:w="4855"/>
        <w:gridCol w:w="4860"/>
      </w:tblGrid>
      <w:tr w:rsidR="00086EF6" w:rsidRPr="00086EF6" w14:paraId="0A5AF59E" w14:textId="77777777" w:rsidTr="00086EF6">
        <w:tc>
          <w:tcPr>
            <w:tcW w:w="4855" w:type="dxa"/>
            <w:shd w:val="clear" w:color="auto" w:fill="0F7EB4"/>
          </w:tcPr>
          <w:p w14:paraId="147205EA" w14:textId="77777777" w:rsidR="003056B1" w:rsidRPr="00086EF6" w:rsidRDefault="003056B1" w:rsidP="00086EF6">
            <w:pPr>
              <w:pStyle w:val="VCAAtablecondensed"/>
              <w:rPr>
                <w:b/>
                <w:color w:val="FFFFFF" w:themeColor="background1"/>
              </w:rPr>
            </w:pPr>
            <w:r w:rsidRPr="00086EF6">
              <w:rPr>
                <w:b/>
                <w:color w:val="FFFFFF" w:themeColor="background1"/>
              </w:rPr>
              <w:t>Key knowledge point</w:t>
            </w:r>
          </w:p>
        </w:tc>
        <w:tc>
          <w:tcPr>
            <w:tcW w:w="4860" w:type="dxa"/>
            <w:shd w:val="clear" w:color="auto" w:fill="0F7EB4"/>
          </w:tcPr>
          <w:p w14:paraId="75599FF8" w14:textId="77777777" w:rsidR="003056B1" w:rsidRPr="00086EF6" w:rsidRDefault="003056B1" w:rsidP="00086EF6">
            <w:pPr>
              <w:pStyle w:val="VCAAtablecondensed"/>
              <w:rPr>
                <w:b/>
                <w:color w:val="FFFFFF" w:themeColor="background1"/>
              </w:rPr>
            </w:pPr>
            <w:r w:rsidRPr="00086EF6">
              <w:rPr>
                <w:b/>
                <w:color w:val="FFFFFF" w:themeColor="background1"/>
              </w:rPr>
              <w:t>Examples of learning contexts</w:t>
            </w:r>
          </w:p>
        </w:tc>
      </w:tr>
      <w:tr w:rsidR="00AC3EC2" w14:paraId="665DB3CB" w14:textId="77777777" w:rsidTr="003056B1">
        <w:tc>
          <w:tcPr>
            <w:tcW w:w="4855" w:type="dxa"/>
          </w:tcPr>
          <w:p w14:paraId="039ED860" w14:textId="1C8E66E2" w:rsidR="00AC3EC2" w:rsidRPr="00AC3EC2" w:rsidRDefault="00AC3EC2" w:rsidP="00086EF6">
            <w:pPr>
              <w:pStyle w:val="VCAAtablecondensed"/>
            </w:pPr>
            <w:r w:rsidRPr="00E5627E">
              <w:t>the contribution</w:t>
            </w:r>
            <w:r w:rsidR="001F7A9A" w:rsidRPr="00E5627E">
              <w:t>s</w:t>
            </w:r>
            <w:r w:rsidRPr="00E5627E">
              <w:t xml:space="preserve"> of scientific data, </w:t>
            </w:r>
            <w:r w:rsidR="00EB0267" w:rsidRPr="00E5627E">
              <w:t xml:space="preserve">new technologies, </w:t>
            </w:r>
            <w:r w:rsidRPr="00AC3EC2">
              <w:t xml:space="preserve">regulatory frameworks and diverse stakeholder </w:t>
            </w:r>
            <w:r w:rsidR="00220356">
              <w:t xml:space="preserve">values </w:t>
            </w:r>
            <w:r w:rsidRPr="00AC3EC2">
              <w:t xml:space="preserve">and priorities </w:t>
            </w:r>
            <w:r w:rsidR="00220356">
              <w:t>when</w:t>
            </w:r>
            <w:r w:rsidRPr="00AC3EC2">
              <w:t xml:space="preserve"> managing pollution</w:t>
            </w:r>
          </w:p>
        </w:tc>
        <w:tc>
          <w:tcPr>
            <w:tcW w:w="4860" w:type="dxa"/>
          </w:tcPr>
          <w:p w14:paraId="4DCDBCA0" w14:textId="77777777" w:rsidR="00AC3EC2" w:rsidRPr="00AC3EC2" w:rsidRDefault="00AC3EC2" w:rsidP="00086EF6">
            <w:pPr>
              <w:pStyle w:val="VCAAtablecondensedbullet"/>
              <w:tabs>
                <w:tab w:val="clear" w:pos="340"/>
              </w:tabs>
            </w:pPr>
            <w:r w:rsidRPr="00AC3EC2">
              <w:t>urban sprawl and urban infill</w:t>
            </w:r>
          </w:p>
          <w:p w14:paraId="68CA1D0A" w14:textId="77777777" w:rsidR="00AC3EC2" w:rsidRPr="00AC3EC2" w:rsidRDefault="00AC3EC2" w:rsidP="00086EF6">
            <w:pPr>
              <w:pStyle w:val="VCAAtablecondensedbullet"/>
              <w:tabs>
                <w:tab w:val="clear" w:pos="340"/>
              </w:tabs>
            </w:pPr>
            <w:r w:rsidRPr="00AC3EC2">
              <w:t>noise from industry and recreational pursuits</w:t>
            </w:r>
          </w:p>
          <w:p w14:paraId="2CC8FD73" w14:textId="77777777" w:rsidR="00AC3EC2" w:rsidRPr="00AC3EC2" w:rsidRDefault="00AC3EC2" w:rsidP="00086EF6">
            <w:pPr>
              <w:pStyle w:val="VCAAtablecondensedbullet"/>
              <w:tabs>
                <w:tab w:val="clear" w:pos="340"/>
              </w:tabs>
            </w:pPr>
            <w:r w:rsidRPr="00AC3EC2">
              <w:t>emissions from agriculture and transportation</w:t>
            </w:r>
          </w:p>
          <w:p w14:paraId="561B0A0F" w14:textId="35AFDF13" w:rsidR="00AC3EC2" w:rsidRPr="00AC3EC2" w:rsidRDefault="00AC3EC2" w:rsidP="00086EF6">
            <w:pPr>
              <w:pStyle w:val="VCAAtablecondensedbullet"/>
              <w:tabs>
                <w:tab w:val="clear" w:pos="340"/>
              </w:tabs>
            </w:pPr>
            <w:r w:rsidRPr="00AC3EC2">
              <w:t>solid waste and landfill</w:t>
            </w:r>
          </w:p>
        </w:tc>
      </w:tr>
      <w:tr w:rsidR="00AC3EC2" w14:paraId="0C6D2208" w14:textId="77777777" w:rsidTr="003056B1">
        <w:tc>
          <w:tcPr>
            <w:tcW w:w="4855" w:type="dxa"/>
          </w:tcPr>
          <w:p w14:paraId="4585A031" w14:textId="2013F8F6" w:rsidR="00AC3EC2" w:rsidRPr="00AC3EC2" w:rsidRDefault="00AC3EC2" w:rsidP="00086EF6">
            <w:pPr>
              <w:pStyle w:val="VCAAtablecondensed"/>
            </w:pPr>
            <w:r w:rsidRPr="00AC3EC2">
              <w:t>options for control and treatment of pollution to reduce local and global impacts</w:t>
            </w:r>
          </w:p>
        </w:tc>
        <w:tc>
          <w:tcPr>
            <w:tcW w:w="4860" w:type="dxa"/>
          </w:tcPr>
          <w:p w14:paraId="50B29158" w14:textId="77777777" w:rsidR="00AC3EC2" w:rsidRPr="00AC3EC2" w:rsidRDefault="00AC3EC2" w:rsidP="00086EF6">
            <w:pPr>
              <w:pStyle w:val="VCAAtablecondensedbullet"/>
              <w:tabs>
                <w:tab w:val="clear" w:pos="340"/>
              </w:tabs>
            </w:pPr>
            <w:r w:rsidRPr="00AC3EC2">
              <w:t>legislated incentives and/or penalties</w:t>
            </w:r>
          </w:p>
          <w:p w14:paraId="6D7EADAA" w14:textId="77777777" w:rsidR="00AC3EC2" w:rsidRPr="00AC3EC2" w:rsidRDefault="00AC3EC2" w:rsidP="00086EF6">
            <w:pPr>
              <w:pStyle w:val="VCAAtablecondensedbullet"/>
              <w:tabs>
                <w:tab w:val="clear" w:pos="340"/>
              </w:tabs>
            </w:pPr>
            <w:r w:rsidRPr="00AC3EC2">
              <w:t>remediation and restoration of affected sites</w:t>
            </w:r>
          </w:p>
          <w:p w14:paraId="2FD944A6" w14:textId="77777777" w:rsidR="00AC3EC2" w:rsidRPr="00AC3EC2" w:rsidRDefault="00AC3EC2" w:rsidP="00086EF6">
            <w:pPr>
              <w:pStyle w:val="VCAAtablecondensedbullet"/>
              <w:tabs>
                <w:tab w:val="clear" w:pos="340"/>
              </w:tabs>
            </w:pPr>
            <w:r w:rsidRPr="00AC3EC2">
              <w:t>new technologies</w:t>
            </w:r>
          </w:p>
          <w:p w14:paraId="3D2B71BE" w14:textId="77777777" w:rsidR="00AC3EC2" w:rsidRPr="00AC3EC2" w:rsidRDefault="00AC3EC2" w:rsidP="00086EF6">
            <w:pPr>
              <w:pStyle w:val="VCAAtablecondensedbullet"/>
              <w:tabs>
                <w:tab w:val="clear" w:pos="340"/>
              </w:tabs>
            </w:pPr>
            <w:r w:rsidRPr="00AC3EC2">
              <w:t>education</w:t>
            </w:r>
          </w:p>
          <w:p w14:paraId="325F4880" w14:textId="46B74CE8" w:rsidR="00AC3EC2" w:rsidRPr="00AC3EC2" w:rsidRDefault="00AC3EC2" w:rsidP="00086EF6">
            <w:pPr>
              <w:pStyle w:val="VCAAtablecondensedbullet"/>
              <w:tabs>
                <w:tab w:val="clear" w:pos="340"/>
              </w:tabs>
            </w:pPr>
            <w:r w:rsidRPr="00AC3EC2">
              <w:t>personal and/or institutional behavioural modification/change</w:t>
            </w:r>
          </w:p>
        </w:tc>
      </w:tr>
    </w:tbl>
    <w:p w14:paraId="31C47BDD" w14:textId="6FDD79BC" w:rsidR="00F93514" w:rsidRDefault="00F93514" w:rsidP="00086EF6">
      <w:pPr>
        <w:pStyle w:val="VCAAHeading3"/>
        <w:spacing w:after="240"/>
      </w:pPr>
      <w:r w:rsidRPr="00F93514">
        <w:t xml:space="preserve">Unit </w:t>
      </w:r>
      <w:r w:rsidR="00AC3EC2">
        <w:t xml:space="preserve">2 </w:t>
      </w:r>
      <w:r w:rsidRPr="00F93514">
        <w:t xml:space="preserve">Area of Study 2: </w:t>
      </w:r>
      <w:r w:rsidR="00AC3EC2">
        <w:t>Sustainable food systems</w:t>
      </w:r>
    </w:p>
    <w:tbl>
      <w:tblPr>
        <w:tblStyle w:val="TableGrid"/>
        <w:tblW w:w="9715" w:type="dxa"/>
        <w:tblLook w:val="04A0" w:firstRow="1" w:lastRow="0" w:firstColumn="1" w:lastColumn="0" w:noHBand="0" w:noVBand="1"/>
      </w:tblPr>
      <w:tblGrid>
        <w:gridCol w:w="4855"/>
        <w:gridCol w:w="4860"/>
      </w:tblGrid>
      <w:tr w:rsidR="00086EF6" w:rsidRPr="00086EF6" w14:paraId="4128B6A3" w14:textId="77777777" w:rsidTr="00086EF6">
        <w:tc>
          <w:tcPr>
            <w:tcW w:w="4855" w:type="dxa"/>
            <w:shd w:val="clear" w:color="auto" w:fill="0F7EB4"/>
          </w:tcPr>
          <w:p w14:paraId="7195200B" w14:textId="6F17171D" w:rsidR="00F93514" w:rsidRPr="00086EF6" w:rsidRDefault="00F93514" w:rsidP="00086EF6">
            <w:pPr>
              <w:pStyle w:val="VCAAtablecondensed"/>
              <w:rPr>
                <w:b/>
                <w:color w:val="FFFFFF" w:themeColor="background1"/>
              </w:rPr>
            </w:pPr>
            <w:r w:rsidRPr="00086EF6">
              <w:rPr>
                <w:b/>
                <w:color w:val="FFFFFF" w:themeColor="background1"/>
              </w:rPr>
              <w:t>Key knowledge point</w:t>
            </w:r>
          </w:p>
        </w:tc>
        <w:tc>
          <w:tcPr>
            <w:tcW w:w="4860" w:type="dxa"/>
            <w:shd w:val="clear" w:color="auto" w:fill="0F7EB4"/>
          </w:tcPr>
          <w:p w14:paraId="00FB3B90" w14:textId="63DEAA38" w:rsidR="00F93514" w:rsidRPr="00086EF6" w:rsidRDefault="00F93514" w:rsidP="00086EF6">
            <w:pPr>
              <w:pStyle w:val="VCAAtablecondensed"/>
              <w:rPr>
                <w:b/>
                <w:color w:val="FFFFFF" w:themeColor="background1"/>
              </w:rPr>
            </w:pPr>
            <w:r w:rsidRPr="00086EF6">
              <w:rPr>
                <w:b/>
                <w:color w:val="FFFFFF" w:themeColor="background1"/>
              </w:rPr>
              <w:t>Examples of learning contexts</w:t>
            </w:r>
          </w:p>
        </w:tc>
      </w:tr>
      <w:tr w:rsidR="00AC3EC2" w14:paraId="02B9ED2A" w14:textId="77777777" w:rsidTr="003056B1">
        <w:tc>
          <w:tcPr>
            <w:tcW w:w="4855" w:type="dxa"/>
          </w:tcPr>
          <w:p w14:paraId="3E9DA3A9" w14:textId="1E0DB6A8" w:rsidR="00AC3EC2" w:rsidRPr="00AC3EC2" w:rsidRDefault="00AC3EC2" w:rsidP="00086EF6">
            <w:pPr>
              <w:pStyle w:val="VCAAtablecondensed"/>
            </w:pPr>
            <w:r w:rsidRPr="00AC3EC2">
              <w:t>challenges to supplying adequate and affordable food in regional and global locations that achieve regional and global food security</w:t>
            </w:r>
          </w:p>
        </w:tc>
        <w:tc>
          <w:tcPr>
            <w:tcW w:w="4860" w:type="dxa"/>
          </w:tcPr>
          <w:p w14:paraId="2DA8FDE8" w14:textId="6C1B8400" w:rsidR="00974705" w:rsidRPr="00AC3EC2" w:rsidRDefault="00974705" w:rsidP="00086EF6">
            <w:pPr>
              <w:pStyle w:val="VCAAtablecondensedbullet"/>
              <w:tabs>
                <w:tab w:val="clear" w:pos="340"/>
              </w:tabs>
              <w:rPr>
                <w:rFonts w:eastAsiaTheme="minorEastAsia"/>
              </w:rPr>
            </w:pPr>
            <w:r>
              <w:t xml:space="preserve">populations: </w:t>
            </w:r>
            <w:r w:rsidR="00AC3EC2" w:rsidRPr="00AC3EC2">
              <w:t>rapid population growth</w:t>
            </w:r>
            <w:r>
              <w:t xml:space="preserve">; </w:t>
            </w:r>
            <w:r w:rsidRPr="00974705">
              <w:rPr>
                <w:rFonts w:eastAsiaTheme="minorEastAsia" w:hint="eastAsia"/>
              </w:rPr>
              <w:t xml:space="preserve">aging populations; </w:t>
            </w:r>
            <w:r w:rsidR="00AC3EC2" w:rsidRPr="00AC3EC2">
              <w:t xml:space="preserve">urbanisation, </w:t>
            </w:r>
            <w:r w:rsidR="00AC3EC2" w:rsidRPr="00974705">
              <w:rPr>
                <w:rFonts w:eastAsiaTheme="minorEastAsia"/>
              </w:rPr>
              <w:t>industrialisation and/or</w:t>
            </w:r>
            <w:r w:rsidR="00AC3EC2" w:rsidRPr="00974705">
              <w:rPr>
                <w:rFonts w:eastAsiaTheme="minorEastAsia" w:hint="eastAsia"/>
              </w:rPr>
              <w:t xml:space="preserve"> </w:t>
            </w:r>
            <w:r w:rsidR="00AC3EC2" w:rsidRPr="00AC3EC2">
              <w:t>globalisation</w:t>
            </w:r>
            <w:r>
              <w:t xml:space="preserve">; </w:t>
            </w:r>
            <w:r w:rsidRPr="00AC3EC2">
              <w:rPr>
                <w:rFonts w:eastAsiaTheme="minorEastAsia" w:hint="eastAsia"/>
              </w:rPr>
              <w:t>social instability and conflict</w:t>
            </w:r>
          </w:p>
          <w:p w14:paraId="00BAF724" w14:textId="0F251A9C" w:rsidR="00AC3EC2" w:rsidRPr="00AC3EC2" w:rsidRDefault="00AC3EC2" w:rsidP="00086EF6">
            <w:pPr>
              <w:pStyle w:val="VCAAtablecondensedbullet"/>
              <w:tabs>
                <w:tab w:val="clear" w:pos="340"/>
              </w:tabs>
              <w:rPr>
                <w:rFonts w:eastAsiaTheme="minorEastAsia"/>
              </w:rPr>
            </w:pPr>
            <w:r w:rsidRPr="00AC3EC2">
              <w:rPr>
                <w:rFonts w:eastAsiaTheme="minorEastAsia" w:hint="eastAsia"/>
              </w:rPr>
              <w:t xml:space="preserve">transportation of agricultural resources, raw foods and/or food products </w:t>
            </w:r>
          </w:p>
          <w:p w14:paraId="1FA7C3AC" w14:textId="1D7A8267" w:rsidR="00AC3EC2" w:rsidRPr="00AC3EC2" w:rsidRDefault="00AC3EC2" w:rsidP="00086EF6">
            <w:pPr>
              <w:pStyle w:val="VCAAtablecondensedbullet"/>
              <w:tabs>
                <w:tab w:val="clear" w:pos="340"/>
              </w:tabs>
            </w:pPr>
            <w:r w:rsidRPr="00AC3EC2">
              <w:t xml:space="preserve">growing wealth </w:t>
            </w:r>
          </w:p>
          <w:p w14:paraId="020A5BAE" w14:textId="7FE977F0" w:rsidR="00AC3EC2" w:rsidRPr="00AC3EC2" w:rsidRDefault="00AC3EC2" w:rsidP="00086EF6">
            <w:pPr>
              <w:pStyle w:val="VCAAtablecondensedbullet"/>
              <w:tabs>
                <w:tab w:val="clear" w:pos="340"/>
              </w:tabs>
            </w:pPr>
            <w:r w:rsidRPr="00AC3EC2">
              <w:t xml:space="preserve">changing food habits </w:t>
            </w:r>
          </w:p>
          <w:p w14:paraId="293C6296" w14:textId="3AAB402D" w:rsidR="00AC3EC2" w:rsidRPr="00AC3EC2" w:rsidRDefault="00AC3EC2" w:rsidP="00086EF6">
            <w:pPr>
              <w:pStyle w:val="VCAAtablecondensedbullet"/>
              <w:tabs>
                <w:tab w:val="clear" w:pos="340"/>
              </w:tabs>
              <w:rPr>
                <w:rFonts w:eastAsiaTheme="minorEastAsia"/>
              </w:rPr>
            </w:pPr>
            <w:r w:rsidRPr="00AC3EC2">
              <w:rPr>
                <w:rFonts w:eastAsiaTheme="minorEastAsia" w:hint="eastAsia"/>
              </w:rPr>
              <w:t xml:space="preserve">food loss and food waste practices </w:t>
            </w:r>
          </w:p>
          <w:p w14:paraId="0C9ECECA" w14:textId="56C9E047" w:rsidR="00AC3EC2" w:rsidRPr="00AC3EC2" w:rsidRDefault="00AC3EC2" w:rsidP="00086EF6">
            <w:pPr>
              <w:pStyle w:val="VCAAtablecondensedbullet"/>
              <w:tabs>
                <w:tab w:val="clear" w:pos="340"/>
              </w:tabs>
              <w:rPr>
                <w:rFonts w:eastAsiaTheme="minorEastAsia"/>
              </w:rPr>
            </w:pPr>
            <w:r w:rsidRPr="00AC3EC2">
              <w:rPr>
                <w:rFonts w:eastAsiaTheme="minorEastAsia" w:hint="eastAsia"/>
              </w:rPr>
              <w:t xml:space="preserve">land use competition between food and biofuel crops </w:t>
            </w:r>
          </w:p>
          <w:p w14:paraId="436FDAFF" w14:textId="19ADED25" w:rsidR="00AC3EC2" w:rsidRPr="00AC3EC2" w:rsidRDefault="00AC3EC2" w:rsidP="00086EF6">
            <w:pPr>
              <w:pStyle w:val="VCAAtablecondensedbullet"/>
              <w:tabs>
                <w:tab w:val="clear" w:pos="340"/>
              </w:tabs>
              <w:rPr>
                <w:rFonts w:eastAsiaTheme="minorEastAsia"/>
              </w:rPr>
            </w:pPr>
            <w:r w:rsidRPr="00AC3EC2">
              <w:rPr>
                <w:rFonts w:eastAsiaTheme="minorEastAsia" w:hint="eastAsia"/>
              </w:rPr>
              <w:t xml:space="preserve">land degradation </w:t>
            </w:r>
          </w:p>
          <w:p w14:paraId="35314AA5" w14:textId="76C8CC59" w:rsidR="00AC3EC2" w:rsidRPr="00AC3EC2" w:rsidRDefault="00AC3EC2" w:rsidP="00086EF6">
            <w:pPr>
              <w:pStyle w:val="VCAAtablecondensedbullet"/>
              <w:tabs>
                <w:tab w:val="clear" w:pos="340"/>
              </w:tabs>
              <w:rPr>
                <w:rFonts w:eastAsiaTheme="minorEastAsia"/>
              </w:rPr>
            </w:pPr>
            <w:r w:rsidRPr="00AC3EC2">
              <w:rPr>
                <w:rFonts w:eastAsiaTheme="minorEastAsia" w:hint="eastAsia"/>
              </w:rPr>
              <w:t xml:space="preserve">pollution </w:t>
            </w:r>
            <w:r w:rsidR="00566D29" w:rsidRPr="00AC3EC2">
              <w:rPr>
                <w:rFonts w:eastAsiaTheme="minorEastAsia"/>
              </w:rPr>
              <w:t>includin</w:t>
            </w:r>
            <w:r w:rsidR="00566D29" w:rsidRPr="00566D29">
              <w:rPr>
                <w:rFonts w:eastAsiaTheme="minorEastAsia"/>
              </w:rPr>
              <w:t>g</w:t>
            </w:r>
            <w:r w:rsidRPr="00566D29">
              <w:rPr>
                <w:rFonts w:eastAsiaTheme="minorEastAsia" w:hint="eastAsia"/>
              </w:rPr>
              <w:t xml:space="preserve"> </w:t>
            </w:r>
            <w:r w:rsidRPr="00AC3EC2">
              <w:rPr>
                <w:rFonts w:eastAsiaTheme="minorEastAsia" w:hint="eastAsia"/>
              </w:rPr>
              <w:t>chemicals used in or produced as by-products of industrial activities</w:t>
            </w:r>
            <w:r w:rsidR="001F7A9A">
              <w:rPr>
                <w:rFonts w:eastAsiaTheme="minorEastAsia"/>
              </w:rPr>
              <w:t xml:space="preserve"> such as the production of </w:t>
            </w:r>
            <w:r w:rsidR="001F7A9A" w:rsidRPr="00AC3EC2">
              <w:rPr>
                <w:rFonts w:eastAsiaTheme="minorEastAsia" w:hint="eastAsia"/>
              </w:rPr>
              <w:t>agrochemicals and petroleum-derived products</w:t>
            </w:r>
            <w:r w:rsidR="00F77557">
              <w:rPr>
                <w:rFonts w:eastAsiaTheme="minorEastAsia"/>
                <w:lang w:val="en-US"/>
              </w:rPr>
              <w:t>;</w:t>
            </w:r>
            <w:r w:rsidRPr="00AC3EC2">
              <w:rPr>
                <w:rFonts w:eastAsiaTheme="minorEastAsia" w:hint="eastAsia"/>
              </w:rPr>
              <w:t xml:space="preserve"> </w:t>
            </w:r>
            <w:r w:rsidR="001F7A9A">
              <w:rPr>
                <w:rFonts w:eastAsiaTheme="minorEastAsia"/>
              </w:rPr>
              <w:t xml:space="preserve">generation, impacts and management of </w:t>
            </w:r>
            <w:r w:rsidRPr="00AC3EC2">
              <w:rPr>
                <w:rFonts w:eastAsiaTheme="minorEastAsia" w:hint="eastAsia"/>
              </w:rPr>
              <w:t xml:space="preserve">domestic, livestock and municipal wastes </w:t>
            </w:r>
          </w:p>
          <w:p w14:paraId="49E574AD" w14:textId="3F0965E5" w:rsidR="00AC3EC2" w:rsidRPr="00AC3EC2" w:rsidRDefault="00AC3EC2" w:rsidP="00086EF6">
            <w:pPr>
              <w:pStyle w:val="VCAAtablecondensedbullet"/>
              <w:tabs>
                <w:tab w:val="clear" w:pos="340"/>
              </w:tabs>
            </w:pPr>
            <w:r w:rsidRPr="00AC3EC2">
              <w:rPr>
                <w:rFonts w:eastAsiaTheme="minorEastAsia" w:hint="eastAsia"/>
              </w:rPr>
              <w:t>water scarcity</w:t>
            </w:r>
          </w:p>
        </w:tc>
      </w:tr>
      <w:tr w:rsidR="00AC3EC2" w14:paraId="0CDD7700" w14:textId="77777777" w:rsidTr="003056B1">
        <w:tc>
          <w:tcPr>
            <w:tcW w:w="4855" w:type="dxa"/>
          </w:tcPr>
          <w:p w14:paraId="2E065D85" w14:textId="34D2AD0A" w:rsidR="00AC3EC2" w:rsidRPr="00AC3EC2" w:rsidRDefault="00AC3EC2" w:rsidP="00086EF6">
            <w:pPr>
              <w:pStyle w:val="VCAAtablecondensed"/>
            </w:pPr>
            <w:r w:rsidRPr="00AC3EC2">
              <w:t xml:space="preserve">qualitative </w:t>
            </w:r>
            <w:r w:rsidR="00454A1D" w:rsidRPr="00E5627E">
              <w:t>differences between</w:t>
            </w:r>
            <w:r w:rsidRPr="00E5627E">
              <w:t xml:space="preserve"> </w:t>
            </w:r>
            <w:r w:rsidRPr="00AC3EC2">
              <w:t>food produced by conventional monoculture and organic monoculture agricultural systems</w:t>
            </w:r>
          </w:p>
        </w:tc>
        <w:tc>
          <w:tcPr>
            <w:tcW w:w="4860" w:type="dxa"/>
          </w:tcPr>
          <w:p w14:paraId="0854656C" w14:textId="77777777" w:rsidR="00974705" w:rsidRPr="00AC3EC2" w:rsidRDefault="00AC3EC2" w:rsidP="00086EF6">
            <w:pPr>
              <w:pStyle w:val="VCAAtablecondensedbullet"/>
              <w:tabs>
                <w:tab w:val="clear" w:pos="340"/>
              </w:tabs>
            </w:pPr>
            <w:r w:rsidRPr="00AC3EC2">
              <w:rPr>
                <w:rFonts w:eastAsiaTheme="minorEastAsia" w:hint="eastAsia"/>
                <w:lang w:eastAsia="zh-SG"/>
              </w:rPr>
              <w:t>food quality</w:t>
            </w:r>
            <w:r w:rsidR="00974705">
              <w:rPr>
                <w:rFonts w:eastAsiaTheme="minorEastAsia"/>
                <w:lang w:eastAsia="zh-SG"/>
              </w:rPr>
              <w:t>:</w:t>
            </w:r>
            <w:r w:rsidRPr="00AC3EC2">
              <w:rPr>
                <w:rFonts w:eastAsiaTheme="minorEastAsia" w:hint="eastAsia"/>
                <w:lang w:eastAsia="zh-SG"/>
              </w:rPr>
              <w:t xml:space="preserve"> nutrient content</w:t>
            </w:r>
            <w:r w:rsidR="00974705">
              <w:rPr>
                <w:rFonts w:eastAsiaTheme="minorEastAsia"/>
                <w:lang w:eastAsia="zh-SG"/>
              </w:rPr>
              <w:t>;</w:t>
            </w:r>
            <w:r w:rsidRPr="00AC3EC2">
              <w:rPr>
                <w:rFonts w:eastAsiaTheme="minorEastAsia" w:hint="eastAsia"/>
                <w:lang w:eastAsia="zh-SG"/>
              </w:rPr>
              <w:t xml:space="preserve"> presence of pesticide and/or hormone residues</w:t>
            </w:r>
            <w:r w:rsidR="00974705">
              <w:rPr>
                <w:rFonts w:eastAsiaTheme="minorEastAsia"/>
                <w:lang w:eastAsia="zh-SG"/>
              </w:rPr>
              <w:t xml:space="preserve">; </w:t>
            </w:r>
            <w:r w:rsidR="00974705" w:rsidRPr="00AC3EC2">
              <w:t>the use of synthetic chemicals</w:t>
            </w:r>
            <w:r w:rsidR="00974705">
              <w:t xml:space="preserve">; </w:t>
            </w:r>
            <w:r w:rsidR="00974705" w:rsidRPr="00AC3EC2">
              <w:t>susceptibility of crops to pests, weeds and drought</w:t>
            </w:r>
          </w:p>
          <w:p w14:paraId="0E10A665" w14:textId="4836EA1E" w:rsidR="00974705" w:rsidRPr="00AC3EC2" w:rsidRDefault="00974705" w:rsidP="00086EF6">
            <w:pPr>
              <w:pStyle w:val="VCAAtablecondensedbullet"/>
              <w:tabs>
                <w:tab w:val="clear" w:pos="340"/>
              </w:tabs>
            </w:pPr>
            <w:r>
              <w:rPr>
                <w:rFonts w:eastAsiaTheme="minorEastAsia"/>
                <w:lang w:eastAsia="zh-SG"/>
              </w:rPr>
              <w:t xml:space="preserve">crop </w:t>
            </w:r>
            <w:r w:rsidRPr="00AC3EC2">
              <w:rPr>
                <w:rFonts w:eastAsiaTheme="minorEastAsia" w:hint="eastAsia"/>
                <w:lang w:eastAsia="zh-SG"/>
              </w:rPr>
              <w:t>yield</w:t>
            </w:r>
          </w:p>
          <w:p w14:paraId="5EC3CC90" w14:textId="25D3A776" w:rsidR="00974705" w:rsidRPr="00AC3EC2" w:rsidRDefault="00AC3EC2" w:rsidP="00086EF6">
            <w:pPr>
              <w:pStyle w:val="VCAAtablecondensedbullet"/>
              <w:tabs>
                <w:tab w:val="clear" w:pos="340"/>
              </w:tabs>
            </w:pPr>
            <w:r w:rsidRPr="00AC3EC2">
              <w:t>land area requirements</w:t>
            </w:r>
            <w:r w:rsidR="00974705">
              <w:t xml:space="preserve">: </w:t>
            </w:r>
            <w:r w:rsidR="00974705" w:rsidRPr="00974705">
              <w:rPr>
                <w:rFonts w:eastAsiaTheme="minorEastAsia"/>
                <w:lang w:eastAsia="zh-SG"/>
              </w:rPr>
              <w:t>w</w:t>
            </w:r>
            <w:r w:rsidR="00974705" w:rsidRPr="00974705">
              <w:rPr>
                <w:rFonts w:eastAsiaTheme="minorEastAsia" w:hint="eastAsia"/>
                <w:lang w:eastAsia="zh-SG"/>
              </w:rPr>
              <w:t>ater use and water quality</w:t>
            </w:r>
            <w:r w:rsidR="00F77557">
              <w:rPr>
                <w:rFonts w:eastAsiaTheme="minorEastAsia"/>
                <w:lang w:eastAsia="zh-SG"/>
              </w:rPr>
              <w:t>,</w:t>
            </w:r>
            <w:r w:rsidR="00974705" w:rsidRPr="00974705">
              <w:rPr>
                <w:rFonts w:eastAsiaTheme="minorEastAsia"/>
                <w:lang w:eastAsia="zh-SG"/>
              </w:rPr>
              <w:t xml:space="preserve"> </w:t>
            </w:r>
            <w:r w:rsidR="00974705" w:rsidRPr="00AC3EC2">
              <w:t>soil quality</w:t>
            </w:r>
            <w:r w:rsidR="00F77557">
              <w:t>,</w:t>
            </w:r>
            <w:r w:rsidR="00974705">
              <w:t xml:space="preserve"> </w:t>
            </w:r>
            <w:r w:rsidR="00974705" w:rsidRPr="00974705">
              <w:rPr>
                <w:rFonts w:eastAsiaTheme="minorEastAsia" w:hint="eastAsia"/>
                <w:lang w:eastAsia="zh-SG"/>
              </w:rPr>
              <w:t>energy use</w:t>
            </w:r>
          </w:p>
          <w:p w14:paraId="3930BF81" w14:textId="77777777" w:rsidR="00AC3EC2" w:rsidRPr="00AC3EC2" w:rsidRDefault="00AC3EC2" w:rsidP="00086EF6">
            <w:pPr>
              <w:pStyle w:val="VCAAtablecondensedbullet"/>
              <w:tabs>
                <w:tab w:val="clear" w:pos="340"/>
              </w:tabs>
            </w:pPr>
            <w:r w:rsidRPr="00AC3EC2">
              <w:rPr>
                <w:rFonts w:eastAsiaTheme="minorEastAsia" w:hint="eastAsia"/>
                <w:lang w:eastAsia="zh-SG"/>
              </w:rPr>
              <w:t>ethical treatment of animals</w:t>
            </w:r>
          </w:p>
          <w:p w14:paraId="1E2F9D65" w14:textId="77777777" w:rsidR="00AC3EC2" w:rsidRPr="00AC3EC2" w:rsidRDefault="00AC3EC2" w:rsidP="00086EF6">
            <w:pPr>
              <w:pStyle w:val="VCAAtablecondensedbullet"/>
              <w:tabs>
                <w:tab w:val="clear" w:pos="340"/>
              </w:tabs>
            </w:pPr>
            <w:r w:rsidRPr="00AC3EC2">
              <w:t>greenhouse gas emissions</w:t>
            </w:r>
          </w:p>
          <w:p w14:paraId="23B5E3E4" w14:textId="77777777" w:rsidR="00AC3EC2" w:rsidRPr="00AC3EC2" w:rsidRDefault="00AC3EC2" w:rsidP="00086EF6">
            <w:pPr>
              <w:pStyle w:val="VCAAtablecondensedbullet"/>
              <w:tabs>
                <w:tab w:val="clear" w:pos="340"/>
              </w:tabs>
            </w:pPr>
            <w:r w:rsidRPr="00AC3EC2">
              <w:t>economic and labour costs</w:t>
            </w:r>
          </w:p>
          <w:p w14:paraId="453E94C1" w14:textId="13F45E26" w:rsidR="00AC3EC2" w:rsidRPr="00AC3EC2" w:rsidRDefault="00AC3EC2" w:rsidP="00086EF6">
            <w:pPr>
              <w:pStyle w:val="VCAAtablecondensedbullet"/>
              <w:tabs>
                <w:tab w:val="clear" w:pos="340"/>
              </w:tabs>
            </w:pPr>
            <w:r w:rsidRPr="00AC3EC2">
              <w:t>maintenance of ecosystem services</w:t>
            </w:r>
          </w:p>
        </w:tc>
      </w:tr>
    </w:tbl>
    <w:p w14:paraId="0452BAE0" w14:textId="1F2978B0" w:rsidR="00401138" w:rsidRDefault="00401138" w:rsidP="00086EF6">
      <w:pPr>
        <w:pStyle w:val="VCAAHeading3"/>
        <w:spacing w:after="240"/>
      </w:pPr>
      <w:r w:rsidRPr="00F93514">
        <w:t xml:space="preserve">Unit 1 Area of Study 2: </w:t>
      </w:r>
      <w:r>
        <w:t>Ma</w:t>
      </w:r>
      <w:r w:rsidR="00974705">
        <w:t>intaining food and water security</w:t>
      </w:r>
    </w:p>
    <w:tbl>
      <w:tblPr>
        <w:tblStyle w:val="TableGrid"/>
        <w:tblW w:w="9715" w:type="dxa"/>
        <w:tblLook w:val="04A0" w:firstRow="1" w:lastRow="0" w:firstColumn="1" w:lastColumn="0" w:noHBand="0" w:noVBand="1"/>
      </w:tblPr>
      <w:tblGrid>
        <w:gridCol w:w="4856"/>
        <w:gridCol w:w="4859"/>
      </w:tblGrid>
      <w:tr w:rsidR="00086EF6" w:rsidRPr="00086EF6" w14:paraId="6628BE3A" w14:textId="77777777" w:rsidTr="00086EF6">
        <w:tc>
          <w:tcPr>
            <w:tcW w:w="4855" w:type="dxa"/>
            <w:shd w:val="clear" w:color="auto" w:fill="0F7EB4"/>
          </w:tcPr>
          <w:p w14:paraId="62430C99" w14:textId="16E0F6CE" w:rsidR="00401138" w:rsidRPr="00086EF6" w:rsidRDefault="00401138" w:rsidP="00086EF6">
            <w:pPr>
              <w:pStyle w:val="VCAAtablecondensed"/>
              <w:rPr>
                <w:b/>
                <w:color w:val="FFFFFF" w:themeColor="background1"/>
              </w:rPr>
            </w:pPr>
            <w:r w:rsidRPr="00086EF6">
              <w:rPr>
                <w:b/>
                <w:color w:val="FFFFFF" w:themeColor="background1"/>
              </w:rPr>
              <w:t>Key knowledge point</w:t>
            </w:r>
          </w:p>
        </w:tc>
        <w:tc>
          <w:tcPr>
            <w:tcW w:w="4860" w:type="dxa"/>
            <w:shd w:val="clear" w:color="auto" w:fill="0F7EB4"/>
          </w:tcPr>
          <w:p w14:paraId="414744D7" w14:textId="4F68F734" w:rsidR="00401138" w:rsidRPr="00086EF6" w:rsidRDefault="00401138" w:rsidP="00086EF6">
            <w:pPr>
              <w:pStyle w:val="VCAAtablecondensed"/>
              <w:rPr>
                <w:b/>
                <w:color w:val="FFFFFF" w:themeColor="background1"/>
              </w:rPr>
            </w:pPr>
            <w:r w:rsidRPr="00086EF6">
              <w:rPr>
                <w:b/>
                <w:color w:val="FFFFFF" w:themeColor="background1"/>
              </w:rPr>
              <w:t>Examples of learning contexts</w:t>
            </w:r>
          </w:p>
        </w:tc>
      </w:tr>
      <w:tr w:rsidR="00974705" w14:paraId="75F808E4" w14:textId="77777777" w:rsidTr="003056B1">
        <w:tc>
          <w:tcPr>
            <w:tcW w:w="4855" w:type="dxa"/>
          </w:tcPr>
          <w:p w14:paraId="562A8B95" w14:textId="0FB54B2B" w:rsidR="00974705" w:rsidRPr="00401138" w:rsidRDefault="00974705" w:rsidP="00086EF6">
            <w:pPr>
              <w:pStyle w:val="VCAAtablecondensed"/>
            </w:pPr>
            <w:r w:rsidRPr="00452D7D">
              <w:t>options for improving food security that consider organisational, political and structural enablers and barriers to change</w:t>
            </w:r>
          </w:p>
        </w:tc>
        <w:tc>
          <w:tcPr>
            <w:tcW w:w="4860" w:type="dxa"/>
          </w:tcPr>
          <w:p w14:paraId="6EC35C04" w14:textId="77777777" w:rsidR="00974705" w:rsidRPr="00452D7D" w:rsidRDefault="00974705" w:rsidP="00086EF6">
            <w:pPr>
              <w:pStyle w:val="VCAAtablecondensedbullet"/>
              <w:tabs>
                <w:tab w:val="clear" w:pos="340"/>
              </w:tabs>
            </w:pPr>
            <w:r w:rsidRPr="00452D7D">
              <w:t>government subsidies and incentives</w:t>
            </w:r>
          </w:p>
          <w:p w14:paraId="57ADE50F" w14:textId="77777777" w:rsidR="00974705" w:rsidRPr="00452D7D" w:rsidRDefault="00974705" w:rsidP="00086EF6">
            <w:pPr>
              <w:pStyle w:val="VCAAtablecondensedbullet"/>
              <w:tabs>
                <w:tab w:val="clear" w:pos="340"/>
              </w:tabs>
            </w:pPr>
            <w:r w:rsidRPr="00452D7D">
              <w:t>health and food system education</w:t>
            </w:r>
          </w:p>
          <w:p w14:paraId="453967F6" w14:textId="77777777" w:rsidR="00974705" w:rsidRPr="00452D7D" w:rsidRDefault="00974705" w:rsidP="00086EF6">
            <w:pPr>
              <w:pStyle w:val="VCAAtablecondensedbullet"/>
              <w:tabs>
                <w:tab w:val="clear" w:pos="340"/>
              </w:tabs>
            </w:pPr>
            <w:r w:rsidRPr="00452D7D">
              <w:t>advocacy by individuals, communities and organisations</w:t>
            </w:r>
          </w:p>
          <w:p w14:paraId="46561757" w14:textId="77777777" w:rsidR="00974705" w:rsidRPr="00452D7D" w:rsidRDefault="00974705" w:rsidP="00086EF6">
            <w:pPr>
              <w:pStyle w:val="VCAAtablecondensedbullet"/>
              <w:tabs>
                <w:tab w:val="clear" w:pos="340"/>
              </w:tabs>
            </w:pPr>
            <w:r w:rsidRPr="00452D7D">
              <w:t>research, development and use of new technologies</w:t>
            </w:r>
          </w:p>
          <w:p w14:paraId="3939B596" w14:textId="6FCA4FAD" w:rsidR="00974705" w:rsidRPr="00401138" w:rsidRDefault="00974705" w:rsidP="00086EF6">
            <w:pPr>
              <w:pStyle w:val="VCAAtablecondensedbullet"/>
              <w:tabs>
                <w:tab w:val="clear" w:pos="340"/>
              </w:tabs>
            </w:pPr>
            <w:r w:rsidRPr="00452D7D">
              <w:t>integration of agro-ecological farming practices</w:t>
            </w:r>
          </w:p>
        </w:tc>
      </w:tr>
      <w:tr w:rsidR="00E6783A" w14:paraId="0D4EDFA6" w14:textId="77777777" w:rsidTr="00AA176B">
        <w:trPr>
          <w:trHeight w:val="555"/>
        </w:trPr>
        <w:tc>
          <w:tcPr>
            <w:tcW w:w="4857" w:type="dxa"/>
          </w:tcPr>
          <w:p w14:paraId="0BB2BF4C" w14:textId="77777777" w:rsidR="00E6783A" w:rsidRPr="00452D7D" w:rsidRDefault="00E6783A" w:rsidP="00086EF6">
            <w:pPr>
              <w:pStyle w:val="VCAAtablecondensed"/>
            </w:pPr>
            <w:r w:rsidRPr="00452D7D">
              <w:t xml:space="preserve">the use and limitations of ecological footprint analysis, </w:t>
            </w:r>
            <w:r w:rsidRPr="00452D7D">
              <w:rPr>
                <w:rFonts w:hint="eastAsia"/>
              </w:rPr>
              <w:t>in terms of the</w:t>
            </w:r>
            <w:r w:rsidRPr="00452D7D">
              <w:t xml:space="preserve"> sustainability </w:t>
            </w:r>
            <w:r w:rsidRPr="00452D7D">
              <w:rPr>
                <w:rFonts w:hint="eastAsia"/>
              </w:rPr>
              <w:t>principles of</w:t>
            </w:r>
            <w:r w:rsidRPr="00452D7D">
              <w:t xml:space="preserve"> intragenerational equity and the efficient use of resources</w:t>
            </w:r>
            <w:r w:rsidRPr="00452D7D">
              <w:rPr>
                <w:rFonts w:hint="eastAsia"/>
              </w:rPr>
              <w:t xml:space="preserve"> </w:t>
            </w:r>
          </w:p>
        </w:tc>
        <w:tc>
          <w:tcPr>
            <w:tcW w:w="4858" w:type="dxa"/>
          </w:tcPr>
          <w:p w14:paraId="306D1418" w14:textId="449B07AD" w:rsidR="00046136" w:rsidRDefault="00046136" w:rsidP="00086EF6">
            <w:pPr>
              <w:pStyle w:val="VCAAtablecondensedbullet"/>
              <w:tabs>
                <w:tab w:val="clear" w:pos="340"/>
              </w:tabs>
            </w:pPr>
            <w:r>
              <w:t>advantages of ecological footprint analysis: easy comparisons between goods, activities and services; easy to make links between local and global consumption; t</w:t>
            </w:r>
            <w:r w:rsidRPr="00E5627E">
              <w:t>he relationship between different impacts can be explored</w:t>
            </w:r>
            <w:r>
              <w:t>;</w:t>
            </w:r>
            <w:r w:rsidRPr="00046136">
              <w:t xml:space="preserve"> </w:t>
            </w:r>
            <w:r w:rsidRPr="00E5627E">
              <w:t>values are based on ecological realities rather than arbitrary weightings</w:t>
            </w:r>
          </w:p>
          <w:p w14:paraId="75A67120" w14:textId="012F35AC" w:rsidR="00E6783A" w:rsidRPr="00452D7D" w:rsidRDefault="00E6783A" w:rsidP="00086EF6">
            <w:pPr>
              <w:pStyle w:val="VCAAtablecondensedbullet"/>
              <w:tabs>
                <w:tab w:val="clear" w:pos="340"/>
              </w:tabs>
            </w:pPr>
            <w:r>
              <w:t xml:space="preserve">limitations of ecological footprint analysis such as: assumptions in calculations are not always identified; </w:t>
            </w:r>
            <w:r w:rsidRPr="00E5627E">
              <w:t xml:space="preserve">calculations are often </w:t>
            </w:r>
            <w:r w:rsidR="00E26E0B">
              <w:t>limited</w:t>
            </w:r>
            <w:r w:rsidRPr="00E5627E">
              <w:t xml:space="preserve"> by poor data availability</w:t>
            </w:r>
            <w:r w:rsidR="00E26E0B">
              <w:t>;</w:t>
            </w:r>
            <w:r>
              <w:t xml:space="preserve"> oversimplification of</w:t>
            </w:r>
            <w:r w:rsidR="00E26E0B">
              <w:t xml:space="preserve"> environmental </w:t>
            </w:r>
            <w:r>
              <w:t>impacts due to aggregated data; calculations do not take into account land degradation</w:t>
            </w:r>
          </w:p>
        </w:tc>
      </w:tr>
      <w:tr w:rsidR="00E6783A" w14:paraId="1DE2C195" w14:textId="77777777" w:rsidTr="00AA176B">
        <w:trPr>
          <w:trHeight w:val="555"/>
        </w:trPr>
        <w:tc>
          <w:tcPr>
            <w:tcW w:w="4857" w:type="dxa"/>
          </w:tcPr>
          <w:p w14:paraId="737B4170" w14:textId="37AB78DE" w:rsidR="00E6783A" w:rsidRPr="00452D7D" w:rsidRDefault="00E6783A" w:rsidP="00086EF6">
            <w:pPr>
              <w:pStyle w:val="VCAAtablecondensed"/>
            </w:pPr>
            <w:r w:rsidRPr="00452D7D">
              <w:t xml:space="preserve">the ecological footprint of </w:t>
            </w:r>
            <w:r w:rsidRPr="00452D7D">
              <w:rPr>
                <w:rFonts w:hint="eastAsia"/>
              </w:rPr>
              <w:t>either</w:t>
            </w:r>
            <w:r w:rsidRPr="00452D7D">
              <w:t xml:space="preserve"> an individual, local and/or international community or business</w:t>
            </w:r>
            <w:r w:rsidRPr="00452D7D">
              <w:rPr>
                <w:rFonts w:hint="eastAsia"/>
              </w:rPr>
              <w:t xml:space="preserve">, or </w:t>
            </w:r>
            <w:r w:rsidRPr="00452D7D">
              <w:t>a local or imported raw food and/or food product</w:t>
            </w:r>
          </w:p>
        </w:tc>
        <w:tc>
          <w:tcPr>
            <w:tcW w:w="4858" w:type="dxa"/>
          </w:tcPr>
          <w:p w14:paraId="411738A6" w14:textId="584E2340" w:rsidR="00E6783A" w:rsidRDefault="00046136" w:rsidP="00086EF6">
            <w:pPr>
              <w:pStyle w:val="VCAAtablecondensedbullet"/>
              <w:tabs>
                <w:tab w:val="clear" w:pos="340"/>
              </w:tabs>
            </w:pPr>
            <w:r>
              <w:t xml:space="preserve">use of online </w:t>
            </w:r>
            <w:r w:rsidR="00E6783A">
              <w:t>carbon footprint calculator</w:t>
            </w:r>
            <w:r>
              <w:t>s</w:t>
            </w:r>
            <w:r w:rsidR="00E6783A">
              <w:t xml:space="preserve"> </w:t>
            </w:r>
          </w:p>
          <w:p w14:paraId="6014ED5C" w14:textId="5C02887E" w:rsidR="00E6783A" w:rsidRPr="00452D7D" w:rsidRDefault="00046136" w:rsidP="00086EF6">
            <w:pPr>
              <w:pStyle w:val="VCAAtablecondensedbullet"/>
              <w:tabs>
                <w:tab w:val="clear" w:pos="340"/>
              </w:tabs>
            </w:pPr>
            <w:r>
              <w:t xml:space="preserve">use of online </w:t>
            </w:r>
            <w:r w:rsidR="00E6783A">
              <w:t>water footprint calculator</w:t>
            </w:r>
            <w:r>
              <w:t>s</w:t>
            </w:r>
          </w:p>
        </w:tc>
      </w:tr>
      <w:tr w:rsidR="00974705" w14:paraId="10711E32" w14:textId="77777777" w:rsidTr="003056B1">
        <w:tc>
          <w:tcPr>
            <w:tcW w:w="4855" w:type="dxa"/>
          </w:tcPr>
          <w:p w14:paraId="7C756774" w14:textId="48302AFE" w:rsidR="00974705" w:rsidRPr="00401138" w:rsidRDefault="00974705" w:rsidP="00086EF6">
            <w:pPr>
              <w:pStyle w:val="VCAAtablecondensed"/>
            </w:pPr>
            <w:r w:rsidRPr="00452D7D">
              <w:t>options for decreasing water demand and improving water-use efficiency</w:t>
            </w:r>
          </w:p>
        </w:tc>
        <w:tc>
          <w:tcPr>
            <w:tcW w:w="4860" w:type="dxa"/>
          </w:tcPr>
          <w:p w14:paraId="1BE04013" w14:textId="77777777" w:rsidR="00974705" w:rsidRPr="00452D7D" w:rsidRDefault="00974705" w:rsidP="00086EF6">
            <w:pPr>
              <w:pStyle w:val="VCAAtablecondensedbullet"/>
              <w:tabs>
                <w:tab w:val="clear" w:pos="340"/>
              </w:tabs>
            </w:pPr>
            <w:r w:rsidRPr="00452D7D">
              <w:t>installation of water-efficient devices</w:t>
            </w:r>
          </w:p>
          <w:p w14:paraId="0506DEAA" w14:textId="77777777" w:rsidR="00974705" w:rsidRPr="00452D7D" w:rsidRDefault="00974705" w:rsidP="00086EF6">
            <w:pPr>
              <w:pStyle w:val="VCAAtablecondensedbullet"/>
              <w:tabs>
                <w:tab w:val="clear" w:pos="340"/>
              </w:tabs>
            </w:pPr>
            <w:r w:rsidRPr="00452D7D">
              <w:t>water restrictions</w:t>
            </w:r>
          </w:p>
          <w:p w14:paraId="7398D75A" w14:textId="77777777" w:rsidR="00974705" w:rsidRPr="00452D7D" w:rsidRDefault="00974705" w:rsidP="00086EF6">
            <w:pPr>
              <w:pStyle w:val="VCAAtablecondensedbullet"/>
              <w:tabs>
                <w:tab w:val="clear" w:pos="340"/>
              </w:tabs>
            </w:pPr>
            <w:r w:rsidRPr="00452D7D">
              <w:t>government subsidies</w:t>
            </w:r>
          </w:p>
          <w:p w14:paraId="498A8F5B" w14:textId="0B2ABE1C" w:rsidR="00974705" w:rsidRPr="00452D7D" w:rsidRDefault="00974705" w:rsidP="00086EF6">
            <w:pPr>
              <w:pStyle w:val="VCAAtablecondensedbullet"/>
              <w:tabs>
                <w:tab w:val="clear" w:pos="340"/>
              </w:tabs>
            </w:pPr>
            <w:r w:rsidRPr="00452D7D">
              <w:t>application of the user</w:t>
            </w:r>
            <w:r w:rsidR="00AB7D52">
              <w:rPr>
                <w:rFonts w:eastAsiaTheme="minorEastAsia"/>
                <w:lang w:val="en-US" w:eastAsia="zh-SG"/>
              </w:rPr>
              <w:t>-</w:t>
            </w:r>
            <w:r w:rsidRPr="00452D7D">
              <w:t>pays principle to recover costs of treatment and pumping of water, or brackish and seawater desalination</w:t>
            </w:r>
          </w:p>
          <w:p w14:paraId="63AA730B" w14:textId="77777777" w:rsidR="00974705" w:rsidRPr="00452D7D" w:rsidRDefault="00974705" w:rsidP="00086EF6">
            <w:pPr>
              <w:pStyle w:val="VCAAtablecondensedbullet"/>
              <w:tabs>
                <w:tab w:val="clear" w:pos="340"/>
              </w:tabs>
            </w:pPr>
            <w:r w:rsidRPr="00452D7D">
              <w:t>advanced wastewater treatment</w:t>
            </w:r>
          </w:p>
          <w:p w14:paraId="1D0C56CC" w14:textId="77777777" w:rsidR="00974705" w:rsidRPr="00452D7D" w:rsidRDefault="00974705" w:rsidP="00086EF6">
            <w:pPr>
              <w:pStyle w:val="VCAAtablecondensedbullet"/>
              <w:tabs>
                <w:tab w:val="clear" w:pos="340"/>
              </w:tabs>
            </w:pPr>
            <w:r w:rsidRPr="00452D7D">
              <w:t>alternative dietary choices</w:t>
            </w:r>
          </w:p>
          <w:p w14:paraId="7D6A95DD" w14:textId="77777777" w:rsidR="00974705" w:rsidRPr="00452D7D" w:rsidRDefault="00974705" w:rsidP="00086EF6">
            <w:pPr>
              <w:pStyle w:val="VCAAtablecondensedbullet"/>
              <w:tabs>
                <w:tab w:val="clear" w:pos="340"/>
              </w:tabs>
            </w:pPr>
            <w:r w:rsidRPr="00452D7D">
              <w:t>alternative crop selection</w:t>
            </w:r>
          </w:p>
          <w:p w14:paraId="7D04439B" w14:textId="77777777" w:rsidR="00974705" w:rsidRPr="00452D7D" w:rsidRDefault="00974705" w:rsidP="00086EF6">
            <w:pPr>
              <w:pStyle w:val="VCAAtablecondensedbullet"/>
              <w:tabs>
                <w:tab w:val="clear" w:pos="340"/>
              </w:tabs>
            </w:pPr>
            <w:r w:rsidRPr="00452D7D">
              <w:t>reduction of use of crops for biofuels</w:t>
            </w:r>
          </w:p>
          <w:p w14:paraId="27A2891F" w14:textId="77777777" w:rsidR="00974705" w:rsidRPr="00452D7D" w:rsidRDefault="00974705" w:rsidP="00086EF6">
            <w:pPr>
              <w:pStyle w:val="VCAAtablecondensedbullet"/>
              <w:tabs>
                <w:tab w:val="clear" w:pos="340"/>
              </w:tabs>
            </w:pPr>
            <w:r w:rsidRPr="00452D7D">
              <w:t>advocacy by individuals, communities and industry</w:t>
            </w:r>
          </w:p>
          <w:p w14:paraId="2E94759F" w14:textId="21732ED3" w:rsidR="00974705" w:rsidRPr="00401138" w:rsidRDefault="00974705" w:rsidP="00086EF6">
            <w:pPr>
              <w:pStyle w:val="VCAAtablecondensedbullet"/>
              <w:tabs>
                <w:tab w:val="clear" w:pos="340"/>
              </w:tabs>
            </w:pPr>
            <w:r w:rsidRPr="00452D7D">
              <w:t>use of land management techniques that slow water run-off, increase water percolation into the soil and reduce evapotranspiration</w:t>
            </w:r>
          </w:p>
        </w:tc>
      </w:tr>
    </w:tbl>
    <w:p w14:paraId="6AB0B764" w14:textId="57EF1D76" w:rsidR="00FE6C42" w:rsidRDefault="00FE6C42" w:rsidP="00086EF6">
      <w:pPr>
        <w:pStyle w:val="VCAAHeading3"/>
        <w:spacing w:after="240"/>
      </w:pPr>
      <w:r w:rsidRPr="00F93514">
        <w:t xml:space="preserve">Unit </w:t>
      </w:r>
      <w:r w:rsidR="00974705">
        <w:t>2</w:t>
      </w:r>
      <w:r w:rsidRPr="00F93514">
        <w:t xml:space="preserve"> Area of Study </w:t>
      </w:r>
      <w:r>
        <w:t>3</w:t>
      </w:r>
      <w:r w:rsidRPr="00F93514">
        <w:t xml:space="preserve">: </w:t>
      </w:r>
      <w:r>
        <w:t>Investigation design, scientific evidence and science communication</w:t>
      </w:r>
    </w:p>
    <w:tbl>
      <w:tblPr>
        <w:tblStyle w:val="TableGrid"/>
        <w:tblW w:w="9715" w:type="dxa"/>
        <w:tblLook w:val="04A0" w:firstRow="1" w:lastRow="0" w:firstColumn="1" w:lastColumn="0" w:noHBand="0" w:noVBand="1"/>
      </w:tblPr>
      <w:tblGrid>
        <w:gridCol w:w="4855"/>
        <w:gridCol w:w="4860"/>
      </w:tblGrid>
      <w:tr w:rsidR="00086EF6" w:rsidRPr="00086EF6" w14:paraId="28782FF3" w14:textId="77777777" w:rsidTr="00086EF6">
        <w:tc>
          <w:tcPr>
            <w:tcW w:w="4855" w:type="dxa"/>
            <w:shd w:val="clear" w:color="auto" w:fill="0F7EB4"/>
          </w:tcPr>
          <w:p w14:paraId="5C0DC1F0" w14:textId="29EA848C" w:rsidR="00FE6C42" w:rsidRPr="00086EF6" w:rsidRDefault="00FE6C42" w:rsidP="00086EF6">
            <w:pPr>
              <w:pStyle w:val="VCAAtablecondensed"/>
              <w:rPr>
                <w:b/>
                <w:color w:val="FFFFFF" w:themeColor="background1"/>
              </w:rPr>
            </w:pPr>
            <w:r w:rsidRPr="00086EF6">
              <w:rPr>
                <w:b/>
                <w:color w:val="FFFFFF" w:themeColor="background1"/>
              </w:rPr>
              <w:t>Key aspects of the student investigation</w:t>
            </w:r>
          </w:p>
        </w:tc>
        <w:tc>
          <w:tcPr>
            <w:tcW w:w="4860" w:type="dxa"/>
            <w:shd w:val="clear" w:color="auto" w:fill="0F7EB4"/>
          </w:tcPr>
          <w:p w14:paraId="16D5F081" w14:textId="77777777" w:rsidR="00FE6C42" w:rsidRPr="00086EF6" w:rsidRDefault="00FE6C42" w:rsidP="00086EF6">
            <w:pPr>
              <w:pStyle w:val="VCAAtablecondensed"/>
              <w:rPr>
                <w:b/>
                <w:color w:val="FFFFFF" w:themeColor="background1"/>
              </w:rPr>
            </w:pPr>
            <w:r w:rsidRPr="00086EF6">
              <w:rPr>
                <w:b/>
                <w:color w:val="FFFFFF" w:themeColor="background1"/>
              </w:rPr>
              <w:t>Examples of learning contexts</w:t>
            </w:r>
          </w:p>
        </w:tc>
      </w:tr>
      <w:tr w:rsidR="00FE6C42" w14:paraId="0A39F9DC" w14:textId="77777777" w:rsidTr="00A478C2">
        <w:tc>
          <w:tcPr>
            <w:tcW w:w="4855" w:type="dxa"/>
          </w:tcPr>
          <w:p w14:paraId="189CD2D5" w14:textId="77777777" w:rsidR="00FE6C42" w:rsidRDefault="00FE6C42" w:rsidP="00086EF6">
            <w:pPr>
              <w:pStyle w:val="VCAAtablecondensed"/>
            </w:pPr>
            <w:r>
              <w:t>environmental science concepts relevant to the student investigation</w:t>
            </w:r>
          </w:p>
          <w:p w14:paraId="663A07AE" w14:textId="77777777" w:rsidR="00FE6C42" w:rsidRDefault="00FE6C42" w:rsidP="00FE6C42">
            <w:pPr>
              <w:pStyle w:val="ListParagraph"/>
              <w:numPr>
                <w:ilvl w:val="0"/>
                <w:numId w:val="12"/>
              </w:numPr>
            </w:pPr>
            <w:r>
              <w:t>selection and approval of methodology and method</w:t>
            </w:r>
          </w:p>
          <w:p w14:paraId="5AAEA46D" w14:textId="77777777" w:rsidR="00FE6C42" w:rsidRDefault="00FE6C42" w:rsidP="00FE6C42">
            <w:pPr>
              <w:pStyle w:val="ListParagraph"/>
              <w:numPr>
                <w:ilvl w:val="0"/>
                <w:numId w:val="12"/>
              </w:numPr>
            </w:pPr>
            <w:r>
              <w:t>techniques of primary data generation</w:t>
            </w:r>
            <w:bookmarkStart w:id="0" w:name="_GoBack"/>
            <w:bookmarkEnd w:id="0"/>
          </w:p>
          <w:p w14:paraId="74180A57" w14:textId="77777777" w:rsidR="00FE6C42" w:rsidRDefault="00FE6C42" w:rsidP="00FE6C42">
            <w:pPr>
              <w:pStyle w:val="ListParagraph"/>
              <w:numPr>
                <w:ilvl w:val="0"/>
                <w:numId w:val="12"/>
              </w:numPr>
            </w:pPr>
            <w:r>
              <w:t>analysis and evaluation of data</w:t>
            </w:r>
          </w:p>
          <w:p w14:paraId="25D441C4" w14:textId="2EA927C1" w:rsidR="00FE6C42" w:rsidRPr="00401138" w:rsidRDefault="00195286" w:rsidP="00FE6C42">
            <w:pPr>
              <w:pStyle w:val="ListParagraph"/>
              <w:numPr>
                <w:ilvl w:val="0"/>
                <w:numId w:val="12"/>
              </w:numPr>
            </w:pPr>
            <w:r>
              <w:t>science communication</w:t>
            </w:r>
          </w:p>
        </w:tc>
        <w:tc>
          <w:tcPr>
            <w:tcW w:w="4860" w:type="dxa"/>
          </w:tcPr>
          <w:p w14:paraId="5AF5EA48" w14:textId="6C9B0107" w:rsidR="00FE6C42" w:rsidRDefault="00FE6C42" w:rsidP="00086EF6">
            <w:pPr>
              <w:pStyle w:val="VCAAtablecondensed"/>
            </w:pPr>
            <w:r>
              <w:t>Content of the student investigation may relate to Area of Study 1 and/or Area of Study 2 and may involve one of seven practical scientific methodologies:</w:t>
            </w:r>
          </w:p>
          <w:p w14:paraId="11834961" w14:textId="72CB128F" w:rsidR="00FE6C42" w:rsidRDefault="00FE6C42" w:rsidP="00086EF6">
            <w:pPr>
              <w:pStyle w:val="VCAAtablecondensedbullet"/>
              <w:tabs>
                <w:tab w:val="clear" w:pos="340"/>
              </w:tabs>
            </w:pPr>
            <w:r>
              <w:t>classification and identification</w:t>
            </w:r>
          </w:p>
          <w:p w14:paraId="7393FB5F" w14:textId="7D8E1CA7" w:rsidR="00FE6C42" w:rsidRDefault="00FE6C42" w:rsidP="00086EF6">
            <w:pPr>
              <w:pStyle w:val="VCAAtablecondensedbullet"/>
              <w:tabs>
                <w:tab w:val="clear" w:pos="340"/>
              </w:tabs>
            </w:pPr>
            <w:r>
              <w:t>controlled experiment</w:t>
            </w:r>
          </w:p>
          <w:p w14:paraId="4FEE2A2E" w14:textId="4233B276" w:rsidR="00FE6C42" w:rsidRDefault="00FE6C42" w:rsidP="00086EF6">
            <w:pPr>
              <w:pStyle w:val="VCAAtablecondensedbullet"/>
              <w:tabs>
                <w:tab w:val="clear" w:pos="340"/>
              </w:tabs>
            </w:pPr>
            <w:r>
              <w:t>correlational study</w:t>
            </w:r>
          </w:p>
          <w:p w14:paraId="54522285" w14:textId="729183C3" w:rsidR="00FE6C42" w:rsidRDefault="00FE6C42" w:rsidP="00086EF6">
            <w:pPr>
              <w:pStyle w:val="VCAAtablecondensedbullet"/>
              <w:tabs>
                <w:tab w:val="clear" w:pos="340"/>
              </w:tabs>
            </w:pPr>
            <w:r>
              <w:t>fieldwork</w:t>
            </w:r>
          </w:p>
          <w:p w14:paraId="5378B90A" w14:textId="2E402AD5" w:rsidR="00FE6C42" w:rsidRDefault="00FE6C42" w:rsidP="00086EF6">
            <w:pPr>
              <w:pStyle w:val="VCAAtablecondensedbullet"/>
              <w:tabs>
                <w:tab w:val="clear" w:pos="340"/>
              </w:tabs>
            </w:pPr>
            <w:r>
              <w:t>modelling</w:t>
            </w:r>
          </w:p>
          <w:p w14:paraId="6EB80471" w14:textId="30B62F7A" w:rsidR="00FE6C42" w:rsidRDefault="00FE6C42" w:rsidP="00086EF6">
            <w:pPr>
              <w:pStyle w:val="VCAAtablecondensedbullet"/>
              <w:tabs>
                <w:tab w:val="clear" w:pos="340"/>
              </w:tabs>
            </w:pPr>
            <w:r>
              <w:t>product, process or system development</w:t>
            </w:r>
          </w:p>
          <w:p w14:paraId="162E532F" w14:textId="1C88A7CD" w:rsidR="00C6188F" w:rsidRPr="00401138" w:rsidRDefault="00FE6C42" w:rsidP="00086EF6">
            <w:pPr>
              <w:pStyle w:val="VCAAtablecondensedbullet"/>
              <w:tabs>
                <w:tab w:val="clear" w:pos="340"/>
              </w:tabs>
            </w:pPr>
            <w:r>
              <w:t>simulation</w:t>
            </w:r>
          </w:p>
        </w:tc>
      </w:tr>
    </w:tbl>
    <w:p w14:paraId="6D3320D8" w14:textId="77777777" w:rsidR="00FE6C42" w:rsidRDefault="00FE6C42" w:rsidP="00FE6C42"/>
    <w:sectPr w:rsidR="00FE6C42" w:rsidSect="00894C1B">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0808C" w14:textId="77777777" w:rsidR="00F77557" w:rsidRDefault="00F77557">
      <w:pPr>
        <w:spacing w:after="0" w:line="240" w:lineRule="auto"/>
      </w:pPr>
      <w:r>
        <w:separator/>
      </w:r>
    </w:p>
  </w:endnote>
  <w:endnote w:type="continuationSeparator" w:id="0">
    <w:p w14:paraId="03D982D4" w14:textId="77777777" w:rsidR="00F77557" w:rsidRDefault="00F7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086EF6" w:rsidRPr="00086EF6" w14:paraId="0CAEBA46" w14:textId="77777777" w:rsidTr="00F73D26">
      <w:trPr>
        <w:trHeight w:val="476"/>
      </w:trPr>
      <w:tc>
        <w:tcPr>
          <w:tcW w:w="1667" w:type="pct"/>
          <w:tcMar>
            <w:left w:w="0" w:type="dxa"/>
            <w:right w:w="0" w:type="dxa"/>
          </w:tcMar>
        </w:tcPr>
        <w:p w14:paraId="7F6F6143" w14:textId="77777777" w:rsidR="00F77557" w:rsidRPr="00D06414" w:rsidRDefault="00F77557"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F77557" w:rsidRPr="00D06414" w:rsidRDefault="00F77557"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33CC5C0D" w:rsidR="00F77557" w:rsidRPr="00086EF6" w:rsidRDefault="00F77557" w:rsidP="00F73D26">
          <w:pPr>
            <w:tabs>
              <w:tab w:val="right" w:pos="9639"/>
            </w:tabs>
            <w:spacing w:before="120" w:line="240" w:lineRule="exact"/>
            <w:jc w:val="right"/>
            <w:rPr>
              <w:rFonts w:ascii="Arial" w:hAnsi="Arial" w:cs="Arial"/>
              <w:color w:val="BFBFBF" w:themeColor="background1" w:themeShade="BF"/>
              <w:sz w:val="18"/>
              <w:szCs w:val="18"/>
            </w:rPr>
          </w:pPr>
          <w:r w:rsidRPr="00086EF6">
            <w:rPr>
              <w:rFonts w:ascii="Arial" w:hAnsi="Arial" w:cs="Arial"/>
              <w:color w:val="BFBFBF" w:themeColor="background1" w:themeShade="BF"/>
              <w:sz w:val="18"/>
              <w:szCs w:val="18"/>
            </w:rPr>
            <w:t xml:space="preserve">Page </w:t>
          </w:r>
          <w:r w:rsidRPr="00086EF6">
            <w:rPr>
              <w:rFonts w:ascii="Arial" w:hAnsi="Arial" w:cs="Arial"/>
              <w:color w:val="BFBFBF" w:themeColor="background1" w:themeShade="BF"/>
              <w:sz w:val="18"/>
              <w:szCs w:val="18"/>
            </w:rPr>
            <w:fldChar w:fldCharType="begin"/>
          </w:r>
          <w:r w:rsidRPr="00086EF6">
            <w:rPr>
              <w:rFonts w:ascii="Arial" w:hAnsi="Arial" w:cs="Arial"/>
              <w:color w:val="BFBFBF" w:themeColor="background1" w:themeShade="BF"/>
              <w:sz w:val="18"/>
              <w:szCs w:val="18"/>
            </w:rPr>
            <w:instrText xml:space="preserve"> PAGE   \* MERGEFORMAT </w:instrText>
          </w:r>
          <w:r w:rsidRPr="00086EF6">
            <w:rPr>
              <w:rFonts w:ascii="Arial" w:hAnsi="Arial" w:cs="Arial"/>
              <w:color w:val="BFBFBF" w:themeColor="background1" w:themeShade="BF"/>
              <w:sz w:val="18"/>
              <w:szCs w:val="18"/>
            </w:rPr>
            <w:fldChar w:fldCharType="separate"/>
          </w:r>
          <w:r w:rsidR="00086EF6">
            <w:rPr>
              <w:rFonts w:ascii="Arial" w:hAnsi="Arial" w:cs="Arial"/>
              <w:noProof/>
              <w:color w:val="BFBFBF" w:themeColor="background1" w:themeShade="BF"/>
              <w:sz w:val="18"/>
              <w:szCs w:val="18"/>
            </w:rPr>
            <w:t>3</w:t>
          </w:r>
          <w:r w:rsidRPr="00086EF6">
            <w:rPr>
              <w:rFonts w:ascii="Arial" w:hAnsi="Arial" w:cs="Arial"/>
              <w:color w:val="BFBFBF" w:themeColor="background1" w:themeShade="BF"/>
              <w:sz w:val="18"/>
              <w:szCs w:val="18"/>
            </w:rPr>
            <w:fldChar w:fldCharType="end"/>
          </w:r>
        </w:p>
      </w:tc>
    </w:tr>
  </w:tbl>
  <w:p w14:paraId="262CCD9F" w14:textId="77777777" w:rsidR="00F77557" w:rsidRPr="00D06414" w:rsidRDefault="00F77557"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77557" w:rsidRPr="00D06414" w14:paraId="55835A71" w14:textId="77777777" w:rsidTr="00F73D26">
      <w:tc>
        <w:tcPr>
          <w:tcW w:w="1459" w:type="pct"/>
          <w:tcMar>
            <w:left w:w="0" w:type="dxa"/>
            <w:right w:w="0" w:type="dxa"/>
          </w:tcMar>
        </w:tcPr>
        <w:p w14:paraId="122313E0" w14:textId="77777777" w:rsidR="00F77557" w:rsidRPr="00D06414" w:rsidRDefault="00F77557"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F77557" w:rsidRPr="00D06414" w:rsidRDefault="00F77557"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F77557" w:rsidRPr="00D06414" w:rsidRDefault="00F77557"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F77557" w:rsidRPr="00D06414" w:rsidRDefault="00F77557"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D9757" w14:textId="77777777" w:rsidR="00F77557" w:rsidRDefault="00F77557">
      <w:pPr>
        <w:spacing w:after="0" w:line="240" w:lineRule="auto"/>
      </w:pPr>
      <w:r>
        <w:separator/>
      </w:r>
    </w:p>
  </w:footnote>
  <w:footnote w:type="continuationSeparator" w:id="0">
    <w:p w14:paraId="06E9C398" w14:textId="77777777" w:rsidR="00F77557" w:rsidRDefault="00F7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868" w14:textId="1FCB92DF" w:rsidR="00F77557" w:rsidRPr="00086EF6" w:rsidRDefault="00086EF6" w:rsidP="00F73D26">
    <w:pPr>
      <w:pStyle w:val="VCAAcaptionsandfootnotes"/>
      <w:rPr>
        <w:color w:val="BFBFBF" w:themeColor="background1" w:themeShade="BF"/>
      </w:rPr>
    </w:pPr>
    <w:sdt>
      <w:sdtPr>
        <w:rPr>
          <w:color w:val="BFBFBF" w:themeColor="background1" w:themeShade="BF"/>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rPr>
          <w:color w:val="BFBFBF" w:themeColor="background1" w:themeShade="BF"/>
        </w:rPr>
      </w:sdtEndPr>
      <w:sdtContent>
        <w:r w:rsidR="00F77557" w:rsidRPr="00086EF6">
          <w:rPr>
            <w:color w:val="BFBFBF" w:themeColor="background1" w:themeShade="BF"/>
          </w:rPr>
          <w:t>Unit 2 Environmental Science learning context examples</w:t>
        </w:r>
      </w:sdtContent>
    </w:sdt>
    <w:r w:rsidR="00F77557" w:rsidRPr="00086EF6">
      <w:rPr>
        <w:color w:val="BFBFBF" w:themeColor="background1"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365" w14:textId="77777777" w:rsidR="00F77557" w:rsidRPr="009370BC" w:rsidRDefault="00F77557" w:rsidP="00F73D26">
    <w:pPr>
      <w:spacing w:after="0"/>
      <w:ind w:right="-142"/>
      <w:jc w:val="right"/>
    </w:pPr>
    <w:r>
      <w:rPr>
        <w:noProof/>
        <w:lang w:eastAsia="ja-JP"/>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4F"/>
    <w:multiLevelType w:val="hybridMultilevel"/>
    <w:tmpl w:val="08E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0D7B"/>
    <w:multiLevelType w:val="hybridMultilevel"/>
    <w:tmpl w:val="C554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0F8A"/>
    <w:multiLevelType w:val="hybridMultilevel"/>
    <w:tmpl w:val="9970C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1666E0"/>
    <w:multiLevelType w:val="hybridMultilevel"/>
    <w:tmpl w:val="184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7A73"/>
    <w:multiLevelType w:val="hybridMultilevel"/>
    <w:tmpl w:val="E78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32DFC"/>
    <w:multiLevelType w:val="hybridMultilevel"/>
    <w:tmpl w:val="48D0B25A"/>
    <w:lvl w:ilvl="0" w:tplc="A710BAE4">
      <w:numFmt w:val="bullet"/>
      <w:lvlText w:val="-"/>
      <w:lvlJc w:val="left"/>
      <w:pPr>
        <w:ind w:left="1080" w:hanging="360"/>
      </w:pPr>
      <w:rPr>
        <w:rFonts w:ascii="Calibri" w:eastAsiaTheme="minorHAnsi" w:hAnsi="Calibri" w:cs="Calibri" w:hint="default"/>
        <w:color w:val="548DD4" w:themeColor="text2" w:themeTint="9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15E44"/>
    <w:multiLevelType w:val="hybridMultilevel"/>
    <w:tmpl w:val="21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706C9"/>
    <w:multiLevelType w:val="hybridMultilevel"/>
    <w:tmpl w:val="E87C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07B45"/>
    <w:multiLevelType w:val="hybridMultilevel"/>
    <w:tmpl w:val="CE8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A2B69"/>
    <w:multiLevelType w:val="hybridMultilevel"/>
    <w:tmpl w:val="4B0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25157"/>
    <w:multiLevelType w:val="hybridMultilevel"/>
    <w:tmpl w:val="9FA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257F"/>
    <w:multiLevelType w:val="hybridMultilevel"/>
    <w:tmpl w:val="532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97A2A"/>
    <w:multiLevelType w:val="hybridMultilevel"/>
    <w:tmpl w:val="BA2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9F53008"/>
    <w:multiLevelType w:val="hybridMultilevel"/>
    <w:tmpl w:val="D09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B7F2D"/>
    <w:multiLevelType w:val="hybridMultilevel"/>
    <w:tmpl w:val="691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B180F"/>
    <w:multiLevelType w:val="hybridMultilevel"/>
    <w:tmpl w:val="46D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07452"/>
    <w:multiLevelType w:val="hybridMultilevel"/>
    <w:tmpl w:val="5C9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0"/>
  </w:num>
  <w:num w:numId="5">
    <w:abstractNumId w:val="13"/>
  </w:num>
  <w:num w:numId="6">
    <w:abstractNumId w:val="12"/>
  </w:num>
  <w:num w:numId="7">
    <w:abstractNumId w:val="11"/>
  </w:num>
  <w:num w:numId="8">
    <w:abstractNumId w:val="3"/>
  </w:num>
  <w:num w:numId="9">
    <w:abstractNumId w:val="19"/>
  </w:num>
  <w:num w:numId="10">
    <w:abstractNumId w:val="9"/>
  </w:num>
  <w:num w:numId="11">
    <w:abstractNumId w:val="16"/>
  </w:num>
  <w:num w:numId="12">
    <w:abstractNumId w:val="0"/>
  </w:num>
  <w:num w:numId="13">
    <w:abstractNumId w:val="2"/>
  </w:num>
  <w:num w:numId="14">
    <w:abstractNumId w:val="8"/>
  </w:num>
  <w:num w:numId="15">
    <w:abstractNumId w:val="1"/>
  </w:num>
  <w:num w:numId="16">
    <w:abstractNumId w:val="17"/>
  </w:num>
  <w:num w:numId="17">
    <w:abstractNumId w:val="18"/>
  </w:num>
  <w:num w:numId="18">
    <w:abstractNumId w:val="4"/>
  </w:num>
  <w:num w:numId="19">
    <w:abstractNumId w:val="7"/>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8"/>
    <w:rsid w:val="00002ED8"/>
    <w:rsid w:val="000038B6"/>
    <w:rsid w:val="00006D40"/>
    <w:rsid w:val="0000722A"/>
    <w:rsid w:val="00024541"/>
    <w:rsid w:val="00024780"/>
    <w:rsid w:val="00037967"/>
    <w:rsid w:val="00046136"/>
    <w:rsid w:val="000629F8"/>
    <w:rsid w:val="00072A1F"/>
    <w:rsid w:val="00073522"/>
    <w:rsid w:val="00074E1D"/>
    <w:rsid w:val="0007556C"/>
    <w:rsid w:val="00086EF6"/>
    <w:rsid w:val="0009352F"/>
    <w:rsid w:val="00094917"/>
    <w:rsid w:val="00095B70"/>
    <w:rsid w:val="000975E1"/>
    <w:rsid w:val="000A34DA"/>
    <w:rsid w:val="000B0FE1"/>
    <w:rsid w:val="000B6C71"/>
    <w:rsid w:val="000D3168"/>
    <w:rsid w:val="000E3157"/>
    <w:rsid w:val="000E39BD"/>
    <w:rsid w:val="000F5CB1"/>
    <w:rsid w:val="00107F47"/>
    <w:rsid w:val="00110442"/>
    <w:rsid w:val="00110697"/>
    <w:rsid w:val="001276E6"/>
    <w:rsid w:val="0014608E"/>
    <w:rsid w:val="00154250"/>
    <w:rsid w:val="0017439F"/>
    <w:rsid w:val="001745FB"/>
    <w:rsid w:val="001856AB"/>
    <w:rsid w:val="00190FA0"/>
    <w:rsid w:val="00192F77"/>
    <w:rsid w:val="00193FD0"/>
    <w:rsid w:val="00195286"/>
    <w:rsid w:val="001A0524"/>
    <w:rsid w:val="001A760C"/>
    <w:rsid w:val="001B4080"/>
    <w:rsid w:val="001B6F5E"/>
    <w:rsid w:val="001C76F8"/>
    <w:rsid w:val="001D41B6"/>
    <w:rsid w:val="001D5437"/>
    <w:rsid w:val="001E7D7B"/>
    <w:rsid w:val="001F07CE"/>
    <w:rsid w:val="001F609B"/>
    <w:rsid w:val="001F7A9A"/>
    <w:rsid w:val="0020199D"/>
    <w:rsid w:val="00220356"/>
    <w:rsid w:val="00230E34"/>
    <w:rsid w:val="00233A83"/>
    <w:rsid w:val="002406D6"/>
    <w:rsid w:val="00242FE1"/>
    <w:rsid w:val="00243F97"/>
    <w:rsid w:val="00270CA2"/>
    <w:rsid w:val="002772D4"/>
    <w:rsid w:val="00277714"/>
    <w:rsid w:val="0028166E"/>
    <w:rsid w:val="0028783B"/>
    <w:rsid w:val="002916BF"/>
    <w:rsid w:val="002945A1"/>
    <w:rsid w:val="00297C4D"/>
    <w:rsid w:val="002A20A8"/>
    <w:rsid w:val="002A5FFF"/>
    <w:rsid w:val="002B36EE"/>
    <w:rsid w:val="002E5CED"/>
    <w:rsid w:val="002F3AFE"/>
    <w:rsid w:val="003046C0"/>
    <w:rsid w:val="003056B1"/>
    <w:rsid w:val="00313AB0"/>
    <w:rsid w:val="003170B0"/>
    <w:rsid w:val="00321F14"/>
    <w:rsid w:val="003234E5"/>
    <w:rsid w:val="003235D0"/>
    <w:rsid w:val="0032518B"/>
    <w:rsid w:val="00326A4C"/>
    <w:rsid w:val="00341D9F"/>
    <w:rsid w:val="00350C4F"/>
    <w:rsid w:val="00355370"/>
    <w:rsid w:val="00357684"/>
    <w:rsid w:val="0036115A"/>
    <w:rsid w:val="00373781"/>
    <w:rsid w:val="00373B57"/>
    <w:rsid w:val="0037646E"/>
    <w:rsid w:val="003A55BC"/>
    <w:rsid w:val="003B1383"/>
    <w:rsid w:val="003B3F53"/>
    <w:rsid w:val="003C1B81"/>
    <w:rsid w:val="003C507C"/>
    <w:rsid w:val="003C5D80"/>
    <w:rsid w:val="003D54B8"/>
    <w:rsid w:val="003D7390"/>
    <w:rsid w:val="003E21C6"/>
    <w:rsid w:val="003E21DA"/>
    <w:rsid w:val="003E7E46"/>
    <w:rsid w:val="003F0FB1"/>
    <w:rsid w:val="003F20A6"/>
    <w:rsid w:val="00401138"/>
    <w:rsid w:val="0040361F"/>
    <w:rsid w:val="0040481D"/>
    <w:rsid w:val="00414A15"/>
    <w:rsid w:val="0041512D"/>
    <w:rsid w:val="00420BFA"/>
    <w:rsid w:val="00421A75"/>
    <w:rsid w:val="00424A7C"/>
    <w:rsid w:val="00437C54"/>
    <w:rsid w:val="00442154"/>
    <w:rsid w:val="004428BA"/>
    <w:rsid w:val="00446D68"/>
    <w:rsid w:val="00447D89"/>
    <w:rsid w:val="00454A1D"/>
    <w:rsid w:val="004601F9"/>
    <w:rsid w:val="0046065C"/>
    <w:rsid w:val="00461B42"/>
    <w:rsid w:val="00470A57"/>
    <w:rsid w:val="00470E02"/>
    <w:rsid w:val="00472B67"/>
    <w:rsid w:val="004778D6"/>
    <w:rsid w:val="0048285A"/>
    <w:rsid w:val="00484403"/>
    <w:rsid w:val="00496255"/>
    <w:rsid w:val="004A1001"/>
    <w:rsid w:val="004B18A5"/>
    <w:rsid w:val="004B1E6F"/>
    <w:rsid w:val="004B7060"/>
    <w:rsid w:val="004C1DDA"/>
    <w:rsid w:val="004C2CF5"/>
    <w:rsid w:val="004C3387"/>
    <w:rsid w:val="004C4F02"/>
    <w:rsid w:val="004C4FFA"/>
    <w:rsid w:val="004C7057"/>
    <w:rsid w:val="004D0B45"/>
    <w:rsid w:val="004F00CD"/>
    <w:rsid w:val="00500117"/>
    <w:rsid w:val="005030E0"/>
    <w:rsid w:val="00524305"/>
    <w:rsid w:val="0052569D"/>
    <w:rsid w:val="00525C79"/>
    <w:rsid w:val="00530F9D"/>
    <w:rsid w:val="0053320C"/>
    <w:rsid w:val="00533515"/>
    <w:rsid w:val="00534F22"/>
    <w:rsid w:val="005417CD"/>
    <w:rsid w:val="00543660"/>
    <w:rsid w:val="005507E5"/>
    <w:rsid w:val="0056611E"/>
    <w:rsid w:val="00566D29"/>
    <w:rsid w:val="00567E9B"/>
    <w:rsid w:val="0057353B"/>
    <w:rsid w:val="00575E3C"/>
    <w:rsid w:val="00576DAA"/>
    <w:rsid w:val="00580FF5"/>
    <w:rsid w:val="005835C7"/>
    <w:rsid w:val="005A26D0"/>
    <w:rsid w:val="005C1AE9"/>
    <w:rsid w:val="005C572B"/>
    <w:rsid w:val="005C5981"/>
    <w:rsid w:val="005D35A8"/>
    <w:rsid w:val="005E1AB5"/>
    <w:rsid w:val="005F3650"/>
    <w:rsid w:val="005F36BD"/>
    <w:rsid w:val="006048A4"/>
    <w:rsid w:val="006117C7"/>
    <w:rsid w:val="00613145"/>
    <w:rsid w:val="006134D7"/>
    <w:rsid w:val="00613DF0"/>
    <w:rsid w:val="00616B5D"/>
    <w:rsid w:val="00621AE4"/>
    <w:rsid w:val="00630479"/>
    <w:rsid w:val="00640E46"/>
    <w:rsid w:val="0064258A"/>
    <w:rsid w:val="00657C69"/>
    <w:rsid w:val="006634A7"/>
    <w:rsid w:val="00667CDB"/>
    <w:rsid w:val="00683A4B"/>
    <w:rsid w:val="00683D0A"/>
    <w:rsid w:val="00686013"/>
    <w:rsid w:val="006A6E0C"/>
    <w:rsid w:val="006B077F"/>
    <w:rsid w:val="006B1D03"/>
    <w:rsid w:val="006B7F6F"/>
    <w:rsid w:val="006B7FD4"/>
    <w:rsid w:val="006C1679"/>
    <w:rsid w:val="006D24D7"/>
    <w:rsid w:val="006D49ED"/>
    <w:rsid w:val="006D6B31"/>
    <w:rsid w:val="006E7659"/>
    <w:rsid w:val="006E7893"/>
    <w:rsid w:val="00700348"/>
    <w:rsid w:val="00701140"/>
    <w:rsid w:val="00706772"/>
    <w:rsid w:val="00711A1B"/>
    <w:rsid w:val="0071257F"/>
    <w:rsid w:val="00731CD3"/>
    <w:rsid w:val="007330E0"/>
    <w:rsid w:val="0075188E"/>
    <w:rsid w:val="00754274"/>
    <w:rsid w:val="00757604"/>
    <w:rsid w:val="00761383"/>
    <w:rsid w:val="00765F89"/>
    <w:rsid w:val="00773CA5"/>
    <w:rsid w:val="00776CFB"/>
    <w:rsid w:val="00777977"/>
    <w:rsid w:val="00780504"/>
    <w:rsid w:val="00792809"/>
    <w:rsid w:val="00792BC9"/>
    <w:rsid w:val="0079707D"/>
    <w:rsid w:val="007A0CEF"/>
    <w:rsid w:val="007A3B73"/>
    <w:rsid w:val="007A7A39"/>
    <w:rsid w:val="007B0331"/>
    <w:rsid w:val="007B2900"/>
    <w:rsid w:val="007B323B"/>
    <w:rsid w:val="007B6CE9"/>
    <w:rsid w:val="007C341F"/>
    <w:rsid w:val="007D1291"/>
    <w:rsid w:val="007D3CFB"/>
    <w:rsid w:val="007D5BA5"/>
    <w:rsid w:val="007D5EC7"/>
    <w:rsid w:val="007D7553"/>
    <w:rsid w:val="007E7562"/>
    <w:rsid w:val="007F63FF"/>
    <w:rsid w:val="00813314"/>
    <w:rsid w:val="00815963"/>
    <w:rsid w:val="008162C8"/>
    <w:rsid w:val="008162D5"/>
    <w:rsid w:val="00817C75"/>
    <w:rsid w:val="00823169"/>
    <w:rsid w:val="00824C12"/>
    <w:rsid w:val="0082524C"/>
    <w:rsid w:val="008408E5"/>
    <w:rsid w:val="0084487C"/>
    <w:rsid w:val="00852C3D"/>
    <w:rsid w:val="00857BA5"/>
    <w:rsid w:val="00861B85"/>
    <w:rsid w:val="00866E52"/>
    <w:rsid w:val="00874878"/>
    <w:rsid w:val="00876446"/>
    <w:rsid w:val="00886FC4"/>
    <w:rsid w:val="00894C1B"/>
    <w:rsid w:val="00896A3E"/>
    <w:rsid w:val="008A263F"/>
    <w:rsid w:val="008A69DD"/>
    <w:rsid w:val="008C6870"/>
    <w:rsid w:val="008D1A9B"/>
    <w:rsid w:val="008E2AAB"/>
    <w:rsid w:val="008E449A"/>
    <w:rsid w:val="008F5CFE"/>
    <w:rsid w:val="0090069A"/>
    <w:rsid w:val="00906307"/>
    <w:rsid w:val="00927D4D"/>
    <w:rsid w:val="00930495"/>
    <w:rsid w:val="00930A54"/>
    <w:rsid w:val="00933972"/>
    <w:rsid w:val="00933BA3"/>
    <w:rsid w:val="00940D1E"/>
    <w:rsid w:val="009440C8"/>
    <w:rsid w:val="00946549"/>
    <w:rsid w:val="009478AB"/>
    <w:rsid w:val="00947AE1"/>
    <w:rsid w:val="00956026"/>
    <w:rsid w:val="009621B0"/>
    <w:rsid w:val="00966B32"/>
    <w:rsid w:val="00970578"/>
    <w:rsid w:val="009708FB"/>
    <w:rsid w:val="00974705"/>
    <w:rsid w:val="00991D04"/>
    <w:rsid w:val="00992135"/>
    <w:rsid w:val="00994A32"/>
    <w:rsid w:val="009A0FD6"/>
    <w:rsid w:val="009A5D18"/>
    <w:rsid w:val="009B155E"/>
    <w:rsid w:val="009C70A7"/>
    <w:rsid w:val="009D4821"/>
    <w:rsid w:val="009D7FFB"/>
    <w:rsid w:val="009E1C02"/>
    <w:rsid w:val="009E5B83"/>
    <w:rsid w:val="009E79E0"/>
    <w:rsid w:val="009F074B"/>
    <w:rsid w:val="009F1CED"/>
    <w:rsid w:val="009F2681"/>
    <w:rsid w:val="009F75DC"/>
    <w:rsid w:val="00A11448"/>
    <w:rsid w:val="00A11A73"/>
    <w:rsid w:val="00A16239"/>
    <w:rsid w:val="00A31DA3"/>
    <w:rsid w:val="00A32B0B"/>
    <w:rsid w:val="00A403D0"/>
    <w:rsid w:val="00A42A0E"/>
    <w:rsid w:val="00A478C2"/>
    <w:rsid w:val="00A5044E"/>
    <w:rsid w:val="00A530CC"/>
    <w:rsid w:val="00A674F3"/>
    <w:rsid w:val="00A7728A"/>
    <w:rsid w:val="00A81CD5"/>
    <w:rsid w:val="00A8279F"/>
    <w:rsid w:val="00A847FF"/>
    <w:rsid w:val="00A87DF0"/>
    <w:rsid w:val="00A918A3"/>
    <w:rsid w:val="00A936BB"/>
    <w:rsid w:val="00A94136"/>
    <w:rsid w:val="00AA003B"/>
    <w:rsid w:val="00AA134A"/>
    <w:rsid w:val="00AB139E"/>
    <w:rsid w:val="00AB7BE7"/>
    <w:rsid w:val="00AB7D52"/>
    <w:rsid w:val="00AC3EC2"/>
    <w:rsid w:val="00AC6A55"/>
    <w:rsid w:val="00AD011D"/>
    <w:rsid w:val="00AF14AE"/>
    <w:rsid w:val="00AF35BF"/>
    <w:rsid w:val="00AF5E08"/>
    <w:rsid w:val="00AF7AAA"/>
    <w:rsid w:val="00B02D1E"/>
    <w:rsid w:val="00B14E5D"/>
    <w:rsid w:val="00B150CE"/>
    <w:rsid w:val="00B221B5"/>
    <w:rsid w:val="00B259ED"/>
    <w:rsid w:val="00B2611D"/>
    <w:rsid w:val="00B27C26"/>
    <w:rsid w:val="00B366D3"/>
    <w:rsid w:val="00B4323F"/>
    <w:rsid w:val="00B43A50"/>
    <w:rsid w:val="00B44D1E"/>
    <w:rsid w:val="00B57208"/>
    <w:rsid w:val="00B657F3"/>
    <w:rsid w:val="00B67DFA"/>
    <w:rsid w:val="00B75BE3"/>
    <w:rsid w:val="00B806AA"/>
    <w:rsid w:val="00B85C60"/>
    <w:rsid w:val="00B86686"/>
    <w:rsid w:val="00B91CC0"/>
    <w:rsid w:val="00B92C9D"/>
    <w:rsid w:val="00B92E14"/>
    <w:rsid w:val="00B94AFF"/>
    <w:rsid w:val="00BA0A15"/>
    <w:rsid w:val="00BA0F89"/>
    <w:rsid w:val="00BA395E"/>
    <w:rsid w:val="00BA5D0D"/>
    <w:rsid w:val="00BB02F9"/>
    <w:rsid w:val="00BC63BE"/>
    <w:rsid w:val="00BD09B4"/>
    <w:rsid w:val="00BD6B2F"/>
    <w:rsid w:val="00BE158D"/>
    <w:rsid w:val="00BE3778"/>
    <w:rsid w:val="00BF080F"/>
    <w:rsid w:val="00BF1572"/>
    <w:rsid w:val="00BF518A"/>
    <w:rsid w:val="00C04396"/>
    <w:rsid w:val="00C152E1"/>
    <w:rsid w:val="00C20676"/>
    <w:rsid w:val="00C26468"/>
    <w:rsid w:val="00C324CE"/>
    <w:rsid w:val="00C33214"/>
    <w:rsid w:val="00C41834"/>
    <w:rsid w:val="00C6188F"/>
    <w:rsid w:val="00C674DC"/>
    <w:rsid w:val="00C80291"/>
    <w:rsid w:val="00C8225C"/>
    <w:rsid w:val="00C95876"/>
    <w:rsid w:val="00CA1788"/>
    <w:rsid w:val="00CA5713"/>
    <w:rsid w:val="00CA573A"/>
    <w:rsid w:val="00CA6268"/>
    <w:rsid w:val="00CC1CFA"/>
    <w:rsid w:val="00CC1F77"/>
    <w:rsid w:val="00CC3520"/>
    <w:rsid w:val="00CC3B52"/>
    <w:rsid w:val="00CC6FDB"/>
    <w:rsid w:val="00CD0A8E"/>
    <w:rsid w:val="00CD2D95"/>
    <w:rsid w:val="00CE2754"/>
    <w:rsid w:val="00CE6CFF"/>
    <w:rsid w:val="00CF1008"/>
    <w:rsid w:val="00CF6417"/>
    <w:rsid w:val="00D0291F"/>
    <w:rsid w:val="00D10222"/>
    <w:rsid w:val="00D139B6"/>
    <w:rsid w:val="00D20F80"/>
    <w:rsid w:val="00D236B1"/>
    <w:rsid w:val="00D257E2"/>
    <w:rsid w:val="00D46741"/>
    <w:rsid w:val="00D46FF6"/>
    <w:rsid w:val="00D54A38"/>
    <w:rsid w:val="00D57E3F"/>
    <w:rsid w:val="00D616F5"/>
    <w:rsid w:val="00D63916"/>
    <w:rsid w:val="00D66523"/>
    <w:rsid w:val="00D66876"/>
    <w:rsid w:val="00D67FCA"/>
    <w:rsid w:val="00D74A9C"/>
    <w:rsid w:val="00D80CDB"/>
    <w:rsid w:val="00D8149C"/>
    <w:rsid w:val="00D82146"/>
    <w:rsid w:val="00D90AFB"/>
    <w:rsid w:val="00D9391A"/>
    <w:rsid w:val="00DB0918"/>
    <w:rsid w:val="00DB4395"/>
    <w:rsid w:val="00DB4B4B"/>
    <w:rsid w:val="00DD3E66"/>
    <w:rsid w:val="00DD6562"/>
    <w:rsid w:val="00DE537D"/>
    <w:rsid w:val="00E12CAA"/>
    <w:rsid w:val="00E144BF"/>
    <w:rsid w:val="00E152F2"/>
    <w:rsid w:val="00E23EA0"/>
    <w:rsid w:val="00E2501E"/>
    <w:rsid w:val="00E26E0B"/>
    <w:rsid w:val="00E37F13"/>
    <w:rsid w:val="00E42D05"/>
    <w:rsid w:val="00E45E43"/>
    <w:rsid w:val="00E46898"/>
    <w:rsid w:val="00E5627E"/>
    <w:rsid w:val="00E572F1"/>
    <w:rsid w:val="00E57CF9"/>
    <w:rsid w:val="00E6783A"/>
    <w:rsid w:val="00E71289"/>
    <w:rsid w:val="00E721D9"/>
    <w:rsid w:val="00E7612B"/>
    <w:rsid w:val="00E810AA"/>
    <w:rsid w:val="00E8766D"/>
    <w:rsid w:val="00E90D31"/>
    <w:rsid w:val="00E91273"/>
    <w:rsid w:val="00E939E4"/>
    <w:rsid w:val="00EA2C3F"/>
    <w:rsid w:val="00EA3B8C"/>
    <w:rsid w:val="00EB0267"/>
    <w:rsid w:val="00EB055B"/>
    <w:rsid w:val="00EB188F"/>
    <w:rsid w:val="00EB4830"/>
    <w:rsid w:val="00EC2959"/>
    <w:rsid w:val="00ED1B6B"/>
    <w:rsid w:val="00ED261E"/>
    <w:rsid w:val="00ED656C"/>
    <w:rsid w:val="00EE2B8C"/>
    <w:rsid w:val="00EE455E"/>
    <w:rsid w:val="00EF4D6E"/>
    <w:rsid w:val="00EF57F4"/>
    <w:rsid w:val="00F2024A"/>
    <w:rsid w:val="00F20FA3"/>
    <w:rsid w:val="00F2266E"/>
    <w:rsid w:val="00F22F36"/>
    <w:rsid w:val="00F24FC1"/>
    <w:rsid w:val="00F264D1"/>
    <w:rsid w:val="00F3244B"/>
    <w:rsid w:val="00F37927"/>
    <w:rsid w:val="00F44C2C"/>
    <w:rsid w:val="00F51DED"/>
    <w:rsid w:val="00F539DE"/>
    <w:rsid w:val="00F73671"/>
    <w:rsid w:val="00F73D26"/>
    <w:rsid w:val="00F75C0F"/>
    <w:rsid w:val="00F77557"/>
    <w:rsid w:val="00F900DC"/>
    <w:rsid w:val="00F93514"/>
    <w:rsid w:val="00F93A31"/>
    <w:rsid w:val="00FA44B9"/>
    <w:rsid w:val="00FA66D2"/>
    <w:rsid w:val="00FB0288"/>
    <w:rsid w:val="00FB2A2F"/>
    <w:rsid w:val="00FB565D"/>
    <w:rsid w:val="00FB5ECC"/>
    <w:rsid w:val="00FB77AC"/>
    <w:rsid w:val="00FB7867"/>
    <w:rsid w:val="00FD3169"/>
    <w:rsid w:val="00FD3B38"/>
    <w:rsid w:val="00FD5B1B"/>
    <w:rsid w:val="00FE6C42"/>
    <w:rsid w:val="00FF084A"/>
    <w:rsid w:val="00FF0D66"/>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7A104145-B10C-4DAC-B88A-CDAC1E89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683D0A"/>
    <w:pPr>
      <w:numPr>
        <w:numId w:val="1"/>
      </w:numPr>
      <w:tabs>
        <w:tab w:val="left" w:pos="425"/>
      </w:tabs>
      <w:spacing w:before="60" w:after="60"/>
      <w:ind w:left="425" w:hanging="425"/>
    </w:pPr>
    <w:rPr>
      <w:rFonts w:asciiTheme="majorHAnsi" w:eastAsia="Times New Roman" w:hAnsiTheme="majorHAnsi"/>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86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68922140">
      <w:bodyDiv w:val="1"/>
      <w:marLeft w:val="0"/>
      <w:marRight w:val="0"/>
      <w:marTop w:val="0"/>
      <w:marBottom w:val="0"/>
      <w:divBdr>
        <w:top w:val="none" w:sz="0" w:space="0" w:color="auto"/>
        <w:left w:val="none" w:sz="0" w:space="0" w:color="auto"/>
        <w:bottom w:val="none" w:sz="0" w:space="0" w:color="auto"/>
        <w:right w:val="none" w:sz="0" w:space="0" w:color="auto"/>
      </w:divBdr>
      <w:divsChild>
        <w:div w:id="811141244">
          <w:marLeft w:val="1166"/>
          <w:marRight w:val="0"/>
          <w:marTop w:val="86"/>
          <w:marBottom w:val="0"/>
          <w:divBdr>
            <w:top w:val="none" w:sz="0" w:space="0" w:color="auto"/>
            <w:left w:val="none" w:sz="0" w:space="0" w:color="auto"/>
            <w:bottom w:val="none" w:sz="0" w:space="0" w:color="auto"/>
            <w:right w:val="none" w:sz="0" w:space="0" w:color="auto"/>
          </w:divBdr>
        </w:div>
        <w:div w:id="620109897">
          <w:marLeft w:val="1166"/>
          <w:marRight w:val="0"/>
          <w:marTop w:val="86"/>
          <w:marBottom w:val="0"/>
          <w:divBdr>
            <w:top w:val="none" w:sz="0" w:space="0" w:color="auto"/>
            <w:left w:val="none" w:sz="0" w:space="0" w:color="auto"/>
            <w:bottom w:val="none" w:sz="0" w:space="0" w:color="auto"/>
            <w:right w:val="none" w:sz="0" w:space="0" w:color="auto"/>
          </w:divBdr>
        </w:div>
      </w:divsChild>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999845328">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1951938112">
      <w:bodyDiv w:val="1"/>
      <w:marLeft w:val="0"/>
      <w:marRight w:val="0"/>
      <w:marTop w:val="0"/>
      <w:marBottom w:val="0"/>
      <w:divBdr>
        <w:top w:val="none" w:sz="0" w:space="0" w:color="auto"/>
        <w:left w:val="none" w:sz="0" w:space="0" w:color="auto"/>
        <w:bottom w:val="none" w:sz="0" w:space="0" w:color="auto"/>
        <w:right w:val="none" w:sz="0" w:space="0" w:color="auto"/>
      </w:divBdr>
      <w:divsChild>
        <w:div w:id="925453530">
          <w:marLeft w:val="418"/>
          <w:marRight w:val="0"/>
          <w:marTop w:val="86"/>
          <w:marBottom w:val="0"/>
          <w:divBdr>
            <w:top w:val="none" w:sz="0" w:space="0" w:color="auto"/>
            <w:left w:val="none" w:sz="0" w:space="0" w:color="auto"/>
            <w:bottom w:val="none" w:sz="0" w:space="0" w:color="auto"/>
            <w:right w:val="none" w:sz="0" w:space="0" w:color="auto"/>
          </w:divBdr>
        </w:div>
        <w:div w:id="273949174">
          <w:marLeft w:val="1166"/>
          <w:marRight w:val="0"/>
          <w:marTop w:val="86"/>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3"/>
    <w:rsid w:val="000A3D0B"/>
    <w:rsid w:val="00291CDF"/>
    <w:rsid w:val="00310C02"/>
    <w:rsid w:val="00336406"/>
    <w:rsid w:val="003478A7"/>
    <w:rsid w:val="004B3459"/>
    <w:rsid w:val="00506D5A"/>
    <w:rsid w:val="0065769F"/>
    <w:rsid w:val="006C4DCF"/>
    <w:rsid w:val="0075413E"/>
    <w:rsid w:val="00780828"/>
    <w:rsid w:val="007C2B0C"/>
    <w:rsid w:val="00880BE7"/>
    <w:rsid w:val="008D2B0C"/>
    <w:rsid w:val="008D3AEE"/>
    <w:rsid w:val="00955526"/>
    <w:rsid w:val="00A55023"/>
    <w:rsid w:val="00AA072D"/>
    <w:rsid w:val="00AE5389"/>
    <w:rsid w:val="00B80C54"/>
    <w:rsid w:val="00BF45DE"/>
    <w:rsid w:val="00CE1906"/>
    <w:rsid w:val="00D237D4"/>
    <w:rsid w:val="00D754B8"/>
    <w:rsid w:val="00D9309E"/>
    <w:rsid w:val="00E20670"/>
    <w:rsid w:val="00F46C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7846ED7-2B93-453C-91A4-F05D732EAF15}">
  <ds:schemaRefs>
    <ds:schemaRef ds:uri="http://schemas.openxmlformats.org/officeDocument/2006/bibliography"/>
  </ds:schemaRefs>
</ds:datastoreItem>
</file>

<file path=customXml/itemProps2.xml><?xml version="1.0" encoding="utf-8"?>
<ds:datastoreItem xmlns:ds="http://schemas.openxmlformats.org/officeDocument/2006/customXml" ds:itemID="{EC5A2F19-D740-4E8A-AC88-76C59A6CB9A1}"/>
</file>

<file path=customXml/itemProps3.xml><?xml version="1.0" encoding="utf-8"?>
<ds:datastoreItem xmlns:ds="http://schemas.openxmlformats.org/officeDocument/2006/customXml" ds:itemID="{CA4CCBD7-C69E-4664-8C1A-098C9F7BF9D5}"/>
</file>

<file path=customXml/itemProps4.xml><?xml version="1.0" encoding="utf-8"?>
<ds:datastoreItem xmlns:ds="http://schemas.openxmlformats.org/officeDocument/2006/customXml" ds:itemID="{EBFA0019-4723-4956-B04D-6A769C45BD53}"/>
</file>

<file path=docProps/app.xml><?xml version="1.0" encoding="utf-8"?>
<Properties xmlns="http://schemas.openxmlformats.org/officeDocument/2006/extended-properties" xmlns:vt="http://schemas.openxmlformats.org/officeDocument/2006/docPropsVTypes">
  <Template>Normal.dotm</Template>
  <TotalTime>7</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 2 Environmental Science learning context examples</vt:lpstr>
    </vt:vector>
  </TitlesOfParts>
  <Company>Victorian Curriculum and Assessment Authority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Environmental Science learning context examples</dc:title>
  <dc:subject>VCE Environmental Science</dc:subject>
  <dc:creator>vcaa@education.vic.gov.au</dc:creator>
  <cp:keywords>environmental, science, VCE, learning, context, examples, Unit 2</cp:keywords>
  <dc:description/>
  <cp:lastModifiedBy>Julie Coleman</cp:lastModifiedBy>
  <cp:revision>4</cp:revision>
  <cp:lastPrinted>2021-11-11T02:15:00Z</cp:lastPrinted>
  <dcterms:created xsi:type="dcterms:W3CDTF">2022-01-18T05:07:00Z</dcterms:created>
  <dcterms:modified xsi:type="dcterms:W3CDTF">2022-01-18T05:14:00Z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