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9EFC132" w:rsidR="00F4525C" w:rsidRDefault="008506EB" w:rsidP="008506EB">
      <w:pPr>
        <w:pStyle w:val="VCAADocumenttitle"/>
        <w:spacing w:before="120"/>
        <w:ind w:left="-426"/>
      </w:pPr>
      <w:r>
        <w:t xml:space="preserve">VCE </w:t>
      </w:r>
      <w:r w:rsidR="00F33417">
        <w:t>Health and Human Development</w:t>
      </w:r>
    </w:p>
    <w:tbl>
      <w:tblPr>
        <w:tblStyle w:val="TableGrid"/>
        <w:tblW w:w="0" w:type="auto"/>
        <w:tblInd w:w="-714" w:type="dxa"/>
        <w:tblLook w:val="04A0" w:firstRow="1" w:lastRow="0" w:firstColumn="1" w:lastColumn="0" w:noHBand="0" w:noVBand="1"/>
      </w:tblPr>
      <w:tblGrid>
        <w:gridCol w:w="1702"/>
        <w:gridCol w:w="2771"/>
        <w:gridCol w:w="2771"/>
        <w:gridCol w:w="2772"/>
        <w:gridCol w:w="2771"/>
        <w:gridCol w:w="2772"/>
      </w:tblGrid>
      <w:tr w:rsidR="008506EB" w:rsidRPr="0010322C" w14:paraId="6C9D0DAB" w14:textId="77777777" w:rsidTr="00121727">
        <w:tc>
          <w:tcPr>
            <w:tcW w:w="0" w:type="auto"/>
            <w:gridSpan w:val="6"/>
            <w:shd w:val="clear" w:color="auto" w:fill="0F7EB4"/>
            <w:vAlign w:val="center"/>
          </w:tcPr>
          <w:p w14:paraId="13F1A599" w14:textId="64C3D972" w:rsidR="008506EB" w:rsidRPr="00850356" w:rsidRDefault="008506EB" w:rsidP="00B104C5">
            <w:pPr>
              <w:tabs>
                <w:tab w:val="left" w:pos="9580"/>
              </w:tabs>
              <w:spacing w:before="60"/>
              <w:ind w:right="-136"/>
              <w:jc w:val="center"/>
              <w:rPr>
                <w:rFonts w:ascii="Arial Narrow" w:hAnsi="Arial Narrow"/>
                <w:b/>
                <w:color w:val="FFFFFF" w:themeColor="background1"/>
                <w:sz w:val="24"/>
                <w:szCs w:val="24"/>
                <w:lang w:eastAsia="en-AU"/>
              </w:rPr>
            </w:pPr>
            <w:bookmarkStart w:id="0" w:name="TemplateOverview"/>
            <w:bookmarkEnd w:id="0"/>
            <w:r w:rsidRPr="00850356">
              <w:rPr>
                <w:rFonts w:ascii="Arial Narrow" w:hAnsi="Arial Narrow"/>
                <w:b/>
                <w:color w:val="FFFFFF" w:themeColor="background1"/>
                <w:sz w:val="24"/>
                <w:szCs w:val="24"/>
                <w:lang w:eastAsia="en-AU"/>
              </w:rPr>
              <w:t xml:space="preserve">VCE </w:t>
            </w:r>
            <w:r w:rsidR="00F33417">
              <w:rPr>
                <w:rFonts w:ascii="Arial Narrow" w:hAnsi="Arial Narrow"/>
                <w:b/>
                <w:color w:val="FFFFFF" w:themeColor="background1"/>
                <w:sz w:val="24"/>
                <w:szCs w:val="24"/>
                <w:lang w:eastAsia="en-AU"/>
              </w:rPr>
              <w:t>HEALTH AND HUMAN DEVELOPMENT</w:t>
            </w:r>
            <w:r>
              <w:rPr>
                <w:rFonts w:ascii="Arial Narrow" w:hAnsi="Arial Narrow"/>
                <w:b/>
                <w:color w:val="FFFFFF" w:themeColor="background1"/>
                <w:sz w:val="24"/>
                <w:szCs w:val="24"/>
                <w:lang w:eastAsia="en-AU"/>
              </w:rPr>
              <w:t xml:space="preserve"> </w:t>
            </w:r>
          </w:p>
          <w:p w14:paraId="386A99DA" w14:textId="77777777" w:rsidR="008506EB" w:rsidRPr="0010322C" w:rsidRDefault="008506EB" w:rsidP="00B104C5">
            <w:pPr>
              <w:spacing w:after="60"/>
              <w:jc w:val="center"/>
              <w:rPr>
                <w:rFonts w:ascii="Arial Narrow" w:eastAsia="Calibri" w:hAnsi="Arial Narrow"/>
                <w:b/>
                <w:sz w:val="20"/>
                <w:szCs w:val="20"/>
                <w:lang w:val="en-AU"/>
              </w:rPr>
            </w:pPr>
            <w:r w:rsidRPr="00850356">
              <w:rPr>
                <w:rFonts w:ascii="Arial Narrow" w:hAnsi="Arial Narrow"/>
                <w:b/>
                <w:color w:val="FFFFFF" w:themeColor="background1"/>
                <w:sz w:val="24"/>
                <w:szCs w:val="24"/>
                <w:lang w:eastAsia="en-AU"/>
              </w:rPr>
              <w:t>SCHOOL-ASSESSED COURSEWORK</w:t>
            </w:r>
          </w:p>
        </w:tc>
      </w:tr>
      <w:tr w:rsidR="008506EB" w:rsidRPr="0010322C" w14:paraId="1FBB630F" w14:textId="77777777" w:rsidTr="00121727">
        <w:tc>
          <w:tcPr>
            <w:tcW w:w="0" w:type="auto"/>
            <w:gridSpan w:val="6"/>
            <w:tcBorders>
              <w:bottom w:val="single" w:sz="4" w:space="0" w:color="auto"/>
            </w:tcBorders>
            <w:vAlign w:val="center"/>
          </w:tcPr>
          <w:p w14:paraId="60225247" w14:textId="77777777" w:rsidR="008506EB" w:rsidRPr="0010322C" w:rsidRDefault="008506EB" w:rsidP="00B104C5">
            <w:pPr>
              <w:spacing w:before="60" w:after="60"/>
              <w:jc w:val="center"/>
              <w:rPr>
                <w:rFonts w:ascii="Arial Narrow" w:eastAsia="Calibri" w:hAnsi="Arial Narrow"/>
                <w:b/>
                <w:sz w:val="20"/>
                <w:szCs w:val="20"/>
                <w:lang w:val="en-AU"/>
              </w:rPr>
            </w:pPr>
            <w:r w:rsidRPr="0010322C">
              <w:rPr>
                <w:rFonts w:ascii="Arial Narrow" w:eastAsia="Calibri" w:hAnsi="Arial Narrow"/>
                <w:b/>
                <w:sz w:val="20"/>
                <w:szCs w:val="20"/>
                <w:lang w:val="en-AU"/>
              </w:rPr>
              <w:t>Performance descriptors</w:t>
            </w:r>
          </w:p>
        </w:tc>
      </w:tr>
      <w:tr w:rsidR="008506EB" w:rsidRPr="00CA0FC0" w14:paraId="484BC90D" w14:textId="77777777" w:rsidTr="00121727">
        <w:trPr>
          <w:trHeight w:val="57"/>
        </w:trPr>
        <w:tc>
          <w:tcPr>
            <w:tcW w:w="0" w:type="auto"/>
            <w:gridSpan w:val="6"/>
            <w:tcBorders>
              <w:left w:val="nil"/>
              <w:right w:val="nil"/>
            </w:tcBorders>
            <w:vAlign w:val="center"/>
          </w:tcPr>
          <w:p w14:paraId="72D3F430" w14:textId="77777777" w:rsidR="008506EB" w:rsidRPr="00CA0FC0" w:rsidRDefault="008506EB" w:rsidP="00B104C5">
            <w:pPr>
              <w:spacing w:before="60" w:after="60"/>
              <w:jc w:val="center"/>
              <w:rPr>
                <w:rFonts w:ascii="Arial Narrow" w:eastAsia="Calibri" w:hAnsi="Arial Narrow"/>
                <w:b/>
                <w:sz w:val="4"/>
                <w:szCs w:val="4"/>
                <w:lang w:val="en-AU"/>
              </w:rPr>
            </w:pPr>
          </w:p>
        </w:tc>
      </w:tr>
      <w:tr w:rsidR="00121727" w:rsidRPr="00AC3EE8" w14:paraId="59721CEB" w14:textId="77777777" w:rsidTr="00121727">
        <w:tc>
          <w:tcPr>
            <w:tcW w:w="1702" w:type="dxa"/>
            <w:vMerge w:val="restart"/>
            <w:vAlign w:val="center"/>
          </w:tcPr>
          <w:p w14:paraId="1E6CDC0E" w14:textId="4EC94AB7" w:rsidR="00121727" w:rsidRPr="002F6D98" w:rsidRDefault="00121727" w:rsidP="00B104C5">
            <w:pPr>
              <w:spacing w:before="120"/>
              <w:rPr>
                <w:rFonts w:ascii="Arial Narrow" w:eastAsia="Calibri" w:hAnsi="Arial Narrow" w:cs="Cordia New"/>
                <w:b/>
                <w:bCs/>
                <w:sz w:val="20"/>
                <w:szCs w:val="20"/>
              </w:rPr>
            </w:pPr>
            <w:r w:rsidRPr="002F6D98">
              <w:rPr>
                <w:rFonts w:ascii="Arial Narrow" w:eastAsia="Calibri" w:hAnsi="Arial Narrow" w:cs="Cordia New"/>
                <w:b/>
                <w:bCs/>
                <w:sz w:val="20"/>
                <w:szCs w:val="20"/>
              </w:rPr>
              <w:t xml:space="preserve">Unit </w:t>
            </w:r>
            <w:r>
              <w:rPr>
                <w:rFonts w:ascii="Arial Narrow" w:eastAsia="Calibri" w:hAnsi="Arial Narrow" w:cs="Cordia New"/>
                <w:b/>
                <w:bCs/>
                <w:sz w:val="20"/>
                <w:szCs w:val="20"/>
              </w:rPr>
              <w:t>3</w:t>
            </w:r>
          </w:p>
          <w:p w14:paraId="5142C0E1" w14:textId="7F79D431" w:rsidR="00121727" w:rsidRPr="002F6D98" w:rsidRDefault="00121727" w:rsidP="00B104C5">
            <w:pPr>
              <w:rPr>
                <w:rFonts w:ascii="Arial Narrow" w:eastAsia="Calibri" w:hAnsi="Arial Narrow" w:cs="Cordia New"/>
                <w:b/>
                <w:bCs/>
                <w:sz w:val="20"/>
                <w:szCs w:val="20"/>
              </w:rPr>
            </w:pPr>
            <w:r w:rsidRPr="002F6D98">
              <w:rPr>
                <w:rFonts w:ascii="Arial Narrow" w:eastAsia="Calibri" w:hAnsi="Arial Narrow" w:cs="Cordia New"/>
                <w:b/>
                <w:bCs/>
                <w:sz w:val="20"/>
                <w:szCs w:val="20"/>
              </w:rPr>
              <w:t xml:space="preserve">Outcome </w:t>
            </w:r>
            <w:r>
              <w:rPr>
                <w:rFonts w:ascii="Arial Narrow" w:eastAsia="Calibri" w:hAnsi="Arial Narrow" w:cs="Cordia New"/>
                <w:b/>
                <w:bCs/>
                <w:sz w:val="20"/>
                <w:szCs w:val="20"/>
              </w:rPr>
              <w:t>2</w:t>
            </w:r>
          </w:p>
          <w:p w14:paraId="08EE4FA2" w14:textId="149CB3B4" w:rsidR="00121727" w:rsidRPr="001245F2" w:rsidRDefault="00121727" w:rsidP="00B104C5">
            <w:pPr>
              <w:pStyle w:val="VCAAtablecondensed"/>
              <w:spacing w:line="240" w:lineRule="auto"/>
              <w:rPr>
                <w:b/>
                <w:bCs/>
                <w:i/>
                <w:iCs/>
                <w:szCs w:val="20"/>
              </w:rPr>
            </w:pPr>
            <w:r>
              <w:rPr>
                <w:rFonts w:cs="HelveticaNeue LT 45 Light"/>
                <w:b/>
                <w:bCs/>
                <w:i/>
                <w:iCs/>
                <w:szCs w:val="20"/>
                <w:lang w:val="en-AU"/>
              </w:rPr>
              <w:t>E</w:t>
            </w:r>
            <w:r w:rsidRPr="00D5528E">
              <w:rPr>
                <w:rFonts w:cs="HelveticaNeue LT 45 Light"/>
                <w:b/>
                <w:bCs/>
                <w:i/>
                <w:iCs/>
                <w:szCs w:val="20"/>
                <w:lang w:val="en-AU"/>
              </w:rPr>
              <w:t>xplain changes to public health approaches, analyse improvements in population health over time and evaluate health promotion strategies and initiatives.</w:t>
            </w:r>
          </w:p>
        </w:tc>
        <w:tc>
          <w:tcPr>
            <w:tcW w:w="13857" w:type="dxa"/>
            <w:gridSpan w:val="5"/>
            <w:shd w:val="clear" w:color="auto" w:fill="0F7EB4"/>
            <w:vAlign w:val="center"/>
          </w:tcPr>
          <w:p w14:paraId="3971AFCD" w14:textId="77777777" w:rsidR="00121727" w:rsidRPr="00241C58" w:rsidRDefault="00121727" w:rsidP="00B104C5">
            <w:pPr>
              <w:spacing w:before="60" w:after="60"/>
              <w:jc w:val="center"/>
              <w:rPr>
                <w:rFonts w:ascii="Arial Narrow" w:hAnsi="Arial Narrow"/>
                <w:sz w:val="20"/>
                <w:szCs w:val="20"/>
              </w:rPr>
            </w:pPr>
            <w:r w:rsidRPr="00241C58">
              <w:rPr>
                <w:rFonts w:ascii="Arial Narrow" w:eastAsia="Calibri" w:hAnsi="Arial Narrow"/>
                <w:b/>
                <w:color w:val="FFFFFF" w:themeColor="background1"/>
                <w:sz w:val="20"/>
                <w:szCs w:val="20"/>
                <w:lang w:val="en-AU"/>
              </w:rPr>
              <w:t>DESCRIPTOR: typical performance in each range</w:t>
            </w:r>
          </w:p>
        </w:tc>
      </w:tr>
      <w:tr w:rsidR="00121727" w:rsidRPr="00AC3EE8" w14:paraId="0AFB0567" w14:textId="77777777" w:rsidTr="00121727">
        <w:trPr>
          <w:trHeight w:val="170"/>
        </w:trPr>
        <w:tc>
          <w:tcPr>
            <w:tcW w:w="1702" w:type="dxa"/>
            <w:vMerge/>
            <w:vAlign w:val="center"/>
          </w:tcPr>
          <w:p w14:paraId="09CC4E39" w14:textId="77777777" w:rsidR="00121727" w:rsidRPr="00AC3EE8" w:rsidRDefault="00121727" w:rsidP="00B104C5">
            <w:pPr>
              <w:spacing w:before="120" w:after="120"/>
              <w:rPr>
                <w:rFonts w:ascii="Arial Narrow" w:hAnsi="Arial Narrow"/>
              </w:rPr>
            </w:pPr>
          </w:p>
        </w:tc>
        <w:tc>
          <w:tcPr>
            <w:tcW w:w="2771" w:type="dxa"/>
            <w:vAlign w:val="center"/>
          </w:tcPr>
          <w:p w14:paraId="7DE194EE" w14:textId="77777777" w:rsidR="00121727" w:rsidRPr="00241C58" w:rsidRDefault="00121727" w:rsidP="00B104C5">
            <w:pPr>
              <w:spacing w:before="60" w:after="60"/>
              <w:jc w:val="center"/>
              <w:rPr>
                <w:rFonts w:ascii="Arial Narrow" w:hAnsi="Arial Narrow"/>
                <w:b/>
                <w:sz w:val="20"/>
                <w:szCs w:val="20"/>
              </w:rPr>
            </w:pPr>
            <w:r w:rsidRPr="00241C58">
              <w:rPr>
                <w:rFonts w:ascii="Arial Narrow" w:hAnsi="Arial Narrow"/>
                <w:b/>
                <w:sz w:val="20"/>
                <w:szCs w:val="20"/>
              </w:rPr>
              <w:t>Very Low</w:t>
            </w:r>
          </w:p>
        </w:tc>
        <w:tc>
          <w:tcPr>
            <w:tcW w:w="2771" w:type="dxa"/>
            <w:vAlign w:val="center"/>
          </w:tcPr>
          <w:p w14:paraId="521B5F74" w14:textId="77777777" w:rsidR="00121727" w:rsidRPr="00241C58" w:rsidRDefault="00121727" w:rsidP="00B104C5">
            <w:pPr>
              <w:spacing w:before="60" w:after="60"/>
              <w:jc w:val="center"/>
              <w:rPr>
                <w:rFonts w:ascii="Arial Narrow" w:hAnsi="Arial Narrow"/>
                <w:sz w:val="20"/>
                <w:szCs w:val="20"/>
              </w:rPr>
            </w:pPr>
            <w:r w:rsidRPr="00241C58">
              <w:rPr>
                <w:rFonts w:ascii="Arial Narrow" w:eastAsia="Calibri" w:hAnsi="Arial Narrow" w:cs="Arial"/>
                <w:b/>
                <w:bCs/>
                <w:sz w:val="20"/>
                <w:szCs w:val="20"/>
              </w:rPr>
              <w:t>Low</w:t>
            </w:r>
          </w:p>
        </w:tc>
        <w:tc>
          <w:tcPr>
            <w:tcW w:w="2772" w:type="dxa"/>
            <w:vAlign w:val="center"/>
          </w:tcPr>
          <w:p w14:paraId="7F29BBAE" w14:textId="77777777" w:rsidR="00121727" w:rsidRPr="00241C58" w:rsidRDefault="00121727" w:rsidP="00B104C5">
            <w:pPr>
              <w:spacing w:before="60" w:after="60"/>
              <w:jc w:val="center"/>
              <w:rPr>
                <w:rFonts w:ascii="Arial Narrow" w:hAnsi="Arial Narrow"/>
                <w:sz w:val="20"/>
                <w:szCs w:val="20"/>
              </w:rPr>
            </w:pPr>
            <w:r w:rsidRPr="00241C58">
              <w:rPr>
                <w:rFonts w:ascii="Arial Narrow" w:eastAsia="Calibri" w:hAnsi="Arial Narrow" w:cs="Arial"/>
                <w:b/>
                <w:sz w:val="20"/>
                <w:szCs w:val="20"/>
              </w:rPr>
              <w:t>Medium</w:t>
            </w:r>
          </w:p>
        </w:tc>
        <w:tc>
          <w:tcPr>
            <w:tcW w:w="2771" w:type="dxa"/>
            <w:vAlign w:val="center"/>
          </w:tcPr>
          <w:p w14:paraId="7F11FA8B" w14:textId="77777777" w:rsidR="00121727" w:rsidRPr="00241C58" w:rsidRDefault="00121727" w:rsidP="00B104C5">
            <w:pPr>
              <w:spacing w:before="60" w:after="60"/>
              <w:jc w:val="center"/>
              <w:rPr>
                <w:rFonts w:ascii="Arial Narrow" w:hAnsi="Arial Narrow"/>
                <w:sz w:val="20"/>
                <w:szCs w:val="20"/>
              </w:rPr>
            </w:pPr>
            <w:r w:rsidRPr="00241C58">
              <w:rPr>
                <w:rFonts w:ascii="Arial Narrow" w:eastAsia="Calibri" w:hAnsi="Arial Narrow" w:cs="Arial"/>
                <w:b/>
                <w:bCs/>
                <w:sz w:val="20"/>
                <w:szCs w:val="20"/>
              </w:rPr>
              <w:t>High</w:t>
            </w:r>
          </w:p>
        </w:tc>
        <w:tc>
          <w:tcPr>
            <w:tcW w:w="2772" w:type="dxa"/>
            <w:vAlign w:val="center"/>
          </w:tcPr>
          <w:p w14:paraId="6FC59BE8" w14:textId="77777777" w:rsidR="00121727" w:rsidRPr="00241C58" w:rsidRDefault="00121727" w:rsidP="00B104C5">
            <w:pPr>
              <w:spacing w:before="60" w:after="60"/>
              <w:jc w:val="center"/>
              <w:rPr>
                <w:rFonts w:ascii="Arial Narrow" w:hAnsi="Arial Narrow"/>
                <w:sz w:val="20"/>
                <w:szCs w:val="20"/>
              </w:rPr>
            </w:pPr>
            <w:r w:rsidRPr="00241C58">
              <w:rPr>
                <w:rFonts w:ascii="Arial Narrow" w:eastAsia="Calibri" w:hAnsi="Arial Narrow" w:cs="Arial"/>
                <w:b/>
                <w:sz w:val="20"/>
                <w:szCs w:val="20"/>
              </w:rPr>
              <w:t>Very high</w:t>
            </w:r>
          </w:p>
        </w:tc>
      </w:tr>
      <w:tr w:rsidR="00121727" w:rsidRPr="00AC3EE8" w14:paraId="311DCD57" w14:textId="77777777" w:rsidTr="00121727">
        <w:tc>
          <w:tcPr>
            <w:tcW w:w="1702" w:type="dxa"/>
            <w:vMerge/>
            <w:vAlign w:val="center"/>
          </w:tcPr>
          <w:p w14:paraId="5B0AE61B" w14:textId="77777777" w:rsidR="00121727" w:rsidRPr="00AC3EE8" w:rsidRDefault="00121727" w:rsidP="00B104C5"/>
        </w:tc>
        <w:tc>
          <w:tcPr>
            <w:tcW w:w="2771" w:type="dxa"/>
          </w:tcPr>
          <w:p w14:paraId="4C2A81A9" w14:textId="7E372926" w:rsidR="00121727" w:rsidRPr="00575F48" w:rsidRDefault="00121727" w:rsidP="00575F48">
            <w:pPr>
              <w:pStyle w:val="VCAAtablecondensed"/>
              <w:spacing w:before="100" w:after="100" w:line="240" w:lineRule="auto"/>
              <w:rPr>
                <w:rFonts w:cstheme="minorBidi"/>
                <w:sz w:val="18"/>
                <w:szCs w:val="18"/>
              </w:rPr>
            </w:pPr>
            <w:r w:rsidRPr="00F324A6">
              <w:rPr>
                <w:sz w:val="18"/>
                <w:szCs w:val="18"/>
              </w:rPr>
              <w:t>Identification</w:t>
            </w:r>
            <w:r>
              <w:rPr>
                <w:sz w:val="18"/>
                <w:szCs w:val="18"/>
              </w:rPr>
              <w:t xml:space="preserve"> of data that </w:t>
            </w:r>
            <w:r>
              <w:rPr>
                <w:rFonts w:cstheme="minorBidi"/>
                <w:sz w:val="18"/>
                <w:szCs w:val="18"/>
              </w:rPr>
              <w:t xml:space="preserve">show </w:t>
            </w:r>
            <w:r w:rsidRPr="0054400D">
              <w:rPr>
                <w:rFonts w:cstheme="minorBidi"/>
                <w:sz w:val="18"/>
                <w:szCs w:val="18"/>
              </w:rPr>
              <w:t>improvements in health over time</w:t>
            </w:r>
          </w:p>
        </w:tc>
        <w:tc>
          <w:tcPr>
            <w:tcW w:w="2771" w:type="dxa"/>
          </w:tcPr>
          <w:p w14:paraId="15BD00CC" w14:textId="5F4BE904" w:rsidR="00121727" w:rsidRPr="00575F48" w:rsidRDefault="00121727" w:rsidP="00575F48">
            <w:pPr>
              <w:pStyle w:val="VCAAtablecondensed"/>
              <w:spacing w:before="100" w:after="100" w:line="240" w:lineRule="auto"/>
              <w:rPr>
                <w:rFonts w:cstheme="minorBidi"/>
                <w:sz w:val="18"/>
                <w:szCs w:val="18"/>
              </w:rPr>
            </w:pPr>
            <w:r w:rsidRPr="00F324A6">
              <w:rPr>
                <w:sz w:val="18"/>
                <w:szCs w:val="18"/>
              </w:rPr>
              <w:t>Summary</w:t>
            </w:r>
            <w:r>
              <w:rPr>
                <w:sz w:val="18"/>
                <w:szCs w:val="18"/>
              </w:rPr>
              <w:t xml:space="preserve"> of data that shows</w:t>
            </w:r>
            <w:r w:rsidRPr="003B28ED">
              <w:rPr>
                <w:strike/>
                <w:sz w:val="18"/>
                <w:szCs w:val="18"/>
              </w:rPr>
              <w:t xml:space="preserve"> </w:t>
            </w:r>
            <w:r w:rsidRPr="0054400D">
              <w:rPr>
                <w:rFonts w:cstheme="minorBidi"/>
                <w:sz w:val="18"/>
                <w:szCs w:val="18"/>
              </w:rPr>
              <w:t>improvements in health over time</w:t>
            </w:r>
          </w:p>
        </w:tc>
        <w:tc>
          <w:tcPr>
            <w:tcW w:w="2772" w:type="dxa"/>
          </w:tcPr>
          <w:p w14:paraId="0ED441C4" w14:textId="33F65FE6" w:rsidR="00121727" w:rsidRPr="00575F48" w:rsidRDefault="00121727" w:rsidP="00575F48">
            <w:pPr>
              <w:pStyle w:val="VCAAtablecondensed"/>
              <w:spacing w:before="100" w:after="100" w:line="240" w:lineRule="auto"/>
              <w:rPr>
                <w:rFonts w:cstheme="minorBidi"/>
                <w:sz w:val="18"/>
                <w:szCs w:val="18"/>
              </w:rPr>
            </w:pPr>
            <w:r>
              <w:rPr>
                <w:sz w:val="18"/>
                <w:szCs w:val="18"/>
              </w:rPr>
              <w:t xml:space="preserve">Accurate </w:t>
            </w:r>
            <w:r w:rsidRPr="00F324A6">
              <w:rPr>
                <w:sz w:val="18"/>
                <w:szCs w:val="18"/>
              </w:rPr>
              <w:t>description</w:t>
            </w:r>
            <w:r>
              <w:rPr>
                <w:sz w:val="18"/>
                <w:szCs w:val="18"/>
              </w:rPr>
              <w:t xml:space="preserve"> of data that shows </w:t>
            </w:r>
            <w:r w:rsidRPr="0054400D">
              <w:rPr>
                <w:rFonts w:cstheme="minorBidi"/>
                <w:sz w:val="18"/>
                <w:szCs w:val="18"/>
              </w:rPr>
              <w:t>improvements in health over time and</w:t>
            </w:r>
            <w:r>
              <w:rPr>
                <w:rFonts w:cstheme="minorBidi"/>
                <w:sz w:val="18"/>
                <w:szCs w:val="18"/>
              </w:rPr>
              <w:t xml:space="preserve"> identifying</w:t>
            </w:r>
            <w:r w:rsidRPr="0054400D">
              <w:rPr>
                <w:rFonts w:cstheme="minorBidi"/>
                <w:sz w:val="18"/>
                <w:szCs w:val="18"/>
              </w:rPr>
              <w:t xml:space="preserve"> reasons for improvements</w:t>
            </w:r>
          </w:p>
        </w:tc>
        <w:tc>
          <w:tcPr>
            <w:tcW w:w="2771" w:type="dxa"/>
          </w:tcPr>
          <w:p w14:paraId="7FEBC3C2" w14:textId="18BF5C9D" w:rsidR="00121727" w:rsidRPr="00575F48" w:rsidRDefault="00121727" w:rsidP="00575F48">
            <w:pPr>
              <w:pStyle w:val="VCAAtablecondensed"/>
              <w:spacing w:before="100" w:after="100" w:line="240" w:lineRule="auto"/>
              <w:rPr>
                <w:rFonts w:cstheme="minorBidi"/>
                <w:sz w:val="18"/>
                <w:szCs w:val="18"/>
              </w:rPr>
            </w:pPr>
            <w:r w:rsidRPr="002C652E">
              <w:rPr>
                <w:sz w:val="18"/>
                <w:szCs w:val="18"/>
              </w:rPr>
              <w:t xml:space="preserve">Detailed </w:t>
            </w:r>
            <w:r w:rsidRPr="00F324A6">
              <w:rPr>
                <w:sz w:val="18"/>
                <w:szCs w:val="18"/>
              </w:rPr>
              <w:t>explanation</w:t>
            </w:r>
            <w:r>
              <w:rPr>
                <w:sz w:val="18"/>
                <w:szCs w:val="18"/>
              </w:rPr>
              <w:t xml:space="preserve"> </w:t>
            </w:r>
            <w:r w:rsidRPr="002C652E">
              <w:rPr>
                <w:sz w:val="18"/>
                <w:szCs w:val="18"/>
              </w:rPr>
              <w:t>of data</w:t>
            </w:r>
            <w:r>
              <w:rPr>
                <w:sz w:val="18"/>
                <w:szCs w:val="18"/>
              </w:rPr>
              <w:t xml:space="preserve"> that shows </w:t>
            </w:r>
            <w:r w:rsidRPr="0054400D">
              <w:rPr>
                <w:rFonts w:cstheme="minorBidi"/>
                <w:sz w:val="18"/>
                <w:szCs w:val="18"/>
              </w:rPr>
              <w:t>improvements in health over time</w:t>
            </w:r>
            <w:r>
              <w:rPr>
                <w:rFonts w:cstheme="minorBidi"/>
                <w:sz w:val="18"/>
                <w:szCs w:val="18"/>
              </w:rPr>
              <w:t xml:space="preserve"> and outlining </w:t>
            </w:r>
            <w:r w:rsidRPr="0054400D">
              <w:rPr>
                <w:rFonts w:cstheme="minorBidi"/>
                <w:sz w:val="18"/>
                <w:szCs w:val="18"/>
              </w:rPr>
              <w:t>reasons for improvements</w:t>
            </w:r>
          </w:p>
        </w:tc>
        <w:tc>
          <w:tcPr>
            <w:tcW w:w="2772" w:type="dxa"/>
          </w:tcPr>
          <w:p w14:paraId="12C1D53A" w14:textId="217453FA" w:rsidR="00121727" w:rsidRPr="001245F2" w:rsidRDefault="00121727" w:rsidP="00AA2337">
            <w:pPr>
              <w:pStyle w:val="VCAAtablecondensed"/>
              <w:spacing w:before="100" w:after="100" w:line="240" w:lineRule="auto"/>
              <w:rPr>
                <w:rFonts w:cstheme="minorBidi"/>
                <w:sz w:val="18"/>
                <w:szCs w:val="18"/>
              </w:rPr>
            </w:pPr>
            <w:r>
              <w:rPr>
                <w:rFonts w:cstheme="minorBidi"/>
                <w:sz w:val="18"/>
                <w:szCs w:val="18"/>
              </w:rPr>
              <w:t>A</w:t>
            </w:r>
            <w:r w:rsidRPr="0054400D">
              <w:rPr>
                <w:rFonts w:cstheme="minorBidi"/>
                <w:sz w:val="18"/>
                <w:szCs w:val="18"/>
              </w:rPr>
              <w:t>nalys</w:t>
            </w:r>
            <w:r>
              <w:rPr>
                <w:rFonts w:cstheme="minorBidi"/>
                <w:sz w:val="18"/>
                <w:szCs w:val="18"/>
              </w:rPr>
              <w:t xml:space="preserve">is of </w:t>
            </w:r>
            <w:r w:rsidRPr="0054400D">
              <w:rPr>
                <w:rFonts w:cstheme="minorBidi"/>
                <w:sz w:val="18"/>
                <w:szCs w:val="18"/>
              </w:rPr>
              <w:t xml:space="preserve">data </w:t>
            </w:r>
            <w:r>
              <w:rPr>
                <w:rFonts w:cstheme="minorBidi"/>
                <w:sz w:val="18"/>
                <w:szCs w:val="18"/>
              </w:rPr>
              <w:t xml:space="preserve">to show </w:t>
            </w:r>
            <w:r w:rsidRPr="0054400D">
              <w:rPr>
                <w:rFonts w:cstheme="minorBidi"/>
                <w:sz w:val="18"/>
                <w:szCs w:val="18"/>
              </w:rPr>
              <w:t>improvements in health over time and draw</w:t>
            </w:r>
            <w:r>
              <w:rPr>
                <w:rFonts w:cstheme="minorBidi"/>
                <w:sz w:val="18"/>
                <w:szCs w:val="18"/>
              </w:rPr>
              <w:t>ing</w:t>
            </w:r>
            <w:r w:rsidRPr="0054400D">
              <w:rPr>
                <w:rFonts w:cstheme="minorBidi"/>
                <w:sz w:val="18"/>
                <w:szCs w:val="18"/>
              </w:rPr>
              <w:t xml:space="preserve"> conclusions about reasons for improvements</w:t>
            </w:r>
          </w:p>
        </w:tc>
      </w:tr>
      <w:tr w:rsidR="00121727" w:rsidRPr="00AC3EE8" w14:paraId="41BB95B6" w14:textId="77777777" w:rsidTr="00121727">
        <w:tc>
          <w:tcPr>
            <w:tcW w:w="1702" w:type="dxa"/>
            <w:vMerge/>
            <w:vAlign w:val="center"/>
          </w:tcPr>
          <w:p w14:paraId="5F5B5014" w14:textId="77777777" w:rsidR="00121727" w:rsidRPr="00AC3EE8" w:rsidRDefault="00121727" w:rsidP="00B104C5"/>
        </w:tc>
        <w:tc>
          <w:tcPr>
            <w:tcW w:w="2771" w:type="dxa"/>
          </w:tcPr>
          <w:p w14:paraId="4D1C086D" w14:textId="253289D2" w:rsidR="00121727" w:rsidRPr="002F6D98" w:rsidRDefault="00121727" w:rsidP="00AA2337">
            <w:pPr>
              <w:spacing w:before="100" w:after="100"/>
              <w:rPr>
                <w:rFonts w:ascii="Arial Narrow" w:hAnsi="Arial Narrow"/>
                <w:sz w:val="18"/>
                <w:szCs w:val="18"/>
              </w:rPr>
            </w:pPr>
            <w:r>
              <w:rPr>
                <w:rFonts w:ascii="Arial Narrow" w:hAnsi="Arial Narrow"/>
                <w:sz w:val="18"/>
                <w:szCs w:val="18"/>
              </w:rPr>
              <w:t xml:space="preserve">Limited </w:t>
            </w:r>
            <w:r w:rsidRPr="00F324A6">
              <w:rPr>
                <w:rFonts w:ascii="Arial Narrow" w:hAnsi="Arial Narrow"/>
                <w:sz w:val="18"/>
                <w:szCs w:val="18"/>
              </w:rPr>
              <w:t>explanation</w:t>
            </w:r>
            <w:r>
              <w:rPr>
                <w:rFonts w:ascii="Arial Narrow" w:hAnsi="Arial Narrow"/>
                <w:sz w:val="18"/>
                <w:szCs w:val="18"/>
              </w:rPr>
              <w:t xml:space="preserve"> of old public health and the social model of health including action areas of the Ottawa Chater for Health Promotion, and how they could improve health outcomes</w:t>
            </w:r>
          </w:p>
        </w:tc>
        <w:tc>
          <w:tcPr>
            <w:tcW w:w="2771" w:type="dxa"/>
          </w:tcPr>
          <w:p w14:paraId="477C0C6C" w14:textId="27D3803F" w:rsidR="00121727" w:rsidRPr="002F6D98" w:rsidRDefault="00121727" w:rsidP="00AA2337">
            <w:pPr>
              <w:spacing w:before="100" w:after="100"/>
              <w:rPr>
                <w:rFonts w:ascii="Arial Narrow" w:hAnsi="Arial Narrow"/>
                <w:sz w:val="18"/>
                <w:szCs w:val="18"/>
              </w:rPr>
            </w:pPr>
            <w:r>
              <w:rPr>
                <w:rFonts w:ascii="Arial Narrow" w:hAnsi="Arial Narrow"/>
                <w:sz w:val="18"/>
                <w:szCs w:val="18"/>
              </w:rPr>
              <w:t xml:space="preserve">Identification of </w:t>
            </w:r>
            <w:r w:rsidRPr="00E61B1D">
              <w:rPr>
                <w:rFonts w:ascii="Arial Narrow" w:hAnsi="Arial Narrow"/>
                <w:sz w:val="18"/>
                <w:szCs w:val="18"/>
              </w:rPr>
              <w:t>initiatives of ‘old’ public health and the social model of health, including those reflecting action areas of the Ottawa Charter for Health Promotion,</w:t>
            </w:r>
            <w:r>
              <w:rPr>
                <w:rFonts w:ascii="Arial Narrow" w:hAnsi="Arial Narrow"/>
                <w:sz w:val="18"/>
                <w:szCs w:val="18"/>
              </w:rPr>
              <w:t xml:space="preserve"> </w:t>
            </w:r>
          </w:p>
        </w:tc>
        <w:tc>
          <w:tcPr>
            <w:tcW w:w="2772" w:type="dxa"/>
          </w:tcPr>
          <w:p w14:paraId="7CF5685E" w14:textId="77EBA961" w:rsidR="00121727" w:rsidRPr="00575F48" w:rsidRDefault="00121727" w:rsidP="00575F48">
            <w:pPr>
              <w:pStyle w:val="VCAAtablecondensed"/>
              <w:spacing w:before="100" w:after="100" w:line="240" w:lineRule="auto"/>
              <w:rPr>
                <w:rFonts w:cstheme="minorBidi"/>
                <w:sz w:val="18"/>
                <w:szCs w:val="18"/>
              </w:rPr>
            </w:pPr>
            <w:r w:rsidRPr="00575F48">
              <w:rPr>
                <w:rFonts w:cstheme="minorBidi"/>
                <w:sz w:val="18"/>
                <w:szCs w:val="18"/>
              </w:rPr>
              <w:t xml:space="preserve">Outline </w:t>
            </w:r>
            <w:r>
              <w:rPr>
                <w:rFonts w:cstheme="minorBidi"/>
                <w:sz w:val="18"/>
                <w:szCs w:val="18"/>
              </w:rPr>
              <w:t xml:space="preserve">of how </w:t>
            </w:r>
            <w:r w:rsidRPr="0054400D">
              <w:rPr>
                <w:rFonts w:cstheme="minorBidi"/>
                <w:sz w:val="18"/>
                <w:szCs w:val="18"/>
              </w:rPr>
              <w:t>initiatives of ‘old’ public health and the social model of health, including those reflecting action areas of the Ottawa Charter for Health Promotion, could lead to improved health outcomes</w:t>
            </w:r>
          </w:p>
        </w:tc>
        <w:tc>
          <w:tcPr>
            <w:tcW w:w="2771" w:type="dxa"/>
          </w:tcPr>
          <w:p w14:paraId="6DB1D5E2" w14:textId="5616BBB8" w:rsidR="00121727" w:rsidRPr="00575F48" w:rsidRDefault="00121727" w:rsidP="00575F48">
            <w:pPr>
              <w:pStyle w:val="VCAAtablecondensed"/>
              <w:spacing w:before="100" w:after="100" w:line="240" w:lineRule="auto"/>
              <w:rPr>
                <w:rFonts w:cstheme="minorBidi"/>
                <w:sz w:val="18"/>
                <w:szCs w:val="18"/>
              </w:rPr>
            </w:pPr>
            <w:r>
              <w:rPr>
                <w:rFonts w:cstheme="minorBidi"/>
                <w:sz w:val="18"/>
                <w:szCs w:val="18"/>
              </w:rPr>
              <w:t xml:space="preserve">Description of </w:t>
            </w:r>
            <w:r w:rsidRPr="0054400D">
              <w:rPr>
                <w:rFonts w:cstheme="minorBidi"/>
                <w:sz w:val="18"/>
                <w:szCs w:val="18"/>
              </w:rPr>
              <w:t>how initiatives of ‘old’ public health and the social model of health, including those reflecting action areas of the Ottawa Charter for Health Promotion, could lead to improved health outcomes</w:t>
            </w:r>
          </w:p>
        </w:tc>
        <w:tc>
          <w:tcPr>
            <w:tcW w:w="2772" w:type="dxa"/>
          </w:tcPr>
          <w:p w14:paraId="5A672321" w14:textId="50336E9A" w:rsidR="00121727" w:rsidRPr="001245F2" w:rsidRDefault="00121727" w:rsidP="00AA2337">
            <w:pPr>
              <w:pStyle w:val="VCAAtablecondensed"/>
              <w:spacing w:before="100" w:after="100" w:line="240" w:lineRule="auto"/>
              <w:rPr>
                <w:rFonts w:cstheme="minorBidi"/>
                <w:sz w:val="18"/>
                <w:szCs w:val="18"/>
              </w:rPr>
            </w:pPr>
            <w:r w:rsidRPr="0054400D">
              <w:rPr>
                <w:rFonts w:cstheme="minorBidi"/>
                <w:sz w:val="18"/>
                <w:szCs w:val="18"/>
              </w:rPr>
              <w:t>Expla</w:t>
            </w:r>
            <w:r>
              <w:rPr>
                <w:rFonts w:cstheme="minorBidi"/>
                <w:sz w:val="18"/>
                <w:szCs w:val="18"/>
              </w:rPr>
              <w:t xml:space="preserve">nation of </w:t>
            </w:r>
            <w:r w:rsidRPr="0054400D">
              <w:rPr>
                <w:rFonts w:cstheme="minorBidi"/>
                <w:sz w:val="18"/>
                <w:szCs w:val="18"/>
              </w:rPr>
              <w:t>how initiatives of ‘old’ public health and the social model of health, including those reflecting action areas of the Ottawa Charter for Health Promotion, could lead to improved health outcomes</w:t>
            </w:r>
          </w:p>
        </w:tc>
      </w:tr>
      <w:tr w:rsidR="00121727" w:rsidRPr="00AC3EE8" w14:paraId="5D1F8D7E" w14:textId="77777777" w:rsidTr="00121727">
        <w:tc>
          <w:tcPr>
            <w:tcW w:w="1702" w:type="dxa"/>
            <w:vMerge/>
            <w:vAlign w:val="center"/>
          </w:tcPr>
          <w:p w14:paraId="546B3019" w14:textId="77777777" w:rsidR="00121727" w:rsidRPr="00AC3EE8" w:rsidRDefault="00121727" w:rsidP="00B104C5"/>
        </w:tc>
        <w:tc>
          <w:tcPr>
            <w:tcW w:w="2771" w:type="dxa"/>
          </w:tcPr>
          <w:p w14:paraId="2F2105C7" w14:textId="25CE730B" w:rsidR="00121727" w:rsidRPr="001245F2" w:rsidRDefault="00121727" w:rsidP="00AA2337">
            <w:pPr>
              <w:spacing w:before="100" w:after="100"/>
              <w:rPr>
                <w:rFonts w:ascii="Arial Narrow" w:hAnsi="Arial Narrow"/>
                <w:sz w:val="18"/>
                <w:szCs w:val="18"/>
              </w:rPr>
            </w:pPr>
            <w:r w:rsidRPr="00F324A6">
              <w:rPr>
                <w:rFonts w:ascii="Arial Narrow" w:hAnsi="Arial Narrow"/>
                <w:sz w:val="18"/>
                <w:szCs w:val="18"/>
              </w:rPr>
              <w:t>Very limited</w:t>
            </w:r>
            <w:r>
              <w:rPr>
                <w:rFonts w:ascii="Arial Narrow" w:hAnsi="Arial Narrow"/>
                <w:strike/>
                <w:sz w:val="18"/>
                <w:szCs w:val="18"/>
              </w:rPr>
              <w:t xml:space="preserve"> </w:t>
            </w:r>
            <w:r w:rsidRPr="00F324A6">
              <w:rPr>
                <w:rFonts w:ascii="Arial Narrow" w:hAnsi="Arial Narrow"/>
                <w:sz w:val="18"/>
                <w:szCs w:val="18"/>
              </w:rPr>
              <w:t>identification</w:t>
            </w:r>
            <w:r>
              <w:rPr>
                <w:rFonts w:ascii="Arial Narrow" w:hAnsi="Arial Narrow"/>
                <w:sz w:val="18"/>
                <w:szCs w:val="18"/>
              </w:rPr>
              <w:t xml:space="preserve"> of the </w:t>
            </w:r>
            <w:r w:rsidRPr="00E61B1D">
              <w:rPr>
                <w:rFonts w:ascii="Arial Narrow" w:hAnsi="Arial Narrow"/>
                <w:sz w:val="18"/>
                <w:szCs w:val="18"/>
              </w:rPr>
              <w:t>biomedical and social models of health</w:t>
            </w:r>
            <w:r>
              <w:rPr>
                <w:rFonts w:ascii="Arial Narrow" w:hAnsi="Arial Narrow"/>
                <w:sz w:val="18"/>
                <w:szCs w:val="18"/>
              </w:rPr>
              <w:t xml:space="preserve"> or the relationship between them.</w:t>
            </w:r>
          </w:p>
        </w:tc>
        <w:tc>
          <w:tcPr>
            <w:tcW w:w="2771" w:type="dxa"/>
          </w:tcPr>
          <w:p w14:paraId="20E75CD7" w14:textId="1C13156A" w:rsidR="00121727" w:rsidRPr="001245F2" w:rsidRDefault="00121727" w:rsidP="00AA2337">
            <w:pPr>
              <w:spacing w:before="100" w:after="100"/>
              <w:rPr>
                <w:rFonts w:ascii="Arial Narrow" w:hAnsi="Arial Narrow"/>
                <w:sz w:val="18"/>
                <w:szCs w:val="18"/>
              </w:rPr>
            </w:pPr>
            <w:r>
              <w:rPr>
                <w:rFonts w:ascii="Arial Narrow" w:hAnsi="Arial Narrow"/>
                <w:sz w:val="18"/>
                <w:szCs w:val="18"/>
              </w:rPr>
              <w:t>Identification of the</w:t>
            </w:r>
            <w:r w:rsidRPr="00E61B1D">
              <w:rPr>
                <w:rFonts w:ascii="Arial Narrow" w:hAnsi="Arial Narrow"/>
                <w:sz w:val="18"/>
                <w:szCs w:val="18"/>
              </w:rPr>
              <w:t xml:space="preserve"> biomedical and social models of health</w:t>
            </w:r>
            <w:r>
              <w:rPr>
                <w:rFonts w:ascii="Arial Narrow" w:hAnsi="Arial Narrow"/>
                <w:sz w:val="18"/>
                <w:szCs w:val="18"/>
              </w:rPr>
              <w:t>.</w:t>
            </w:r>
          </w:p>
        </w:tc>
        <w:tc>
          <w:tcPr>
            <w:tcW w:w="2772" w:type="dxa"/>
          </w:tcPr>
          <w:p w14:paraId="66E16AC3" w14:textId="5E3C1E49" w:rsidR="00121727" w:rsidRPr="001245F2" w:rsidRDefault="00121727" w:rsidP="00AA2337">
            <w:pPr>
              <w:spacing w:before="100" w:after="100"/>
              <w:rPr>
                <w:rFonts w:ascii="Arial Narrow" w:hAnsi="Arial Narrow"/>
                <w:sz w:val="18"/>
                <w:szCs w:val="18"/>
              </w:rPr>
            </w:pPr>
            <w:r>
              <w:rPr>
                <w:rFonts w:ascii="Arial Narrow" w:hAnsi="Arial Narrow"/>
                <w:sz w:val="18"/>
                <w:szCs w:val="18"/>
              </w:rPr>
              <w:t xml:space="preserve">Outline the </w:t>
            </w:r>
            <w:r w:rsidRPr="00E61B1D">
              <w:rPr>
                <w:rFonts w:ascii="Arial Narrow" w:hAnsi="Arial Narrow"/>
                <w:sz w:val="18"/>
                <w:szCs w:val="18"/>
              </w:rPr>
              <w:t>biomedical and social models of health, including the strengths and limitations of each</w:t>
            </w:r>
          </w:p>
        </w:tc>
        <w:tc>
          <w:tcPr>
            <w:tcW w:w="2771" w:type="dxa"/>
          </w:tcPr>
          <w:p w14:paraId="70C99FB1" w14:textId="6159E4CC" w:rsidR="00121727" w:rsidRPr="001245F2" w:rsidRDefault="00121727" w:rsidP="00AA2337">
            <w:pPr>
              <w:spacing w:before="60" w:after="60"/>
              <w:rPr>
                <w:rFonts w:ascii="Arial Narrow" w:hAnsi="Arial Narrow"/>
                <w:sz w:val="18"/>
                <w:szCs w:val="18"/>
              </w:rPr>
            </w:pPr>
            <w:r>
              <w:rPr>
                <w:rFonts w:ascii="Arial Narrow" w:hAnsi="Arial Narrow"/>
                <w:sz w:val="18"/>
                <w:szCs w:val="18"/>
              </w:rPr>
              <w:t>Outline</w:t>
            </w:r>
            <w:r w:rsidRPr="00E61B1D">
              <w:rPr>
                <w:rFonts w:ascii="Arial Narrow" w:hAnsi="Arial Narrow"/>
                <w:sz w:val="18"/>
                <w:szCs w:val="18"/>
              </w:rPr>
              <w:t xml:space="preserve"> the relationship between biomedical and social models of health, including the strengths and limitations of each</w:t>
            </w:r>
          </w:p>
        </w:tc>
        <w:tc>
          <w:tcPr>
            <w:tcW w:w="2772" w:type="dxa"/>
          </w:tcPr>
          <w:p w14:paraId="020035E0" w14:textId="3BA1834D" w:rsidR="00121727" w:rsidRPr="001245F2" w:rsidRDefault="00121727" w:rsidP="00AA2337">
            <w:pPr>
              <w:pStyle w:val="VCAAtablecondensed"/>
              <w:spacing w:before="100" w:after="100" w:line="240" w:lineRule="auto"/>
              <w:rPr>
                <w:rFonts w:cstheme="minorBidi"/>
                <w:sz w:val="18"/>
                <w:szCs w:val="18"/>
              </w:rPr>
            </w:pPr>
            <w:r w:rsidRPr="0054400D">
              <w:rPr>
                <w:rFonts w:cstheme="minorBidi"/>
                <w:sz w:val="18"/>
                <w:szCs w:val="18"/>
              </w:rPr>
              <w:t>Descri</w:t>
            </w:r>
            <w:r>
              <w:rPr>
                <w:rFonts w:cstheme="minorBidi"/>
                <w:sz w:val="18"/>
                <w:szCs w:val="18"/>
              </w:rPr>
              <w:t xml:space="preserve">ption of </w:t>
            </w:r>
            <w:r w:rsidRPr="0054400D">
              <w:rPr>
                <w:rFonts w:cstheme="minorBidi"/>
                <w:sz w:val="18"/>
                <w:szCs w:val="18"/>
              </w:rPr>
              <w:t>the relationship between biomedical and social models of health, including the strengths and limitations of each</w:t>
            </w:r>
          </w:p>
        </w:tc>
      </w:tr>
      <w:tr w:rsidR="00121727" w:rsidRPr="00AC3EE8" w14:paraId="49B590B9" w14:textId="77777777" w:rsidTr="00121727">
        <w:tc>
          <w:tcPr>
            <w:tcW w:w="1702" w:type="dxa"/>
            <w:vMerge/>
            <w:vAlign w:val="center"/>
          </w:tcPr>
          <w:p w14:paraId="1E8400AE" w14:textId="77777777" w:rsidR="00121727" w:rsidRPr="00AC3EE8" w:rsidRDefault="00121727" w:rsidP="00B104C5"/>
        </w:tc>
        <w:tc>
          <w:tcPr>
            <w:tcW w:w="2771" w:type="dxa"/>
          </w:tcPr>
          <w:p w14:paraId="491ADEE3" w14:textId="26CDECCB" w:rsidR="00121727" w:rsidRPr="001245F2" w:rsidRDefault="00121727" w:rsidP="00C97B44">
            <w:pPr>
              <w:spacing w:before="100" w:after="100"/>
              <w:rPr>
                <w:rFonts w:ascii="Arial Narrow" w:hAnsi="Arial Narrow"/>
                <w:sz w:val="18"/>
                <w:szCs w:val="18"/>
              </w:rPr>
            </w:pPr>
            <w:r>
              <w:rPr>
                <w:rFonts w:ascii="Arial Narrow" w:hAnsi="Arial Narrow"/>
                <w:sz w:val="18"/>
                <w:szCs w:val="18"/>
              </w:rPr>
              <w:t>Limited identification of different types of health promotion programs</w:t>
            </w:r>
          </w:p>
        </w:tc>
        <w:tc>
          <w:tcPr>
            <w:tcW w:w="2771" w:type="dxa"/>
          </w:tcPr>
          <w:p w14:paraId="26E595D7" w14:textId="17718EA1" w:rsidR="00121727" w:rsidRPr="001245F2" w:rsidRDefault="00121727" w:rsidP="00C97B44">
            <w:pPr>
              <w:spacing w:before="100" w:after="100"/>
              <w:rPr>
                <w:rFonts w:ascii="Arial Narrow" w:hAnsi="Arial Narrow"/>
                <w:sz w:val="18"/>
                <w:szCs w:val="18"/>
              </w:rPr>
            </w:pPr>
            <w:r>
              <w:rPr>
                <w:rFonts w:ascii="Arial Narrow" w:hAnsi="Arial Narrow"/>
                <w:sz w:val="18"/>
                <w:szCs w:val="18"/>
              </w:rPr>
              <w:t xml:space="preserve">Identification </w:t>
            </w:r>
            <w:r w:rsidRPr="00EE751D">
              <w:rPr>
                <w:rFonts w:ascii="Arial Narrow" w:hAnsi="Arial Narrow"/>
                <w:sz w:val="18"/>
                <w:szCs w:val="18"/>
              </w:rPr>
              <w:t>of</w:t>
            </w:r>
            <w:r>
              <w:rPr>
                <w:rFonts w:ascii="Arial Narrow" w:hAnsi="Arial Narrow"/>
                <w:sz w:val="18"/>
                <w:szCs w:val="18"/>
              </w:rPr>
              <w:t xml:space="preserve"> </w:t>
            </w:r>
            <w:r w:rsidRPr="00166877">
              <w:rPr>
                <w:rFonts w:ascii="Arial Narrow" w:hAnsi="Arial Narrow"/>
                <w:sz w:val="18"/>
                <w:szCs w:val="18"/>
              </w:rPr>
              <w:t>data</w:t>
            </w:r>
            <w:r>
              <w:rPr>
                <w:rFonts w:ascii="Arial Narrow" w:hAnsi="Arial Narrow"/>
                <w:sz w:val="18"/>
                <w:szCs w:val="18"/>
              </w:rPr>
              <w:t xml:space="preserve"> and </w:t>
            </w:r>
            <w:r w:rsidRPr="00166877">
              <w:rPr>
                <w:rFonts w:ascii="Arial Narrow" w:hAnsi="Arial Narrow"/>
                <w:sz w:val="18"/>
                <w:szCs w:val="18"/>
              </w:rPr>
              <w:t xml:space="preserve">health promotion programs </w:t>
            </w:r>
            <w:r w:rsidRPr="00F324A6">
              <w:rPr>
                <w:rFonts w:ascii="Arial Narrow" w:hAnsi="Arial Narrow"/>
                <w:sz w:val="18"/>
                <w:szCs w:val="18"/>
              </w:rPr>
              <w:t xml:space="preserve">(including initiatives introduced to improve Aboriginal and Torres Strait Islander Peoples’ health and wellbeing) in relation to the use of action areas of the Ottawa </w:t>
            </w:r>
            <w:r w:rsidRPr="003D51B3">
              <w:rPr>
                <w:rFonts w:ascii="Arial Narrow" w:hAnsi="Arial Narrow"/>
                <w:sz w:val="18"/>
                <w:szCs w:val="18"/>
              </w:rPr>
              <w:t>Charter for Health Promotion and social justice identifying action areas of the Ottawa Charter for Health Promotion and stating how they can lead to improved health outcomes</w:t>
            </w:r>
          </w:p>
        </w:tc>
        <w:tc>
          <w:tcPr>
            <w:tcW w:w="2772" w:type="dxa"/>
          </w:tcPr>
          <w:p w14:paraId="50B217BF" w14:textId="05F6EF32" w:rsidR="00121727" w:rsidRPr="001245F2" w:rsidRDefault="00121727" w:rsidP="00C97B44">
            <w:pPr>
              <w:spacing w:before="100" w:after="100"/>
              <w:rPr>
                <w:rFonts w:ascii="Arial Narrow" w:hAnsi="Arial Narrow"/>
                <w:sz w:val="18"/>
                <w:szCs w:val="18"/>
              </w:rPr>
            </w:pPr>
            <w:r>
              <w:rPr>
                <w:rFonts w:ascii="Arial Narrow" w:hAnsi="Arial Narrow"/>
                <w:sz w:val="18"/>
                <w:szCs w:val="18"/>
              </w:rPr>
              <w:t xml:space="preserve">Outline </w:t>
            </w:r>
            <w:r w:rsidRPr="00EE751D">
              <w:rPr>
                <w:rFonts w:ascii="Arial Narrow" w:hAnsi="Arial Narrow"/>
                <w:sz w:val="18"/>
                <w:szCs w:val="18"/>
              </w:rPr>
              <w:t>of</w:t>
            </w:r>
            <w:r>
              <w:rPr>
                <w:rFonts w:ascii="Arial Narrow" w:hAnsi="Arial Narrow"/>
                <w:sz w:val="18"/>
                <w:szCs w:val="18"/>
              </w:rPr>
              <w:t xml:space="preserve"> </w:t>
            </w:r>
            <w:r w:rsidRPr="00166877">
              <w:rPr>
                <w:rFonts w:ascii="Arial Narrow" w:hAnsi="Arial Narrow"/>
                <w:sz w:val="18"/>
                <w:szCs w:val="18"/>
              </w:rPr>
              <w:t>a range of data</w:t>
            </w:r>
            <w:r>
              <w:rPr>
                <w:rFonts w:ascii="Arial Narrow" w:hAnsi="Arial Narrow"/>
                <w:sz w:val="18"/>
                <w:szCs w:val="18"/>
              </w:rPr>
              <w:t xml:space="preserve"> </w:t>
            </w:r>
            <w:r w:rsidRPr="00F324A6">
              <w:rPr>
                <w:rFonts w:ascii="Arial Narrow" w:hAnsi="Arial Narrow"/>
                <w:sz w:val="18"/>
                <w:szCs w:val="18"/>
              </w:rPr>
              <w:t xml:space="preserve">and health promotion programs (including initiatives introduced to improve Aboriginal and Torres Strait Islander Peoples’ health and wellbeing) in relation to the use of action areas of the Ottawa Charter for Health Promotion </w:t>
            </w:r>
            <w:r w:rsidRPr="003D51B3">
              <w:rPr>
                <w:rFonts w:ascii="Arial Narrow" w:hAnsi="Arial Narrow"/>
                <w:sz w:val="18"/>
                <w:szCs w:val="18"/>
              </w:rPr>
              <w:t>and social justice and how they can lead to improved health outcomes</w:t>
            </w:r>
          </w:p>
        </w:tc>
        <w:tc>
          <w:tcPr>
            <w:tcW w:w="2771" w:type="dxa"/>
          </w:tcPr>
          <w:p w14:paraId="5B45CE88" w14:textId="12DBCB4D" w:rsidR="00121727" w:rsidRPr="00F324A6" w:rsidRDefault="00121727" w:rsidP="00C97B44">
            <w:pPr>
              <w:spacing w:before="100" w:after="100"/>
              <w:rPr>
                <w:rFonts w:ascii="Arial Narrow" w:hAnsi="Arial Narrow"/>
                <w:sz w:val="18"/>
                <w:szCs w:val="18"/>
              </w:rPr>
            </w:pPr>
            <w:r w:rsidRPr="00F324A6">
              <w:rPr>
                <w:rFonts w:ascii="Arial Narrow" w:hAnsi="Arial Narrow"/>
                <w:sz w:val="18"/>
                <w:szCs w:val="18"/>
              </w:rPr>
              <w:t>Detailed understanding of a range of data</w:t>
            </w:r>
            <w:r>
              <w:rPr>
                <w:rFonts w:ascii="Arial Narrow" w:hAnsi="Arial Narrow"/>
                <w:sz w:val="18"/>
                <w:szCs w:val="18"/>
              </w:rPr>
              <w:t xml:space="preserve"> </w:t>
            </w:r>
            <w:r w:rsidRPr="00F324A6">
              <w:rPr>
                <w:rFonts w:ascii="Arial Narrow" w:hAnsi="Arial Narrow"/>
                <w:sz w:val="18"/>
                <w:szCs w:val="18"/>
              </w:rPr>
              <w:t xml:space="preserve">and health promotion programs (including initiatives introduced to improve Aboriginal and Torres Strait Islander Peoples’ health and wellbeing) in relation to the use of action areas of the Ottawa Charter for Health Promotion </w:t>
            </w:r>
            <w:r w:rsidRPr="003D51B3">
              <w:rPr>
                <w:rFonts w:ascii="Arial Narrow" w:hAnsi="Arial Narrow"/>
                <w:sz w:val="18"/>
                <w:szCs w:val="18"/>
              </w:rPr>
              <w:t>and social justice and how they can lead to improved health outcomes</w:t>
            </w:r>
          </w:p>
        </w:tc>
        <w:tc>
          <w:tcPr>
            <w:tcW w:w="2772" w:type="dxa"/>
          </w:tcPr>
          <w:p w14:paraId="20111093" w14:textId="00C8B6FD" w:rsidR="00121727" w:rsidRPr="001245F2" w:rsidRDefault="00121727" w:rsidP="00C97B44">
            <w:pPr>
              <w:pStyle w:val="VCAAtablecondensed"/>
              <w:spacing w:before="100" w:after="100" w:line="240" w:lineRule="auto"/>
              <w:rPr>
                <w:rFonts w:cstheme="minorBidi"/>
                <w:sz w:val="18"/>
                <w:szCs w:val="18"/>
              </w:rPr>
            </w:pPr>
            <w:r w:rsidRPr="0054400D">
              <w:rPr>
                <w:rFonts w:cstheme="minorBidi"/>
                <w:sz w:val="18"/>
                <w:szCs w:val="18"/>
              </w:rPr>
              <w:t>Analys</w:t>
            </w:r>
            <w:r>
              <w:rPr>
                <w:rFonts w:cstheme="minorBidi"/>
                <w:sz w:val="18"/>
                <w:szCs w:val="18"/>
              </w:rPr>
              <w:t>is of</w:t>
            </w:r>
            <w:r w:rsidRPr="0054400D">
              <w:rPr>
                <w:rFonts w:cstheme="minorBidi"/>
                <w:sz w:val="18"/>
                <w:szCs w:val="18"/>
              </w:rPr>
              <w:t xml:space="preserve"> a range of data and health promotion programs</w:t>
            </w:r>
            <w:r>
              <w:rPr>
                <w:rFonts w:cstheme="minorBidi"/>
                <w:sz w:val="18"/>
                <w:szCs w:val="18"/>
              </w:rPr>
              <w:t xml:space="preserve"> (including </w:t>
            </w:r>
            <w:r w:rsidRPr="0054400D">
              <w:rPr>
                <w:sz w:val="18"/>
                <w:szCs w:val="18"/>
              </w:rPr>
              <w:t>initiatives introduced to improve Aboriginal and Torres Strait Islander Peoples’ health and wellbeing</w:t>
            </w:r>
            <w:r>
              <w:rPr>
                <w:sz w:val="18"/>
                <w:szCs w:val="18"/>
              </w:rPr>
              <w:t>)</w:t>
            </w:r>
            <w:r w:rsidRPr="0054400D">
              <w:rPr>
                <w:rFonts w:cstheme="minorBidi"/>
                <w:sz w:val="18"/>
                <w:szCs w:val="18"/>
              </w:rPr>
              <w:t xml:space="preserve"> in relation to the use of action areas of the Ottawa Charter for Health Promotion </w:t>
            </w:r>
            <w:r w:rsidRPr="003D51B3">
              <w:rPr>
                <w:rFonts w:cstheme="minorBidi"/>
                <w:sz w:val="18"/>
                <w:szCs w:val="18"/>
              </w:rPr>
              <w:t>and social justice and how they can lead to improved health outcomes</w:t>
            </w:r>
          </w:p>
        </w:tc>
      </w:tr>
      <w:tr w:rsidR="00121727" w:rsidRPr="00AC3EE8" w14:paraId="3BD62C0F" w14:textId="77777777" w:rsidTr="00121727">
        <w:tc>
          <w:tcPr>
            <w:tcW w:w="1702" w:type="dxa"/>
            <w:vMerge/>
            <w:vAlign w:val="center"/>
          </w:tcPr>
          <w:p w14:paraId="69EC039F" w14:textId="77777777" w:rsidR="00121727" w:rsidRPr="00AC3EE8" w:rsidRDefault="00121727" w:rsidP="00B104C5"/>
        </w:tc>
        <w:tc>
          <w:tcPr>
            <w:tcW w:w="2771" w:type="dxa"/>
          </w:tcPr>
          <w:p w14:paraId="1E53D5D6" w14:textId="52080F1D" w:rsidR="00121727" w:rsidRPr="001245F2" w:rsidRDefault="00121727" w:rsidP="00AA2337">
            <w:pPr>
              <w:spacing w:before="60" w:after="60"/>
              <w:rPr>
                <w:rFonts w:ascii="Arial Narrow" w:hAnsi="Arial Narrow"/>
                <w:sz w:val="18"/>
                <w:szCs w:val="18"/>
              </w:rPr>
            </w:pPr>
            <w:r w:rsidRPr="005E1461">
              <w:rPr>
                <w:rFonts w:ascii="Arial Narrow" w:hAnsi="Arial Narrow"/>
                <w:sz w:val="18"/>
                <w:szCs w:val="18"/>
              </w:rPr>
              <w:t xml:space="preserve">Limited </w:t>
            </w:r>
            <w:r w:rsidRPr="003D51B3">
              <w:rPr>
                <w:rFonts w:ascii="Arial Narrow" w:hAnsi="Arial Narrow"/>
                <w:sz w:val="18"/>
                <w:szCs w:val="18"/>
              </w:rPr>
              <w:t>identification of</w:t>
            </w:r>
            <w:r>
              <w:rPr>
                <w:rFonts w:ascii="Arial Narrow" w:hAnsi="Arial Narrow"/>
                <w:sz w:val="18"/>
                <w:szCs w:val="18"/>
              </w:rPr>
              <w:t xml:space="preserve"> </w:t>
            </w:r>
            <w:r w:rsidRPr="005E1461">
              <w:rPr>
                <w:rFonts w:ascii="Arial Narrow" w:hAnsi="Arial Narrow"/>
                <w:sz w:val="18"/>
                <w:szCs w:val="18"/>
              </w:rPr>
              <w:t xml:space="preserve">the impact of initiatives to promote healthy eating in Australia </w:t>
            </w:r>
            <w:r>
              <w:rPr>
                <w:rFonts w:ascii="Arial Narrow" w:hAnsi="Arial Narrow"/>
                <w:sz w:val="18"/>
                <w:szCs w:val="18"/>
              </w:rPr>
              <w:t>and limited identification of the reasons</w:t>
            </w:r>
            <w:r w:rsidRPr="005E1461">
              <w:rPr>
                <w:rFonts w:ascii="Arial Narrow" w:hAnsi="Arial Narrow"/>
                <w:sz w:val="18"/>
                <w:szCs w:val="18"/>
              </w:rPr>
              <w:t xml:space="preserve"> why nutritional improvements are difficult to achieve in Australia</w:t>
            </w:r>
          </w:p>
        </w:tc>
        <w:tc>
          <w:tcPr>
            <w:tcW w:w="2771" w:type="dxa"/>
          </w:tcPr>
          <w:p w14:paraId="113F3BE0" w14:textId="2D7C1104" w:rsidR="00121727" w:rsidRPr="001245F2" w:rsidRDefault="00121727" w:rsidP="00AA2337">
            <w:pPr>
              <w:spacing w:before="100" w:after="100"/>
              <w:rPr>
                <w:rFonts w:ascii="Arial Narrow" w:hAnsi="Arial Narrow"/>
                <w:sz w:val="18"/>
                <w:szCs w:val="18"/>
              </w:rPr>
            </w:pPr>
            <w:r>
              <w:rPr>
                <w:rFonts w:ascii="Arial Narrow" w:hAnsi="Arial Narrow"/>
                <w:sz w:val="18"/>
                <w:szCs w:val="18"/>
              </w:rPr>
              <w:t xml:space="preserve">Identifying </w:t>
            </w:r>
            <w:r w:rsidRPr="005E1461">
              <w:rPr>
                <w:rFonts w:ascii="Arial Narrow" w:hAnsi="Arial Narrow"/>
                <w:sz w:val="18"/>
                <w:szCs w:val="18"/>
              </w:rPr>
              <w:t>the impact of initiatives to promote healthy eating in Australia and</w:t>
            </w:r>
            <w:r>
              <w:rPr>
                <w:rFonts w:ascii="Arial Narrow" w:hAnsi="Arial Narrow"/>
                <w:sz w:val="18"/>
                <w:szCs w:val="18"/>
              </w:rPr>
              <w:t xml:space="preserve"> reasons</w:t>
            </w:r>
            <w:r w:rsidRPr="005E1461">
              <w:rPr>
                <w:rFonts w:ascii="Arial Narrow" w:hAnsi="Arial Narrow"/>
                <w:sz w:val="18"/>
                <w:szCs w:val="18"/>
              </w:rPr>
              <w:t xml:space="preserve"> why nutritional improvements are difficult to achieve in Australia</w:t>
            </w:r>
          </w:p>
        </w:tc>
        <w:tc>
          <w:tcPr>
            <w:tcW w:w="2772" w:type="dxa"/>
          </w:tcPr>
          <w:p w14:paraId="41E8BEA4" w14:textId="6DFE860E" w:rsidR="00121727" w:rsidRPr="001245F2" w:rsidRDefault="00121727" w:rsidP="00AA2337">
            <w:pPr>
              <w:spacing w:before="100" w:after="100"/>
              <w:rPr>
                <w:rFonts w:ascii="Arial Narrow" w:hAnsi="Arial Narrow"/>
                <w:sz w:val="18"/>
                <w:szCs w:val="18"/>
              </w:rPr>
            </w:pPr>
            <w:r>
              <w:rPr>
                <w:rFonts w:ascii="Arial Narrow" w:hAnsi="Arial Narrow"/>
                <w:sz w:val="18"/>
                <w:szCs w:val="18"/>
              </w:rPr>
              <w:t xml:space="preserve">Outlining </w:t>
            </w:r>
            <w:r w:rsidRPr="005E1461">
              <w:rPr>
                <w:rFonts w:ascii="Arial Narrow" w:hAnsi="Arial Narrow"/>
                <w:sz w:val="18"/>
                <w:szCs w:val="18"/>
              </w:rPr>
              <w:t>the impact of initiatives to promote healthy eating in Australia</w:t>
            </w:r>
            <w:r>
              <w:rPr>
                <w:rFonts w:ascii="Arial Narrow" w:hAnsi="Arial Narrow"/>
                <w:sz w:val="18"/>
                <w:szCs w:val="18"/>
              </w:rPr>
              <w:t>, including t</w:t>
            </w:r>
            <w:r w:rsidRPr="005E1461">
              <w:rPr>
                <w:rFonts w:ascii="Arial Narrow" w:hAnsi="Arial Narrow"/>
                <w:sz w:val="18"/>
                <w:szCs w:val="18"/>
              </w:rPr>
              <w:t>heir ability to improve health outcomes and</w:t>
            </w:r>
            <w:r>
              <w:rPr>
                <w:rFonts w:ascii="Arial Narrow" w:hAnsi="Arial Narrow"/>
                <w:sz w:val="18"/>
                <w:szCs w:val="18"/>
              </w:rPr>
              <w:t xml:space="preserve"> outline</w:t>
            </w:r>
            <w:r w:rsidRPr="005E1461">
              <w:rPr>
                <w:rFonts w:ascii="Arial Narrow" w:hAnsi="Arial Narrow"/>
                <w:sz w:val="18"/>
                <w:szCs w:val="18"/>
              </w:rPr>
              <w:t xml:space="preserve"> why nutritional improvements are difficult to achieve in Australia</w:t>
            </w:r>
          </w:p>
        </w:tc>
        <w:tc>
          <w:tcPr>
            <w:tcW w:w="2771" w:type="dxa"/>
          </w:tcPr>
          <w:p w14:paraId="18E6713F" w14:textId="73E6FE1C" w:rsidR="00121727" w:rsidRPr="001245F2" w:rsidRDefault="00121727" w:rsidP="00AA2337">
            <w:pPr>
              <w:spacing w:before="60" w:after="60"/>
              <w:rPr>
                <w:rFonts w:ascii="Arial Narrow" w:hAnsi="Arial Narrow"/>
                <w:sz w:val="18"/>
                <w:szCs w:val="18"/>
              </w:rPr>
            </w:pPr>
            <w:r>
              <w:rPr>
                <w:rFonts w:ascii="Arial Narrow" w:hAnsi="Arial Narrow"/>
                <w:sz w:val="18"/>
                <w:szCs w:val="18"/>
              </w:rPr>
              <w:t xml:space="preserve">Describing </w:t>
            </w:r>
            <w:r w:rsidRPr="005E1461">
              <w:rPr>
                <w:rFonts w:ascii="Arial Narrow" w:hAnsi="Arial Narrow"/>
                <w:sz w:val="18"/>
                <w:szCs w:val="18"/>
              </w:rPr>
              <w:t>the impact of initiatives to promote healthy eating in Australia</w:t>
            </w:r>
            <w:r>
              <w:rPr>
                <w:rFonts w:ascii="Arial Narrow" w:hAnsi="Arial Narrow"/>
                <w:sz w:val="18"/>
                <w:szCs w:val="18"/>
              </w:rPr>
              <w:t xml:space="preserve">, including </w:t>
            </w:r>
            <w:r w:rsidRPr="005E1461">
              <w:rPr>
                <w:rFonts w:ascii="Arial Narrow" w:hAnsi="Arial Narrow"/>
                <w:sz w:val="18"/>
                <w:szCs w:val="18"/>
              </w:rPr>
              <w:t xml:space="preserve">their ability to improve health outcomes and </w:t>
            </w:r>
            <w:r>
              <w:rPr>
                <w:rFonts w:ascii="Arial Narrow" w:hAnsi="Arial Narrow"/>
                <w:sz w:val="18"/>
                <w:szCs w:val="18"/>
              </w:rPr>
              <w:t>explaining</w:t>
            </w:r>
            <w:r w:rsidRPr="005E1461">
              <w:rPr>
                <w:rFonts w:ascii="Arial Narrow" w:hAnsi="Arial Narrow"/>
                <w:sz w:val="18"/>
                <w:szCs w:val="18"/>
              </w:rPr>
              <w:t xml:space="preserve"> why nutritional improvements are difficult to achieve in Australia</w:t>
            </w:r>
          </w:p>
        </w:tc>
        <w:tc>
          <w:tcPr>
            <w:tcW w:w="2772" w:type="dxa"/>
          </w:tcPr>
          <w:p w14:paraId="5B93454B" w14:textId="75DF959E" w:rsidR="00121727" w:rsidRPr="001245F2" w:rsidRDefault="00121727" w:rsidP="00AA2337">
            <w:pPr>
              <w:pStyle w:val="VCAAtablecondensed"/>
              <w:spacing w:before="100" w:after="100" w:line="240" w:lineRule="auto"/>
              <w:rPr>
                <w:rFonts w:cstheme="minorBidi"/>
                <w:sz w:val="18"/>
                <w:szCs w:val="18"/>
              </w:rPr>
            </w:pPr>
            <w:r w:rsidRPr="0054400D">
              <w:rPr>
                <w:sz w:val="18"/>
                <w:szCs w:val="18"/>
              </w:rPr>
              <w:t>Evaluat</w:t>
            </w:r>
            <w:r>
              <w:rPr>
                <w:sz w:val="18"/>
                <w:szCs w:val="18"/>
              </w:rPr>
              <w:t>ion of</w:t>
            </w:r>
            <w:r w:rsidRPr="0054400D">
              <w:rPr>
                <w:sz w:val="18"/>
                <w:szCs w:val="18"/>
              </w:rPr>
              <w:t xml:space="preserve"> the impact of initiatives to promote healthy eating in Australia</w:t>
            </w:r>
            <w:r>
              <w:rPr>
                <w:sz w:val="18"/>
                <w:szCs w:val="18"/>
              </w:rPr>
              <w:t>, including</w:t>
            </w:r>
            <w:r w:rsidRPr="0054400D">
              <w:rPr>
                <w:sz w:val="18"/>
                <w:szCs w:val="18"/>
              </w:rPr>
              <w:t xml:space="preserve"> their ability to improve health outcomes </w:t>
            </w:r>
            <w:r>
              <w:rPr>
                <w:sz w:val="18"/>
                <w:szCs w:val="18"/>
              </w:rPr>
              <w:t xml:space="preserve">and </w:t>
            </w:r>
            <w:r w:rsidRPr="0054400D">
              <w:rPr>
                <w:sz w:val="18"/>
                <w:szCs w:val="18"/>
              </w:rPr>
              <w:t>draw conclusions as to why nutritional improvements are difficult to achieve in Australia</w:t>
            </w:r>
          </w:p>
        </w:tc>
      </w:tr>
      <w:tr w:rsidR="00121727" w:rsidRPr="00AC3EE8" w14:paraId="43A1593E" w14:textId="77777777" w:rsidTr="00121727">
        <w:tc>
          <w:tcPr>
            <w:tcW w:w="1702" w:type="dxa"/>
            <w:vMerge/>
            <w:vAlign w:val="center"/>
          </w:tcPr>
          <w:p w14:paraId="1C4F0E9A" w14:textId="77777777" w:rsidR="00121727" w:rsidRPr="00AC3EE8" w:rsidRDefault="00121727" w:rsidP="002F3087"/>
        </w:tc>
        <w:tc>
          <w:tcPr>
            <w:tcW w:w="2771" w:type="dxa"/>
          </w:tcPr>
          <w:p w14:paraId="1FEFDE06" w14:textId="504F4074" w:rsidR="00121727" w:rsidRPr="003D51B3" w:rsidRDefault="00121727" w:rsidP="00DB2AFA">
            <w:pPr>
              <w:pStyle w:val="VCAAtablecondensed"/>
              <w:spacing w:before="100" w:after="100" w:line="240" w:lineRule="auto"/>
              <w:rPr>
                <w:rFonts w:cstheme="minorBidi"/>
                <w:sz w:val="18"/>
                <w:szCs w:val="18"/>
              </w:rPr>
            </w:pPr>
            <w:r w:rsidRPr="003D51B3">
              <w:rPr>
                <w:rFonts w:cstheme="minorBidi"/>
                <w:sz w:val="18"/>
                <w:szCs w:val="18"/>
              </w:rPr>
              <w:t xml:space="preserve">Limited </w:t>
            </w:r>
            <w:r w:rsidRPr="003D51B3">
              <w:rPr>
                <w:sz w:val="18"/>
                <w:szCs w:val="18"/>
              </w:rPr>
              <w:t xml:space="preserve">identification of Medicare, private health insurance, the </w:t>
            </w:r>
            <w:proofErr w:type="gramStart"/>
            <w:r w:rsidRPr="003D51B3">
              <w:rPr>
                <w:sz w:val="18"/>
                <w:szCs w:val="18"/>
              </w:rPr>
              <w:t>PBS</w:t>
            </w:r>
            <w:proofErr w:type="gramEnd"/>
            <w:r w:rsidRPr="003D51B3">
              <w:rPr>
                <w:sz w:val="18"/>
                <w:szCs w:val="18"/>
              </w:rPr>
              <w:t xml:space="preserve"> and the NDIS</w:t>
            </w:r>
          </w:p>
        </w:tc>
        <w:tc>
          <w:tcPr>
            <w:tcW w:w="2771" w:type="dxa"/>
          </w:tcPr>
          <w:p w14:paraId="502548DF" w14:textId="45B418C2" w:rsidR="00121727" w:rsidRPr="003D51B3" w:rsidRDefault="00121727" w:rsidP="00DB2AFA">
            <w:pPr>
              <w:pStyle w:val="VCAAtablecondensed"/>
              <w:spacing w:before="100" w:after="100" w:line="240" w:lineRule="auto"/>
              <w:rPr>
                <w:rFonts w:cstheme="minorBidi"/>
                <w:sz w:val="18"/>
                <w:szCs w:val="18"/>
              </w:rPr>
            </w:pPr>
            <w:r w:rsidRPr="003D51B3">
              <w:rPr>
                <w:rFonts w:cstheme="minorBidi"/>
                <w:sz w:val="18"/>
                <w:szCs w:val="18"/>
              </w:rPr>
              <w:t xml:space="preserve">Outline </w:t>
            </w:r>
            <w:r w:rsidRPr="003D51B3">
              <w:rPr>
                <w:sz w:val="18"/>
                <w:szCs w:val="18"/>
              </w:rPr>
              <w:t>Medicare, private health insurance, the PBS and the NDIS</w:t>
            </w:r>
          </w:p>
        </w:tc>
        <w:tc>
          <w:tcPr>
            <w:tcW w:w="2772" w:type="dxa"/>
          </w:tcPr>
          <w:p w14:paraId="416971CC" w14:textId="0B687D7B" w:rsidR="00121727" w:rsidRPr="003D51B3" w:rsidRDefault="00121727" w:rsidP="00DB2AFA">
            <w:pPr>
              <w:pStyle w:val="VCAAtablecondensed"/>
              <w:spacing w:before="100" w:after="100" w:line="240" w:lineRule="auto"/>
              <w:rPr>
                <w:rFonts w:cstheme="minorBidi"/>
                <w:sz w:val="18"/>
                <w:szCs w:val="18"/>
              </w:rPr>
            </w:pPr>
            <w:r w:rsidRPr="003D51B3">
              <w:rPr>
                <w:sz w:val="18"/>
                <w:szCs w:val="18"/>
              </w:rPr>
              <w:t xml:space="preserve">Description of the role of Medicare, private health insurance, the </w:t>
            </w:r>
            <w:proofErr w:type="gramStart"/>
            <w:r w:rsidRPr="003D51B3">
              <w:rPr>
                <w:sz w:val="18"/>
                <w:szCs w:val="18"/>
              </w:rPr>
              <w:t>PBS</w:t>
            </w:r>
            <w:proofErr w:type="gramEnd"/>
            <w:r w:rsidRPr="003D51B3">
              <w:rPr>
                <w:sz w:val="18"/>
                <w:szCs w:val="18"/>
              </w:rPr>
              <w:t xml:space="preserve"> and the NDIS in promoting Australia’s health.</w:t>
            </w:r>
          </w:p>
        </w:tc>
        <w:tc>
          <w:tcPr>
            <w:tcW w:w="2771" w:type="dxa"/>
          </w:tcPr>
          <w:p w14:paraId="053F7056" w14:textId="42A29B45" w:rsidR="00121727" w:rsidRPr="003D51B3" w:rsidRDefault="00121727" w:rsidP="00DB2AFA">
            <w:pPr>
              <w:pStyle w:val="VCAAtablecondensed"/>
              <w:spacing w:before="100" w:after="100" w:line="240" w:lineRule="auto"/>
              <w:rPr>
                <w:rFonts w:cstheme="minorBidi"/>
                <w:sz w:val="18"/>
                <w:szCs w:val="18"/>
              </w:rPr>
            </w:pPr>
            <w:r w:rsidRPr="003D51B3">
              <w:rPr>
                <w:sz w:val="18"/>
                <w:szCs w:val="18"/>
              </w:rPr>
              <w:t>Explanation of the role of Medicare, private health insurance, the PBS and the NDIS in promoting Australia’s health.</w:t>
            </w:r>
          </w:p>
        </w:tc>
        <w:tc>
          <w:tcPr>
            <w:tcW w:w="2772" w:type="dxa"/>
          </w:tcPr>
          <w:p w14:paraId="6DC542D2" w14:textId="2E9D36C0" w:rsidR="00121727" w:rsidRDefault="00121727" w:rsidP="002F3087">
            <w:pPr>
              <w:pStyle w:val="VCAAtablecondensed"/>
              <w:spacing w:before="100" w:after="100" w:line="240" w:lineRule="auto"/>
              <w:rPr>
                <w:rFonts w:cstheme="minorBidi"/>
                <w:sz w:val="18"/>
                <w:szCs w:val="18"/>
              </w:rPr>
            </w:pPr>
            <w:r w:rsidRPr="0054400D">
              <w:rPr>
                <w:rFonts w:cstheme="minorBidi"/>
                <w:sz w:val="18"/>
                <w:szCs w:val="18"/>
              </w:rPr>
              <w:t>Analys</w:t>
            </w:r>
            <w:r>
              <w:rPr>
                <w:rFonts w:cstheme="minorBidi"/>
                <w:sz w:val="18"/>
                <w:szCs w:val="18"/>
              </w:rPr>
              <w:t>is of</w:t>
            </w:r>
            <w:r w:rsidRPr="0054400D">
              <w:rPr>
                <w:sz w:val="18"/>
                <w:szCs w:val="18"/>
              </w:rPr>
              <w:t xml:space="preserve"> the role of Medicare, private health insurance, the PBS and the NDIS in promoting Australia’s health.</w:t>
            </w:r>
          </w:p>
        </w:tc>
      </w:tr>
    </w:tbl>
    <w:p w14:paraId="2B1CF1D6" w14:textId="77777777" w:rsidR="00B104C5" w:rsidRDefault="00B104C5" w:rsidP="00B104C5">
      <w:pPr>
        <w:spacing w:after="120"/>
        <w:rPr>
          <w:sz w:val="18"/>
          <w:szCs w:val="18"/>
        </w:rPr>
      </w:pPr>
    </w:p>
    <w:p w14:paraId="1A992D41" w14:textId="17B2380C" w:rsidR="00B104C5" w:rsidRPr="00435725" w:rsidRDefault="00B104C5" w:rsidP="00B104C5">
      <w:pPr>
        <w:spacing w:after="120"/>
        <w:rPr>
          <w:sz w:val="18"/>
          <w:szCs w:val="18"/>
        </w:rPr>
      </w:pPr>
      <w:bookmarkStart w:id="1" w:name="_Hlk162425035"/>
      <w:r w:rsidRPr="00435725">
        <w:rPr>
          <w:sz w:val="18"/>
          <w:szCs w:val="18"/>
        </w:rPr>
        <w:t>KEY to marking scale based on the Outcome contributing 50 marks</w:t>
      </w:r>
    </w:p>
    <w:tbl>
      <w:tblPr>
        <w:tblStyle w:val="TableGrid"/>
        <w:tblW w:w="0" w:type="auto"/>
        <w:tblLook w:val="04A0" w:firstRow="1" w:lastRow="0" w:firstColumn="1" w:lastColumn="0" w:noHBand="0" w:noVBand="1"/>
      </w:tblPr>
      <w:tblGrid>
        <w:gridCol w:w="2318"/>
        <w:gridCol w:w="2318"/>
        <w:gridCol w:w="2318"/>
        <w:gridCol w:w="2318"/>
        <w:gridCol w:w="2318"/>
      </w:tblGrid>
      <w:tr w:rsidR="00B104C5" w:rsidRPr="00435725" w14:paraId="11B8D62C" w14:textId="77777777" w:rsidTr="00B104C5">
        <w:trPr>
          <w:trHeight w:val="170"/>
        </w:trPr>
        <w:tc>
          <w:tcPr>
            <w:tcW w:w="2318" w:type="dxa"/>
            <w:vAlign w:val="center"/>
          </w:tcPr>
          <w:p w14:paraId="0169D808" w14:textId="77777777" w:rsidR="00B104C5" w:rsidRPr="00435725" w:rsidRDefault="00B104C5" w:rsidP="00B104C5">
            <w:pPr>
              <w:tabs>
                <w:tab w:val="left" w:pos="2268"/>
                <w:tab w:val="left" w:pos="4536"/>
                <w:tab w:val="left" w:pos="6765"/>
                <w:tab w:val="left" w:pos="9060"/>
              </w:tabs>
              <w:spacing w:before="120" w:after="120"/>
              <w:jc w:val="center"/>
              <w:rPr>
                <w:sz w:val="18"/>
                <w:szCs w:val="18"/>
              </w:rPr>
            </w:pPr>
            <w:r w:rsidRPr="00435725">
              <w:rPr>
                <w:sz w:val="18"/>
                <w:szCs w:val="18"/>
              </w:rPr>
              <w:t>Very Low 1–10</w:t>
            </w:r>
          </w:p>
        </w:tc>
        <w:tc>
          <w:tcPr>
            <w:tcW w:w="2318" w:type="dxa"/>
            <w:vAlign w:val="center"/>
          </w:tcPr>
          <w:p w14:paraId="54914DF9" w14:textId="77777777" w:rsidR="00B104C5" w:rsidRPr="00435725" w:rsidRDefault="00B104C5" w:rsidP="00B104C5">
            <w:pPr>
              <w:tabs>
                <w:tab w:val="left" w:pos="2268"/>
                <w:tab w:val="left" w:pos="4536"/>
                <w:tab w:val="left" w:pos="6765"/>
                <w:tab w:val="left" w:pos="9060"/>
              </w:tabs>
              <w:spacing w:before="120" w:after="120"/>
              <w:jc w:val="center"/>
              <w:rPr>
                <w:sz w:val="18"/>
                <w:szCs w:val="18"/>
              </w:rPr>
            </w:pPr>
            <w:r w:rsidRPr="00435725">
              <w:rPr>
                <w:sz w:val="18"/>
                <w:szCs w:val="18"/>
              </w:rPr>
              <w:t>Low 11–20</w:t>
            </w:r>
          </w:p>
        </w:tc>
        <w:tc>
          <w:tcPr>
            <w:tcW w:w="2318" w:type="dxa"/>
            <w:vAlign w:val="center"/>
          </w:tcPr>
          <w:p w14:paraId="65692398" w14:textId="77777777" w:rsidR="00B104C5" w:rsidRPr="00435725" w:rsidRDefault="00B104C5" w:rsidP="00B104C5">
            <w:pPr>
              <w:tabs>
                <w:tab w:val="left" w:pos="2268"/>
                <w:tab w:val="left" w:pos="4536"/>
                <w:tab w:val="left" w:pos="6765"/>
                <w:tab w:val="left" w:pos="9060"/>
              </w:tabs>
              <w:spacing w:before="120" w:after="120"/>
              <w:jc w:val="center"/>
              <w:rPr>
                <w:sz w:val="18"/>
                <w:szCs w:val="18"/>
              </w:rPr>
            </w:pPr>
            <w:r w:rsidRPr="00435725">
              <w:rPr>
                <w:sz w:val="18"/>
                <w:szCs w:val="18"/>
              </w:rPr>
              <w:t>Medium 21–30</w:t>
            </w:r>
          </w:p>
        </w:tc>
        <w:tc>
          <w:tcPr>
            <w:tcW w:w="2318" w:type="dxa"/>
            <w:vAlign w:val="center"/>
          </w:tcPr>
          <w:p w14:paraId="0D87773B" w14:textId="77777777" w:rsidR="00B104C5" w:rsidRPr="00435725" w:rsidRDefault="00B104C5" w:rsidP="00B104C5">
            <w:pPr>
              <w:tabs>
                <w:tab w:val="left" w:pos="2268"/>
                <w:tab w:val="left" w:pos="4536"/>
                <w:tab w:val="left" w:pos="6765"/>
                <w:tab w:val="left" w:pos="9060"/>
              </w:tabs>
              <w:spacing w:before="120" w:after="120"/>
              <w:jc w:val="center"/>
              <w:rPr>
                <w:sz w:val="18"/>
                <w:szCs w:val="18"/>
              </w:rPr>
            </w:pPr>
            <w:r w:rsidRPr="00435725">
              <w:rPr>
                <w:sz w:val="18"/>
                <w:szCs w:val="18"/>
              </w:rPr>
              <w:t>High 31–40</w:t>
            </w:r>
          </w:p>
        </w:tc>
        <w:tc>
          <w:tcPr>
            <w:tcW w:w="2318" w:type="dxa"/>
            <w:vAlign w:val="center"/>
          </w:tcPr>
          <w:p w14:paraId="20F5D353" w14:textId="77777777" w:rsidR="00B104C5" w:rsidRPr="00435725" w:rsidRDefault="00B104C5" w:rsidP="00B104C5">
            <w:pPr>
              <w:tabs>
                <w:tab w:val="left" w:pos="2268"/>
                <w:tab w:val="left" w:pos="4536"/>
                <w:tab w:val="left" w:pos="6765"/>
                <w:tab w:val="left" w:pos="9060"/>
              </w:tabs>
              <w:spacing w:before="120" w:after="120"/>
              <w:jc w:val="center"/>
              <w:rPr>
                <w:sz w:val="18"/>
                <w:szCs w:val="18"/>
              </w:rPr>
            </w:pPr>
            <w:r w:rsidRPr="00435725">
              <w:rPr>
                <w:sz w:val="18"/>
                <w:szCs w:val="18"/>
              </w:rPr>
              <w:t>Very High 41–50</w:t>
            </w:r>
          </w:p>
        </w:tc>
      </w:tr>
      <w:bookmarkEnd w:id="1"/>
    </w:tbl>
    <w:p w14:paraId="2B976676" w14:textId="7D39229C" w:rsidR="002647BB" w:rsidRPr="008506EB" w:rsidRDefault="002647BB" w:rsidP="008506EB">
      <w:pPr>
        <w:pStyle w:val="VCAAHeading1"/>
        <w:spacing w:before="0"/>
        <w:ind w:left="-426"/>
        <w:rPr>
          <w:noProof/>
          <w:color w:val="auto"/>
          <w:sz w:val="18"/>
          <w:szCs w:val="18"/>
        </w:rPr>
      </w:pPr>
    </w:p>
    <w:sectPr w:rsidR="002647BB" w:rsidRPr="008506EB" w:rsidSect="00060A23">
      <w:footerReference w:type="default" r:id="rId11"/>
      <w:headerReference w:type="first" r:id="rId12"/>
      <w:footerReference w:type="first" r:id="rId13"/>
      <w:type w:val="continuous"/>
      <w:pgSz w:w="16840" w:h="11907" w:orient="landscape" w:code="9"/>
      <w:pgMar w:top="1442" w:right="567" w:bottom="1116" w:left="1418"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575F48" w:rsidRDefault="00575F48" w:rsidP="00304EA1">
      <w:pPr>
        <w:spacing w:after="0" w:line="240" w:lineRule="auto"/>
      </w:pPr>
      <w:r>
        <w:separator/>
      </w:r>
    </w:p>
  </w:endnote>
  <w:endnote w:type="continuationSeparator" w:id="0">
    <w:p w14:paraId="3270DF94" w14:textId="77777777" w:rsidR="00575F48" w:rsidRDefault="00575F4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Neue LT 45 Light">
    <w:altName w:val="Arial"/>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952"/>
      <w:gridCol w:w="4953"/>
      <w:gridCol w:w="4950"/>
    </w:tblGrid>
    <w:tr w:rsidR="00575F48" w:rsidRPr="00D06414" w14:paraId="6474FD3B" w14:textId="77777777" w:rsidTr="00BB3BAB">
      <w:trPr>
        <w:trHeight w:val="476"/>
      </w:trPr>
      <w:tc>
        <w:tcPr>
          <w:tcW w:w="1667" w:type="pct"/>
          <w:tcMar>
            <w:left w:w="0" w:type="dxa"/>
            <w:right w:w="0" w:type="dxa"/>
          </w:tcMar>
        </w:tcPr>
        <w:p w14:paraId="0EC15F2D" w14:textId="33AE7FEB" w:rsidR="00575F48" w:rsidRPr="00D06414" w:rsidRDefault="00575F48"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575F48" w:rsidRPr="00D06414" w:rsidRDefault="00575F4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575F48" w:rsidRPr="00D06414" w:rsidRDefault="00575F48"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575F48" w:rsidRPr="00D06414" w:rsidRDefault="00575F4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80"/>
      <w:gridCol w:w="4952"/>
      <w:gridCol w:w="4950"/>
    </w:tblGrid>
    <w:tr w:rsidR="00575F48" w:rsidRPr="00D06414" w14:paraId="36A4ADC1" w14:textId="77777777" w:rsidTr="000F5AAF">
      <w:tc>
        <w:tcPr>
          <w:tcW w:w="1459" w:type="pct"/>
          <w:tcMar>
            <w:left w:w="0" w:type="dxa"/>
            <w:right w:w="0" w:type="dxa"/>
          </w:tcMar>
        </w:tcPr>
        <w:p w14:paraId="74DB1FC2" w14:textId="77777777" w:rsidR="00575F48" w:rsidRPr="00D06414" w:rsidRDefault="00575F48"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575F48" w:rsidRPr="00D06414" w:rsidRDefault="00575F48"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575F48" w:rsidRPr="00D06414" w:rsidRDefault="00575F4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575F48" w:rsidRPr="00D06414" w:rsidRDefault="00575F4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575F48" w:rsidRDefault="00575F48" w:rsidP="00304EA1">
      <w:pPr>
        <w:spacing w:after="0" w:line="240" w:lineRule="auto"/>
      </w:pPr>
      <w:r>
        <w:separator/>
      </w:r>
    </w:p>
  </w:footnote>
  <w:footnote w:type="continuationSeparator" w:id="0">
    <w:p w14:paraId="13540A36" w14:textId="77777777" w:rsidR="00575F48" w:rsidRDefault="00575F4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575F48" w:rsidRPr="009370BC" w:rsidRDefault="00575F48"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5280D"/>
    <w:multiLevelType w:val="hybridMultilevel"/>
    <w:tmpl w:val="55620B64"/>
    <w:lvl w:ilvl="0" w:tplc="56D824AE">
      <w:start w:val="1"/>
      <w:numFmt w:val="bullet"/>
      <w:lvlText w:val=""/>
      <w:lvlJc w:val="left"/>
      <w:pPr>
        <w:ind w:left="1120" w:hanging="360"/>
      </w:pPr>
      <w:rPr>
        <w:rFonts w:ascii="Symbol" w:hAnsi="Symbol"/>
      </w:rPr>
    </w:lvl>
    <w:lvl w:ilvl="1" w:tplc="9E744618">
      <w:start w:val="1"/>
      <w:numFmt w:val="bullet"/>
      <w:lvlText w:val=""/>
      <w:lvlJc w:val="left"/>
      <w:pPr>
        <w:ind w:left="1120" w:hanging="360"/>
      </w:pPr>
      <w:rPr>
        <w:rFonts w:ascii="Symbol" w:hAnsi="Symbol"/>
      </w:rPr>
    </w:lvl>
    <w:lvl w:ilvl="2" w:tplc="9E70BFEA">
      <w:start w:val="1"/>
      <w:numFmt w:val="bullet"/>
      <w:lvlText w:val=""/>
      <w:lvlJc w:val="left"/>
      <w:pPr>
        <w:ind w:left="1120" w:hanging="360"/>
      </w:pPr>
      <w:rPr>
        <w:rFonts w:ascii="Symbol" w:hAnsi="Symbol"/>
      </w:rPr>
    </w:lvl>
    <w:lvl w:ilvl="3" w:tplc="26E2F8F4">
      <w:start w:val="1"/>
      <w:numFmt w:val="bullet"/>
      <w:lvlText w:val=""/>
      <w:lvlJc w:val="left"/>
      <w:pPr>
        <w:ind w:left="1120" w:hanging="360"/>
      </w:pPr>
      <w:rPr>
        <w:rFonts w:ascii="Symbol" w:hAnsi="Symbol"/>
      </w:rPr>
    </w:lvl>
    <w:lvl w:ilvl="4" w:tplc="46AED804">
      <w:start w:val="1"/>
      <w:numFmt w:val="bullet"/>
      <w:lvlText w:val=""/>
      <w:lvlJc w:val="left"/>
      <w:pPr>
        <w:ind w:left="1120" w:hanging="360"/>
      </w:pPr>
      <w:rPr>
        <w:rFonts w:ascii="Symbol" w:hAnsi="Symbol"/>
      </w:rPr>
    </w:lvl>
    <w:lvl w:ilvl="5" w:tplc="9CBE8F4C">
      <w:start w:val="1"/>
      <w:numFmt w:val="bullet"/>
      <w:lvlText w:val=""/>
      <w:lvlJc w:val="left"/>
      <w:pPr>
        <w:ind w:left="1120" w:hanging="360"/>
      </w:pPr>
      <w:rPr>
        <w:rFonts w:ascii="Symbol" w:hAnsi="Symbol"/>
      </w:rPr>
    </w:lvl>
    <w:lvl w:ilvl="6" w:tplc="CAFCCFE2">
      <w:start w:val="1"/>
      <w:numFmt w:val="bullet"/>
      <w:lvlText w:val=""/>
      <w:lvlJc w:val="left"/>
      <w:pPr>
        <w:ind w:left="1120" w:hanging="360"/>
      </w:pPr>
      <w:rPr>
        <w:rFonts w:ascii="Symbol" w:hAnsi="Symbol"/>
      </w:rPr>
    </w:lvl>
    <w:lvl w:ilvl="7" w:tplc="A45CFF9A">
      <w:start w:val="1"/>
      <w:numFmt w:val="bullet"/>
      <w:lvlText w:val=""/>
      <w:lvlJc w:val="left"/>
      <w:pPr>
        <w:ind w:left="1120" w:hanging="360"/>
      </w:pPr>
      <w:rPr>
        <w:rFonts w:ascii="Symbol" w:hAnsi="Symbol"/>
      </w:rPr>
    </w:lvl>
    <w:lvl w:ilvl="8" w:tplc="4FE211A2">
      <w:start w:val="1"/>
      <w:numFmt w:val="bullet"/>
      <w:lvlText w:val=""/>
      <w:lvlJc w:val="left"/>
      <w:pPr>
        <w:ind w:left="1120" w:hanging="360"/>
      </w:pPr>
      <w:rPr>
        <w:rFonts w:ascii="Symbol" w:hAnsi="Symbol"/>
      </w:rPr>
    </w:lvl>
  </w:abstractNum>
  <w:abstractNum w:abstractNumId="2" w15:restartNumberingAfterBreak="0">
    <w:nsid w:val="3E6B55F8"/>
    <w:multiLevelType w:val="hybridMultilevel"/>
    <w:tmpl w:val="B2DE79AE"/>
    <w:lvl w:ilvl="0" w:tplc="6EEE2AE0">
      <w:start w:val="1"/>
      <w:numFmt w:val="bullet"/>
      <w:lvlText w:val=""/>
      <w:lvlJc w:val="left"/>
      <w:pPr>
        <w:ind w:left="1120" w:hanging="360"/>
      </w:pPr>
      <w:rPr>
        <w:rFonts w:ascii="Symbol" w:hAnsi="Symbol"/>
      </w:rPr>
    </w:lvl>
    <w:lvl w:ilvl="1" w:tplc="4A7AA06A">
      <w:start w:val="1"/>
      <w:numFmt w:val="bullet"/>
      <w:lvlText w:val=""/>
      <w:lvlJc w:val="left"/>
      <w:pPr>
        <w:ind w:left="1120" w:hanging="360"/>
      </w:pPr>
      <w:rPr>
        <w:rFonts w:ascii="Symbol" w:hAnsi="Symbol"/>
      </w:rPr>
    </w:lvl>
    <w:lvl w:ilvl="2" w:tplc="69E04C84">
      <w:start w:val="1"/>
      <w:numFmt w:val="bullet"/>
      <w:lvlText w:val=""/>
      <w:lvlJc w:val="left"/>
      <w:pPr>
        <w:ind w:left="1120" w:hanging="360"/>
      </w:pPr>
      <w:rPr>
        <w:rFonts w:ascii="Symbol" w:hAnsi="Symbol"/>
      </w:rPr>
    </w:lvl>
    <w:lvl w:ilvl="3" w:tplc="D9681FA2">
      <w:start w:val="1"/>
      <w:numFmt w:val="bullet"/>
      <w:lvlText w:val=""/>
      <w:lvlJc w:val="left"/>
      <w:pPr>
        <w:ind w:left="1120" w:hanging="360"/>
      </w:pPr>
      <w:rPr>
        <w:rFonts w:ascii="Symbol" w:hAnsi="Symbol"/>
      </w:rPr>
    </w:lvl>
    <w:lvl w:ilvl="4" w:tplc="0630B124">
      <w:start w:val="1"/>
      <w:numFmt w:val="bullet"/>
      <w:lvlText w:val=""/>
      <w:lvlJc w:val="left"/>
      <w:pPr>
        <w:ind w:left="1120" w:hanging="360"/>
      </w:pPr>
      <w:rPr>
        <w:rFonts w:ascii="Symbol" w:hAnsi="Symbol"/>
      </w:rPr>
    </w:lvl>
    <w:lvl w:ilvl="5" w:tplc="4B72DC16">
      <w:start w:val="1"/>
      <w:numFmt w:val="bullet"/>
      <w:lvlText w:val=""/>
      <w:lvlJc w:val="left"/>
      <w:pPr>
        <w:ind w:left="1120" w:hanging="360"/>
      </w:pPr>
      <w:rPr>
        <w:rFonts w:ascii="Symbol" w:hAnsi="Symbol"/>
      </w:rPr>
    </w:lvl>
    <w:lvl w:ilvl="6" w:tplc="C41AC74A">
      <w:start w:val="1"/>
      <w:numFmt w:val="bullet"/>
      <w:lvlText w:val=""/>
      <w:lvlJc w:val="left"/>
      <w:pPr>
        <w:ind w:left="1120" w:hanging="360"/>
      </w:pPr>
      <w:rPr>
        <w:rFonts w:ascii="Symbol" w:hAnsi="Symbol"/>
      </w:rPr>
    </w:lvl>
    <w:lvl w:ilvl="7" w:tplc="E97A6C40">
      <w:start w:val="1"/>
      <w:numFmt w:val="bullet"/>
      <w:lvlText w:val=""/>
      <w:lvlJc w:val="left"/>
      <w:pPr>
        <w:ind w:left="1120" w:hanging="360"/>
      </w:pPr>
      <w:rPr>
        <w:rFonts w:ascii="Symbol" w:hAnsi="Symbol"/>
      </w:rPr>
    </w:lvl>
    <w:lvl w:ilvl="8" w:tplc="68A87724">
      <w:start w:val="1"/>
      <w:numFmt w:val="bullet"/>
      <w:lvlText w:val=""/>
      <w:lvlJc w:val="left"/>
      <w:pPr>
        <w:ind w:left="1120" w:hanging="360"/>
      </w:pPr>
      <w:rPr>
        <w:rFonts w:ascii="Symbol" w:hAnsi="Symbol"/>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9345F8"/>
    <w:multiLevelType w:val="hybridMultilevel"/>
    <w:tmpl w:val="15CA691E"/>
    <w:lvl w:ilvl="0" w:tplc="FA760AF0">
      <w:start w:val="1"/>
      <w:numFmt w:val="bullet"/>
      <w:lvlText w:val=""/>
      <w:lvlJc w:val="left"/>
      <w:pPr>
        <w:ind w:left="1120" w:hanging="360"/>
      </w:pPr>
      <w:rPr>
        <w:rFonts w:ascii="Symbol" w:hAnsi="Symbol"/>
      </w:rPr>
    </w:lvl>
    <w:lvl w:ilvl="1" w:tplc="E93E87F0">
      <w:start w:val="1"/>
      <w:numFmt w:val="bullet"/>
      <w:lvlText w:val=""/>
      <w:lvlJc w:val="left"/>
      <w:pPr>
        <w:ind w:left="1120" w:hanging="360"/>
      </w:pPr>
      <w:rPr>
        <w:rFonts w:ascii="Symbol" w:hAnsi="Symbol"/>
      </w:rPr>
    </w:lvl>
    <w:lvl w:ilvl="2" w:tplc="A34AB64A">
      <w:start w:val="1"/>
      <w:numFmt w:val="bullet"/>
      <w:lvlText w:val=""/>
      <w:lvlJc w:val="left"/>
      <w:pPr>
        <w:ind w:left="1120" w:hanging="360"/>
      </w:pPr>
      <w:rPr>
        <w:rFonts w:ascii="Symbol" w:hAnsi="Symbol"/>
      </w:rPr>
    </w:lvl>
    <w:lvl w:ilvl="3" w:tplc="A4780010">
      <w:start w:val="1"/>
      <w:numFmt w:val="bullet"/>
      <w:lvlText w:val=""/>
      <w:lvlJc w:val="left"/>
      <w:pPr>
        <w:ind w:left="1120" w:hanging="360"/>
      </w:pPr>
      <w:rPr>
        <w:rFonts w:ascii="Symbol" w:hAnsi="Symbol"/>
      </w:rPr>
    </w:lvl>
    <w:lvl w:ilvl="4" w:tplc="CFCA1AA4">
      <w:start w:val="1"/>
      <w:numFmt w:val="bullet"/>
      <w:lvlText w:val=""/>
      <w:lvlJc w:val="left"/>
      <w:pPr>
        <w:ind w:left="1120" w:hanging="360"/>
      </w:pPr>
      <w:rPr>
        <w:rFonts w:ascii="Symbol" w:hAnsi="Symbol"/>
      </w:rPr>
    </w:lvl>
    <w:lvl w:ilvl="5" w:tplc="677A1980">
      <w:start w:val="1"/>
      <w:numFmt w:val="bullet"/>
      <w:lvlText w:val=""/>
      <w:lvlJc w:val="left"/>
      <w:pPr>
        <w:ind w:left="1120" w:hanging="360"/>
      </w:pPr>
      <w:rPr>
        <w:rFonts w:ascii="Symbol" w:hAnsi="Symbol"/>
      </w:rPr>
    </w:lvl>
    <w:lvl w:ilvl="6" w:tplc="A7BEC76A">
      <w:start w:val="1"/>
      <w:numFmt w:val="bullet"/>
      <w:lvlText w:val=""/>
      <w:lvlJc w:val="left"/>
      <w:pPr>
        <w:ind w:left="1120" w:hanging="360"/>
      </w:pPr>
      <w:rPr>
        <w:rFonts w:ascii="Symbol" w:hAnsi="Symbol"/>
      </w:rPr>
    </w:lvl>
    <w:lvl w:ilvl="7" w:tplc="BDD2A4DE">
      <w:start w:val="1"/>
      <w:numFmt w:val="bullet"/>
      <w:lvlText w:val=""/>
      <w:lvlJc w:val="left"/>
      <w:pPr>
        <w:ind w:left="1120" w:hanging="360"/>
      </w:pPr>
      <w:rPr>
        <w:rFonts w:ascii="Symbol" w:hAnsi="Symbol"/>
      </w:rPr>
    </w:lvl>
    <w:lvl w:ilvl="8" w:tplc="72A223F8">
      <w:start w:val="1"/>
      <w:numFmt w:val="bullet"/>
      <w:lvlText w:val=""/>
      <w:lvlJc w:val="left"/>
      <w:pPr>
        <w:ind w:left="1120" w:hanging="360"/>
      </w:pPr>
      <w:rPr>
        <w:rFonts w:ascii="Symbol" w:hAnsi="Symbol"/>
      </w:rPr>
    </w:lvl>
  </w:abstractNum>
  <w:abstractNum w:abstractNumId="5" w15:restartNumberingAfterBreak="0">
    <w:nsid w:val="52CB01D8"/>
    <w:multiLevelType w:val="hybridMultilevel"/>
    <w:tmpl w:val="CBAE47B4"/>
    <w:lvl w:ilvl="0" w:tplc="44001612">
      <w:start w:val="1"/>
      <w:numFmt w:val="bullet"/>
      <w:lvlText w:val=""/>
      <w:lvlJc w:val="left"/>
      <w:pPr>
        <w:ind w:left="1120" w:hanging="360"/>
      </w:pPr>
      <w:rPr>
        <w:rFonts w:ascii="Symbol" w:hAnsi="Symbol"/>
      </w:rPr>
    </w:lvl>
    <w:lvl w:ilvl="1" w:tplc="F8929D0E">
      <w:start w:val="1"/>
      <w:numFmt w:val="bullet"/>
      <w:lvlText w:val=""/>
      <w:lvlJc w:val="left"/>
      <w:pPr>
        <w:ind w:left="1120" w:hanging="360"/>
      </w:pPr>
      <w:rPr>
        <w:rFonts w:ascii="Symbol" w:hAnsi="Symbol"/>
      </w:rPr>
    </w:lvl>
    <w:lvl w:ilvl="2" w:tplc="B69E67F2">
      <w:start w:val="1"/>
      <w:numFmt w:val="bullet"/>
      <w:lvlText w:val=""/>
      <w:lvlJc w:val="left"/>
      <w:pPr>
        <w:ind w:left="1120" w:hanging="360"/>
      </w:pPr>
      <w:rPr>
        <w:rFonts w:ascii="Symbol" w:hAnsi="Symbol"/>
      </w:rPr>
    </w:lvl>
    <w:lvl w:ilvl="3" w:tplc="414A44EE">
      <w:start w:val="1"/>
      <w:numFmt w:val="bullet"/>
      <w:lvlText w:val=""/>
      <w:lvlJc w:val="left"/>
      <w:pPr>
        <w:ind w:left="1120" w:hanging="360"/>
      </w:pPr>
      <w:rPr>
        <w:rFonts w:ascii="Symbol" w:hAnsi="Symbol"/>
      </w:rPr>
    </w:lvl>
    <w:lvl w:ilvl="4" w:tplc="C1883438">
      <w:start w:val="1"/>
      <w:numFmt w:val="bullet"/>
      <w:lvlText w:val=""/>
      <w:lvlJc w:val="left"/>
      <w:pPr>
        <w:ind w:left="1120" w:hanging="360"/>
      </w:pPr>
      <w:rPr>
        <w:rFonts w:ascii="Symbol" w:hAnsi="Symbol"/>
      </w:rPr>
    </w:lvl>
    <w:lvl w:ilvl="5" w:tplc="9DF67740">
      <w:start w:val="1"/>
      <w:numFmt w:val="bullet"/>
      <w:lvlText w:val=""/>
      <w:lvlJc w:val="left"/>
      <w:pPr>
        <w:ind w:left="1120" w:hanging="360"/>
      </w:pPr>
      <w:rPr>
        <w:rFonts w:ascii="Symbol" w:hAnsi="Symbol"/>
      </w:rPr>
    </w:lvl>
    <w:lvl w:ilvl="6" w:tplc="610093F0">
      <w:start w:val="1"/>
      <w:numFmt w:val="bullet"/>
      <w:lvlText w:val=""/>
      <w:lvlJc w:val="left"/>
      <w:pPr>
        <w:ind w:left="1120" w:hanging="360"/>
      </w:pPr>
      <w:rPr>
        <w:rFonts w:ascii="Symbol" w:hAnsi="Symbol"/>
      </w:rPr>
    </w:lvl>
    <w:lvl w:ilvl="7" w:tplc="E168E0B2">
      <w:start w:val="1"/>
      <w:numFmt w:val="bullet"/>
      <w:lvlText w:val=""/>
      <w:lvlJc w:val="left"/>
      <w:pPr>
        <w:ind w:left="1120" w:hanging="360"/>
      </w:pPr>
      <w:rPr>
        <w:rFonts w:ascii="Symbol" w:hAnsi="Symbol"/>
      </w:rPr>
    </w:lvl>
    <w:lvl w:ilvl="8" w:tplc="9634C5D6">
      <w:start w:val="1"/>
      <w:numFmt w:val="bullet"/>
      <w:lvlText w:val=""/>
      <w:lvlJc w:val="left"/>
      <w:pPr>
        <w:ind w:left="1120" w:hanging="360"/>
      </w:pPr>
      <w:rPr>
        <w:rFonts w:ascii="Symbol" w:hAnsi="Symbol"/>
      </w:rPr>
    </w:lvl>
  </w:abstractNum>
  <w:abstractNum w:abstractNumId="6" w15:restartNumberingAfterBreak="0">
    <w:nsid w:val="54A5055C"/>
    <w:multiLevelType w:val="hybridMultilevel"/>
    <w:tmpl w:val="7F3201A6"/>
    <w:lvl w:ilvl="0" w:tplc="AD4A624A">
      <w:start w:val="1"/>
      <w:numFmt w:val="bullet"/>
      <w:lvlText w:val=""/>
      <w:lvlJc w:val="left"/>
      <w:pPr>
        <w:ind w:left="1120" w:hanging="360"/>
      </w:pPr>
      <w:rPr>
        <w:rFonts w:ascii="Symbol" w:hAnsi="Symbol"/>
      </w:rPr>
    </w:lvl>
    <w:lvl w:ilvl="1" w:tplc="32509718">
      <w:start w:val="1"/>
      <w:numFmt w:val="bullet"/>
      <w:lvlText w:val=""/>
      <w:lvlJc w:val="left"/>
      <w:pPr>
        <w:ind w:left="1120" w:hanging="360"/>
      </w:pPr>
      <w:rPr>
        <w:rFonts w:ascii="Symbol" w:hAnsi="Symbol"/>
      </w:rPr>
    </w:lvl>
    <w:lvl w:ilvl="2" w:tplc="1DE0802E">
      <w:start w:val="1"/>
      <w:numFmt w:val="bullet"/>
      <w:lvlText w:val=""/>
      <w:lvlJc w:val="left"/>
      <w:pPr>
        <w:ind w:left="1120" w:hanging="360"/>
      </w:pPr>
      <w:rPr>
        <w:rFonts w:ascii="Symbol" w:hAnsi="Symbol"/>
      </w:rPr>
    </w:lvl>
    <w:lvl w:ilvl="3" w:tplc="DE4249A4">
      <w:start w:val="1"/>
      <w:numFmt w:val="bullet"/>
      <w:lvlText w:val=""/>
      <w:lvlJc w:val="left"/>
      <w:pPr>
        <w:ind w:left="1120" w:hanging="360"/>
      </w:pPr>
      <w:rPr>
        <w:rFonts w:ascii="Symbol" w:hAnsi="Symbol"/>
      </w:rPr>
    </w:lvl>
    <w:lvl w:ilvl="4" w:tplc="884437AA">
      <w:start w:val="1"/>
      <w:numFmt w:val="bullet"/>
      <w:lvlText w:val=""/>
      <w:lvlJc w:val="left"/>
      <w:pPr>
        <w:ind w:left="1120" w:hanging="360"/>
      </w:pPr>
      <w:rPr>
        <w:rFonts w:ascii="Symbol" w:hAnsi="Symbol"/>
      </w:rPr>
    </w:lvl>
    <w:lvl w:ilvl="5" w:tplc="CCCC63F4">
      <w:start w:val="1"/>
      <w:numFmt w:val="bullet"/>
      <w:lvlText w:val=""/>
      <w:lvlJc w:val="left"/>
      <w:pPr>
        <w:ind w:left="1120" w:hanging="360"/>
      </w:pPr>
      <w:rPr>
        <w:rFonts w:ascii="Symbol" w:hAnsi="Symbol"/>
      </w:rPr>
    </w:lvl>
    <w:lvl w:ilvl="6" w:tplc="1ED40BA6">
      <w:start w:val="1"/>
      <w:numFmt w:val="bullet"/>
      <w:lvlText w:val=""/>
      <w:lvlJc w:val="left"/>
      <w:pPr>
        <w:ind w:left="1120" w:hanging="360"/>
      </w:pPr>
      <w:rPr>
        <w:rFonts w:ascii="Symbol" w:hAnsi="Symbol"/>
      </w:rPr>
    </w:lvl>
    <w:lvl w:ilvl="7" w:tplc="4C0CD366">
      <w:start w:val="1"/>
      <w:numFmt w:val="bullet"/>
      <w:lvlText w:val=""/>
      <w:lvlJc w:val="left"/>
      <w:pPr>
        <w:ind w:left="1120" w:hanging="360"/>
      </w:pPr>
      <w:rPr>
        <w:rFonts w:ascii="Symbol" w:hAnsi="Symbol"/>
      </w:rPr>
    </w:lvl>
    <w:lvl w:ilvl="8" w:tplc="9DE2661A">
      <w:start w:val="1"/>
      <w:numFmt w:val="bullet"/>
      <w:lvlText w:val=""/>
      <w:lvlJc w:val="left"/>
      <w:pPr>
        <w:ind w:left="1120" w:hanging="360"/>
      </w:pPr>
      <w:rPr>
        <w:rFonts w:ascii="Symbol" w:hAnsi="Symbol"/>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5036C06"/>
    <w:multiLevelType w:val="multilevel"/>
    <w:tmpl w:val="E146D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A1F59CD"/>
    <w:multiLevelType w:val="hybridMultilevel"/>
    <w:tmpl w:val="343C5944"/>
    <w:lvl w:ilvl="0" w:tplc="F1981754">
      <w:start w:val="1"/>
      <w:numFmt w:val="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28EF3C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9187646">
    <w:abstractNumId w:val="9"/>
  </w:num>
  <w:num w:numId="2" w16cid:durableId="1187140300">
    <w:abstractNumId w:val="7"/>
  </w:num>
  <w:num w:numId="3" w16cid:durableId="814445490">
    <w:abstractNumId w:val="3"/>
  </w:num>
  <w:num w:numId="4" w16cid:durableId="1474642682">
    <w:abstractNumId w:val="0"/>
  </w:num>
  <w:num w:numId="5" w16cid:durableId="1037466436">
    <w:abstractNumId w:val="8"/>
  </w:num>
  <w:num w:numId="6" w16cid:durableId="377894846">
    <w:abstractNumId w:val="1"/>
  </w:num>
  <w:num w:numId="7" w16cid:durableId="837962413">
    <w:abstractNumId w:val="4"/>
  </w:num>
  <w:num w:numId="8" w16cid:durableId="2119517498">
    <w:abstractNumId w:val="5"/>
  </w:num>
  <w:num w:numId="9" w16cid:durableId="1262566994">
    <w:abstractNumId w:val="6"/>
  </w:num>
  <w:num w:numId="10" w16cid:durableId="908270891">
    <w:abstractNumId w:val="2"/>
  </w:num>
  <w:num w:numId="11" w16cid:durableId="139884691">
    <w:abstractNumId w:val="11"/>
  </w:num>
  <w:num w:numId="12" w16cid:durableId="1619406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414AF"/>
    <w:rsid w:val="0005780E"/>
    <w:rsid w:val="00060A23"/>
    <w:rsid w:val="00065CC6"/>
    <w:rsid w:val="000A71F7"/>
    <w:rsid w:val="000F09E4"/>
    <w:rsid w:val="000F16FD"/>
    <w:rsid w:val="000F5AAF"/>
    <w:rsid w:val="00121727"/>
    <w:rsid w:val="00127558"/>
    <w:rsid w:val="00143520"/>
    <w:rsid w:val="00153AD2"/>
    <w:rsid w:val="00166410"/>
    <w:rsid w:val="00166877"/>
    <w:rsid w:val="00177985"/>
    <w:rsid w:val="001779EA"/>
    <w:rsid w:val="001B4DD3"/>
    <w:rsid w:val="001D3246"/>
    <w:rsid w:val="002279BA"/>
    <w:rsid w:val="002329F3"/>
    <w:rsid w:val="00243F0D"/>
    <w:rsid w:val="00244D45"/>
    <w:rsid w:val="00260767"/>
    <w:rsid w:val="002647BB"/>
    <w:rsid w:val="002754C1"/>
    <w:rsid w:val="002841C8"/>
    <w:rsid w:val="0028516B"/>
    <w:rsid w:val="002B3A6E"/>
    <w:rsid w:val="002C6F90"/>
    <w:rsid w:val="002E4FB5"/>
    <w:rsid w:val="002F3087"/>
    <w:rsid w:val="00302FB8"/>
    <w:rsid w:val="00304EA1"/>
    <w:rsid w:val="00313C4C"/>
    <w:rsid w:val="00314D81"/>
    <w:rsid w:val="00322FC6"/>
    <w:rsid w:val="00335725"/>
    <w:rsid w:val="0035293F"/>
    <w:rsid w:val="00391986"/>
    <w:rsid w:val="003A00B4"/>
    <w:rsid w:val="003B28ED"/>
    <w:rsid w:val="003C22CC"/>
    <w:rsid w:val="003C5E71"/>
    <w:rsid w:val="003D51B3"/>
    <w:rsid w:val="003E739D"/>
    <w:rsid w:val="00417AA3"/>
    <w:rsid w:val="00425DFE"/>
    <w:rsid w:val="00434EDB"/>
    <w:rsid w:val="00440B32"/>
    <w:rsid w:val="0046078D"/>
    <w:rsid w:val="00471BAB"/>
    <w:rsid w:val="00495C80"/>
    <w:rsid w:val="004A2ED8"/>
    <w:rsid w:val="004A6F74"/>
    <w:rsid w:val="004F5BDA"/>
    <w:rsid w:val="0051631E"/>
    <w:rsid w:val="00537A1F"/>
    <w:rsid w:val="0054400D"/>
    <w:rsid w:val="005637D2"/>
    <w:rsid w:val="00566029"/>
    <w:rsid w:val="00575F48"/>
    <w:rsid w:val="005923CB"/>
    <w:rsid w:val="005B391B"/>
    <w:rsid w:val="005D3D78"/>
    <w:rsid w:val="005E1461"/>
    <w:rsid w:val="005E2EF0"/>
    <w:rsid w:val="005F4092"/>
    <w:rsid w:val="0068471E"/>
    <w:rsid w:val="00684F98"/>
    <w:rsid w:val="00693FFD"/>
    <w:rsid w:val="006D2159"/>
    <w:rsid w:val="006E40AE"/>
    <w:rsid w:val="006F787C"/>
    <w:rsid w:val="00702636"/>
    <w:rsid w:val="00714B43"/>
    <w:rsid w:val="00724507"/>
    <w:rsid w:val="00773E6C"/>
    <w:rsid w:val="00781FB1"/>
    <w:rsid w:val="007D1B6D"/>
    <w:rsid w:val="0080776F"/>
    <w:rsid w:val="00813C37"/>
    <w:rsid w:val="008154B5"/>
    <w:rsid w:val="00823962"/>
    <w:rsid w:val="008506EB"/>
    <w:rsid w:val="00852719"/>
    <w:rsid w:val="00860115"/>
    <w:rsid w:val="00865BED"/>
    <w:rsid w:val="0088783C"/>
    <w:rsid w:val="008F3F6D"/>
    <w:rsid w:val="00910094"/>
    <w:rsid w:val="009370BC"/>
    <w:rsid w:val="00970580"/>
    <w:rsid w:val="0098739B"/>
    <w:rsid w:val="0099581D"/>
    <w:rsid w:val="009B61E5"/>
    <w:rsid w:val="009D1E89"/>
    <w:rsid w:val="009D4395"/>
    <w:rsid w:val="009E5707"/>
    <w:rsid w:val="00A06412"/>
    <w:rsid w:val="00A17661"/>
    <w:rsid w:val="00A24B2D"/>
    <w:rsid w:val="00A40966"/>
    <w:rsid w:val="00A921E0"/>
    <w:rsid w:val="00A922F4"/>
    <w:rsid w:val="00AA2337"/>
    <w:rsid w:val="00AE5526"/>
    <w:rsid w:val="00AF051B"/>
    <w:rsid w:val="00B01578"/>
    <w:rsid w:val="00B0738F"/>
    <w:rsid w:val="00B104C5"/>
    <w:rsid w:val="00B13D3B"/>
    <w:rsid w:val="00B26601"/>
    <w:rsid w:val="00B41951"/>
    <w:rsid w:val="00B53229"/>
    <w:rsid w:val="00B62480"/>
    <w:rsid w:val="00B65CBE"/>
    <w:rsid w:val="00B81B70"/>
    <w:rsid w:val="00BB3BAB"/>
    <w:rsid w:val="00BD0724"/>
    <w:rsid w:val="00BD2B91"/>
    <w:rsid w:val="00BD49C1"/>
    <w:rsid w:val="00BE5521"/>
    <w:rsid w:val="00BF44CC"/>
    <w:rsid w:val="00BF6C23"/>
    <w:rsid w:val="00C53263"/>
    <w:rsid w:val="00C75F1D"/>
    <w:rsid w:val="00C95156"/>
    <w:rsid w:val="00C97B44"/>
    <w:rsid w:val="00CA0DC2"/>
    <w:rsid w:val="00CB68E8"/>
    <w:rsid w:val="00D04F01"/>
    <w:rsid w:val="00D06414"/>
    <w:rsid w:val="00D24E5A"/>
    <w:rsid w:val="00D338E4"/>
    <w:rsid w:val="00D51947"/>
    <w:rsid w:val="00D532F0"/>
    <w:rsid w:val="00D5528E"/>
    <w:rsid w:val="00D77413"/>
    <w:rsid w:val="00D82759"/>
    <w:rsid w:val="00D86DE4"/>
    <w:rsid w:val="00DB2AFA"/>
    <w:rsid w:val="00DB7996"/>
    <w:rsid w:val="00DE1909"/>
    <w:rsid w:val="00DE51DB"/>
    <w:rsid w:val="00DF0294"/>
    <w:rsid w:val="00E23F1D"/>
    <w:rsid w:val="00E30E05"/>
    <w:rsid w:val="00E36361"/>
    <w:rsid w:val="00E538E6"/>
    <w:rsid w:val="00E55AE9"/>
    <w:rsid w:val="00E61B1D"/>
    <w:rsid w:val="00E92EA3"/>
    <w:rsid w:val="00EB0C84"/>
    <w:rsid w:val="00EB7C98"/>
    <w:rsid w:val="00EE751D"/>
    <w:rsid w:val="00F01FFA"/>
    <w:rsid w:val="00F17FDE"/>
    <w:rsid w:val="00F2167E"/>
    <w:rsid w:val="00F324A6"/>
    <w:rsid w:val="00F33417"/>
    <w:rsid w:val="00F40D53"/>
    <w:rsid w:val="00F4525C"/>
    <w:rsid w:val="00F50D86"/>
    <w:rsid w:val="00F74E4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166410"/>
    <w:rPr>
      <w:sz w:val="16"/>
      <w:szCs w:val="16"/>
    </w:rPr>
  </w:style>
  <w:style w:type="paragraph" w:styleId="CommentText">
    <w:name w:val="annotation text"/>
    <w:basedOn w:val="Normal"/>
    <w:link w:val="CommentTextChar"/>
    <w:uiPriority w:val="99"/>
    <w:unhideWhenUsed/>
    <w:rsid w:val="00166410"/>
    <w:pPr>
      <w:spacing w:line="240" w:lineRule="auto"/>
    </w:pPr>
    <w:rPr>
      <w:sz w:val="20"/>
      <w:szCs w:val="20"/>
    </w:rPr>
  </w:style>
  <w:style w:type="character" w:customStyle="1" w:styleId="CommentTextChar">
    <w:name w:val="Comment Text Char"/>
    <w:basedOn w:val="DefaultParagraphFont"/>
    <w:link w:val="CommentText"/>
    <w:uiPriority w:val="99"/>
    <w:rsid w:val="00166410"/>
    <w:rPr>
      <w:sz w:val="20"/>
      <w:szCs w:val="20"/>
    </w:rPr>
  </w:style>
  <w:style w:type="paragraph" w:styleId="CommentSubject">
    <w:name w:val="annotation subject"/>
    <w:basedOn w:val="CommentText"/>
    <w:next w:val="CommentText"/>
    <w:link w:val="CommentSubjectChar"/>
    <w:uiPriority w:val="99"/>
    <w:semiHidden/>
    <w:unhideWhenUsed/>
    <w:rsid w:val="00166410"/>
    <w:rPr>
      <w:b/>
      <w:bCs/>
    </w:rPr>
  </w:style>
  <w:style w:type="character" w:customStyle="1" w:styleId="CommentSubjectChar">
    <w:name w:val="Comment Subject Char"/>
    <w:basedOn w:val="CommentTextChar"/>
    <w:link w:val="CommentSubject"/>
    <w:uiPriority w:val="99"/>
    <w:semiHidden/>
    <w:rsid w:val="00166410"/>
    <w:rPr>
      <w:b/>
      <w:bCs/>
      <w:sz w:val="20"/>
      <w:szCs w:val="20"/>
    </w:rPr>
  </w:style>
  <w:style w:type="paragraph" w:styleId="Revision">
    <w:name w:val="Revision"/>
    <w:hidden/>
    <w:uiPriority w:val="99"/>
    <w:semiHidden/>
    <w:rsid w:val="00995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1AA16BD-3361-4BE5-B0AF-F85E8923148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DA65B6AE-62DF-4217-A7AF-185F8EC96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VCE Outdoor and Environmental Studies</vt:lpstr>
    </vt:vector>
  </TitlesOfParts>
  <Company>Victorian Curriculum and Assessment Authority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Outdoor and Environmental Studies</dc:title>
  <dc:subject>Outdoor and Environmental Studies</dc:subject>
  <dc:creator>vcaa@education.vic.gov.au</dc:creator>
  <cp:keywords>outdoor, environmental, studies, VCE, performance descriptors, Unit 3, Outcome 1</cp:keywords>
  <cp:lastModifiedBy>Vanessa Flores</cp:lastModifiedBy>
  <cp:revision>4</cp:revision>
  <cp:lastPrinted>2015-05-15T02:36:00Z</cp:lastPrinted>
  <dcterms:created xsi:type="dcterms:W3CDTF">2024-09-17T01:50:00Z</dcterms:created>
  <dcterms:modified xsi:type="dcterms:W3CDTF">2024-09-24T05:34:00Z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