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41ACF18" w:rsidR="00F4525C" w:rsidRDefault="00242AC0" w:rsidP="00A63A84">
      <w:pPr>
        <w:pStyle w:val="VCAAHeading1"/>
        <w:spacing w:before="0"/>
      </w:pPr>
      <w:r>
        <w:t xml:space="preserve">VCE </w:t>
      </w:r>
      <w:r w:rsidR="00F7185C">
        <w:t>Foundation Mathematics</w:t>
      </w:r>
      <w:r>
        <w:t xml:space="preserve">: </w:t>
      </w:r>
      <w:r w:rsidR="008D74EF">
        <w:t>Performance descriptors</w:t>
      </w:r>
    </w:p>
    <w:tbl>
      <w:tblPr>
        <w:tblStyle w:val="TableGrid"/>
        <w:tblW w:w="0" w:type="auto"/>
        <w:tblLook w:val="04A0" w:firstRow="1" w:lastRow="0" w:firstColumn="1" w:lastColumn="0" w:noHBand="0" w:noVBand="1"/>
      </w:tblPr>
      <w:tblGrid>
        <w:gridCol w:w="2385"/>
        <w:gridCol w:w="1012"/>
        <w:gridCol w:w="2215"/>
        <w:gridCol w:w="188"/>
        <w:gridCol w:w="2403"/>
        <w:gridCol w:w="2403"/>
        <w:gridCol w:w="2403"/>
        <w:gridCol w:w="2403"/>
      </w:tblGrid>
      <w:tr w:rsidR="00E40242" w:rsidRPr="008D74EF" w14:paraId="6D4B8278" w14:textId="77777777" w:rsidTr="00376B6A">
        <w:tc>
          <w:tcPr>
            <w:tcW w:w="15412" w:type="dxa"/>
            <w:gridSpan w:val="8"/>
            <w:shd w:val="clear" w:color="auto" w:fill="0F7EB4"/>
          </w:tcPr>
          <w:p w14:paraId="0B1E6973" w14:textId="7EBFF92E" w:rsidR="00E40242" w:rsidRPr="004A4C31" w:rsidRDefault="00F7185C" w:rsidP="008D74EF">
            <w:pPr>
              <w:tabs>
                <w:tab w:val="left" w:pos="9580"/>
              </w:tabs>
              <w:spacing w:before="120"/>
              <w:ind w:right="-136"/>
              <w:jc w:val="center"/>
              <w:rPr>
                <w:rFonts w:ascii="Arial Narrow" w:hAnsi="Arial Narrow"/>
                <w:b/>
                <w:color w:val="FFFFFF" w:themeColor="background1"/>
                <w:lang w:eastAsia="en-AU"/>
              </w:rPr>
            </w:pPr>
            <w:bookmarkStart w:id="0" w:name="TemplateOverview"/>
            <w:bookmarkEnd w:id="0"/>
            <w:r>
              <w:rPr>
                <w:rFonts w:ascii="Arial Narrow" w:hAnsi="Arial Narrow"/>
                <w:b/>
                <w:color w:val="FFFFFF" w:themeColor="background1"/>
                <w:lang w:eastAsia="en-AU"/>
              </w:rPr>
              <w:t>VCE Foundation Mathematics</w:t>
            </w:r>
          </w:p>
          <w:p w14:paraId="28C01DFF" w14:textId="77777777" w:rsidR="00E40242" w:rsidRPr="00242AC0" w:rsidRDefault="00E40242" w:rsidP="008D74EF">
            <w:pPr>
              <w:spacing w:after="120"/>
              <w:jc w:val="center"/>
            </w:pPr>
            <w:r w:rsidRPr="004A4C31">
              <w:rPr>
                <w:rFonts w:ascii="Arial Narrow" w:hAnsi="Arial Narrow"/>
                <w:b/>
                <w:color w:val="FFFFFF" w:themeColor="background1"/>
                <w:lang w:eastAsia="en-AU"/>
              </w:rPr>
              <w:t>SCHOOL-ASSESSED COURSEWORK</w:t>
            </w:r>
          </w:p>
        </w:tc>
      </w:tr>
      <w:tr w:rsidR="00E40242" w:rsidRPr="008D74EF" w14:paraId="1C14234F" w14:textId="77777777" w:rsidTr="00376B6A">
        <w:tc>
          <w:tcPr>
            <w:tcW w:w="15412" w:type="dxa"/>
            <w:gridSpan w:val="8"/>
            <w:tcBorders>
              <w:bottom w:val="single" w:sz="4" w:space="0" w:color="auto"/>
            </w:tcBorders>
          </w:tcPr>
          <w:p w14:paraId="04D936B3" w14:textId="522D2948" w:rsidR="00E40242" w:rsidRPr="00242AC0" w:rsidRDefault="00E40242" w:rsidP="008D74EF">
            <w:pPr>
              <w:spacing w:before="60" w:after="60"/>
              <w:jc w:val="center"/>
            </w:pPr>
            <w:r w:rsidRPr="00242AC0">
              <w:rPr>
                <w:rFonts w:ascii="Arial Narrow" w:hAnsi="Arial Narrow" w:cs="Cordia New"/>
                <w:b/>
              </w:rPr>
              <w:t>Performance descriptors</w:t>
            </w:r>
          </w:p>
        </w:tc>
      </w:tr>
      <w:tr w:rsidR="00E40242" w:rsidRPr="008D74EF" w14:paraId="1D70D4E9" w14:textId="77777777" w:rsidTr="00F7185C">
        <w:tc>
          <w:tcPr>
            <w:tcW w:w="5612" w:type="dxa"/>
            <w:gridSpan w:val="3"/>
            <w:tcBorders>
              <w:left w:val="nil"/>
              <w:right w:val="nil"/>
            </w:tcBorders>
          </w:tcPr>
          <w:p w14:paraId="2F1CA4BC" w14:textId="77777777" w:rsidR="00E40242" w:rsidRPr="008D74EF" w:rsidRDefault="00E40242" w:rsidP="008D74EF">
            <w:pPr>
              <w:rPr>
                <w:sz w:val="12"/>
                <w:szCs w:val="12"/>
              </w:rPr>
            </w:pPr>
          </w:p>
        </w:tc>
        <w:tc>
          <w:tcPr>
            <w:tcW w:w="9800" w:type="dxa"/>
            <w:gridSpan w:val="5"/>
            <w:tcBorders>
              <w:left w:val="nil"/>
              <w:right w:val="nil"/>
            </w:tcBorders>
          </w:tcPr>
          <w:p w14:paraId="4B9B3C9B" w14:textId="694249F8" w:rsidR="00E40242" w:rsidRPr="008D74EF" w:rsidRDefault="00E40242" w:rsidP="008D74EF">
            <w:pPr>
              <w:rPr>
                <w:sz w:val="12"/>
                <w:szCs w:val="12"/>
              </w:rPr>
            </w:pPr>
          </w:p>
        </w:tc>
      </w:tr>
      <w:tr w:rsidR="00962445" w:rsidRPr="00242AC0" w14:paraId="17602C39" w14:textId="77777777" w:rsidTr="00F7185C">
        <w:tc>
          <w:tcPr>
            <w:tcW w:w="2385" w:type="dxa"/>
            <w:shd w:val="clear" w:color="auto" w:fill="0F7EB4"/>
            <w:vAlign w:val="center"/>
          </w:tcPr>
          <w:p w14:paraId="311A4DEE" w14:textId="2D205F53" w:rsidR="00962445" w:rsidRPr="00F7185C" w:rsidRDefault="00F7185C" w:rsidP="008D74EF">
            <w:pPr>
              <w:spacing w:before="120" w:after="120"/>
              <w:rPr>
                <w:rFonts w:ascii="Arial Narrow" w:hAnsi="Arial Narrow"/>
                <w:b/>
                <w:bCs/>
                <w:sz w:val="20"/>
                <w:szCs w:val="20"/>
              </w:rPr>
            </w:pPr>
            <w:r w:rsidRPr="00F7185C">
              <w:rPr>
                <w:rFonts w:ascii="Arial Narrow" w:hAnsi="Arial Narrow"/>
                <w:b/>
                <w:bCs/>
                <w:color w:val="FFFFFF" w:themeColor="background1"/>
                <w:sz w:val="20"/>
                <w:szCs w:val="20"/>
              </w:rPr>
              <w:t>Units 3 and 4</w:t>
            </w:r>
          </w:p>
        </w:tc>
        <w:tc>
          <w:tcPr>
            <w:tcW w:w="13027" w:type="dxa"/>
            <w:gridSpan w:val="7"/>
            <w:shd w:val="clear" w:color="auto" w:fill="0F7EB4"/>
          </w:tcPr>
          <w:p w14:paraId="592C665F" w14:textId="78E87A83" w:rsidR="00962445" w:rsidRPr="004A4C31" w:rsidRDefault="00962445" w:rsidP="008D74EF">
            <w:pPr>
              <w:spacing w:before="120" w:after="120"/>
              <w:jc w:val="center"/>
              <w:rPr>
                <w:rFonts w:ascii="Arial Narrow" w:hAnsi="Arial Narrow"/>
                <w:b/>
                <w:sz w:val="20"/>
                <w:szCs w:val="20"/>
                <w:lang w:val="en-AU"/>
              </w:rPr>
            </w:pPr>
            <w:r w:rsidRPr="004A4C31">
              <w:rPr>
                <w:rFonts w:ascii="Arial Narrow" w:hAnsi="Arial Narrow"/>
                <w:b/>
                <w:color w:val="FFFFFF" w:themeColor="background1"/>
                <w:sz w:val="20"/>
                <w:szCs w:val="20"/>
                <w:lang w:val="en-AU"/>
              </w:rPr>
              <w:t>DESCRIPTOR: typical performance in each range</w:t>
            </w:r>
          </w:p>
        </w:tc>
      </w:tr>
      <w:tr w:rsidR="00F7185C" w:rsidRPr="00242AC0" w14:paraId="06EFEA4E" w14:textId="77777777" w:rsidTr="007C3754">
        <w:trPr>
          <w:trHeight w:val="170"/>
        </w:trPr>
        <w:tc>
          <w:tcPr>
            <w:tcW w:w="2385" w:type="dxa"/>
            <w:vAlign w:val="center"/>
          </w:tcPr>
          <w:p w14:paraId="5F8D34C9" w14:textId="3C8539DD" w:rsidR="00F7185C" w:rsidRPr="007C3754" w:rsidRDefault="00F7185C" w:rsidP="008D74EF">
            <w:pPr>
              <w:spacing w:before="120" w:after="120"/>
              <w:rPr>
                <w:rFonts w:ascii="Arial Narrow" w:hAnsi="Arial Narrow"/>
                <w:b/>
                <w:bCs/>
                <w:sz w:val="20"/>
                <w:szCs w:val="20"/>
              </w:rPr>
            </w:pPr>
            <w:r w:rsidRPr="007C3754">
              <w:rPr>
                <w:rFonts w:ascii="Arial Narrow" w:hAnsi="Arial Narrow"/>
                <w:b/>
                <w:bCs/>
                <w:sz w:val="20"/>
                <w:szCs w:val="20"/>
              </w:rPr>
              <w:t xml:space="preserve">Outcome </w:t>
            </w:r>
            <w:r w:rsidR="00EB1624">
              <w:rPr>
                <w:rFonts w:ascii="Arial Narrow" w:hAnsi="Arial Narrow"/>
                <w:b/>
                <w:bCs/>
                <w:sz w:val="20"/>
                <w:szCs w:val="20"/>
              </w:rPr>
              <w:t>2</w:t>
            </w:r>
            <w:r w:rsidRPr="007C3754">
              <w:rPr>
                <w:rFonts w:ascii="Arial Narrow" w:hAnsi="Arial Narrow"/>
                <w:b/>
                <w:bCs/>
                <w:sz w:val="20"/>
                <w:szCs w:val="20"/>
              </w:rPr>
              <w:t xml:space="preserve"> </w:t>
            </w:r>
            <w:r w:rsidR="00BA7351">
              <w:rPr>
                <w:rFonts w:ascii="Arial Narrow" w:hAnsi="Arial Narrow"/>
                <w:b/>
                <w:bCs/>
                <w:sz w:val="20"/>
                <w:szCs w:val="20"/>
              </w:rPr>
              <w:t>(</w:t>
            </w:r>
            <w:r w:rsidR="00EB1624">
              <w:rPr>
                <w:rFonts w:ascii="Arial Narrow" w:hAnsi="Arial Narrow"/>
                <w:b/>
                <w:bCs/>
                <w:sz w:val="20"/>
                <w:szCs w:val="20"/>
              </w:rPr>
              <w:t xml:space="preserve">15 </w:t>
            </w:r>
            <w:r w:rsidRPr="007C3754">
              <w:rPr>
                <w:rFonts w:ascii="Arial Narrow" w:hAnsi="Arial Narrow"/>
                <w:b/>
                <w:bCs/>
                <w:sz w:val="20"/>
                <w:szCs w:val="20"/>
              </w:rPr>
              <w:t>marks</w:t>
            </w:r>
            <w:r w:rsidR="007C3754">
              <w:rPr>
                <w:rFonts w:ascii="Arial Narrow" w:hAnsi="Arial Narrow"/>
                <w:b/>
                <w:bCs/>
                <w:sz w:val="20"/>
                <w:szCs w:val="20"/>
              </w:rPr>
              <w:t>)</w:t>
            </w:r>
          </w:p>
        </w:tc>
        <w:tc>
          <w:tcPr>
            <w:tcW w:w="1012" w:type="dxa"/>
            <w:shd w:val="clear" w:color="auto" w:fill="auto"/>
          </w:tcPr>
          <w:p w14:paraId="2A3060B8" w14:textId="0A95CE99" w:rsidR="00F7185C" w:rsidRPr="00242AC0" w:rsidRDefault="00F7185C" w:rsidP="00443A55">
            <w:pPr>
              <w:spacing w:before="120" w:after="120"/>
              <w:jc w:val="center"/>
              <w:rPr>
                <w:rFonts w:ascii="Arial Narrow" w:hAnsi="Arial Narrow"/>
                <w:b/>
                <w:bCs/>
                <w:sz w:val="20"/>
                <w:szCs w:val="20"/>
                <w:lang w:eastAsia="en-AU"/>
              </w:rPr>
            </w:pPr>
            <w:r>
              <w:rPr>
                <w:rFonts w:ascii="Arial Narrow" w:hAnsi="Arial Narrow"/>
                <w:b/>
                <w:bCs/>
                <w:sz w:val="20"/>
                <w:szCs w:val="20"/>
                <w:lang w:eastAsia="en-AU"/>
              </w:rPr>
              <w:t>Focus</w:t>
            </w:r>
          </w:p>
        </w:tc>
        <w:tc>
          <w:tcPr>
            <w:tcW w:w="2403" w:type="dxa"/>
            <w:gridSpan w:val="2"/>
            <w:vAlign w:val="center"/>
          </w:tcPr>
          <w:p w14:paraId="6FEF26A5" w14:textId="48EA9374" w:rsidR="00F7185C" w:rsidRPr="00443A55" w:rsidRDefault="00F7185C" w:rsidP="00443A55">
            <w:pPr>
              <w:spacing w:before="120" w:after="120"/>
              <w:jc w:val="center"/>
              <w:rPr>
                <w:rFonts w:ascii="Arial Narrow" w:hAnsi="Arial Narrow"/>
                <w:b/>
                <w:bCs/>
                <w:sz w:val="20"/>
                <w:szCs w:val="20"/>
                <w:lang w:eastAsia="en-AU"/>
              </w:rPr>
            </w:pPr>
            <w:r>
              <w:rPr>
                <w:rFonts w:ascii="Arial Narrow" w:hAnsi="Arial Narrow"/>
                <w:b/>
                <w:bCs/>
                <w:sz w:val="20"/>
                <w:szCs w:val="20"/>
                <w:lang w:eastAsia="en-AU"/>
              </w:rPr>
              <w:t>Score 1</w:t>
            </w:r>
          </w:p>
        </w:tc>
        <w:tc>
          <w:tcPr>
            <w:tcW w:w="2403" w:type="dxa"/>
            <w:vAlign w:val="center"/>
          </w:tcPr>
          <w:p w14:paraId="5D2D2580" w14:textId="745C6109" w:rsidR="00F7185C" w:rsidRPr="00443A55" w:rsidRDefault="00F7185C" w:rsidP="00443A55">
            <w:pPr>
              <w:spacing w:before="120" w:after="120"/>
              <w:jc w:val="center"/>
              <w:rPr>
                <w:rFonts w:ascii="Arial Narrow" w:hAnsi="Arial Narrow"/>
                <w:b/>
                <w:bCs/>
                <w:sz w:val="20"/>
                <w:szCs w:val="20"/>
              </w:rPr>
            </w:pPr>
            <w:r>
              <w:rPr>
                <w:rFonts w:ascii="Arial Narrow" w:hAnsi="Arial Narrow"/>
                <w:b/>
                <w:bCs/>
                <w:sz w:val="20"/>
                <w:szCs w:val="20"/>
              </w:rPr>
              <w:t>Score 2</w:t>
            </w:r>
          </w:p>
        </w:tc>
        <w:tc>
          <w:tcPr>
            <w:tcW w:w="2403" w:type="dxa"/>
            <w:vAlign w:val="center"/>
          </w:tcPr>
          <w:p w14:paraId="5078DBB7" w14:textId="5349CC7B" w:rsidR="00F7185C" w:rsidRPr="00443A55" w:rsidRDefault="00F7185C" w:rsidP="00443A55">
            <w:pPr>
              <w:spacing w:before="120" w:after="120"/>
              <w:jc w:val="center"/>
              <w:rPr>
                <w:rFonts w:ascii="Arial Narrow" w:hAnsi="Arial Narrow"/>
                <w:b/>
                <w:sz w:val="20"/>
                <w:szCs w:val="20"/>
              </w:rPr>
            </w:pPr>
            <w:r>
              <w:rPr>
                <w:rFonts w:ascii="Arial Narrow" w:hAnsi="Arial Narrow"/>
                <w:b/>
                <w:sz w:val="20"/>
                <w:szCs w:val="20"/>
              </w:rPr>
              <w:t>Score 3</w:t>
            </w:r>
          </w:p>
        </w:tc>
        <w:tc>
          <w:tcPr>
            <w:tcW w:w="2403" w:type="dxa"/>
            <w:vAlign w:val="center"/>
          </w:tcPr>
          <w:p w14:paraId="402A628A" w14:textId="7FBFEFA2" w:rsidR="00F7185C" w:rsidRPr="00242AC0" w:rsidRDefault="00F7185C" w:rsidP="00443A55">
            <w:pPr>
              <w:spacing w:before="120" w:after="120"/>
              <w:jc w:val="center"/>
              <w:rPr>
                <w:rFonts w:ascii="Arial Narrow" w:hAnsi="Arial Narrow"/>
                <w:b/>
                <w:sz w:val="20"/>
                <w:szCs w:val="20"/>
              </w:rPr>
            </w:pPr>
            <w:r>
              <w:rPr>
                <w:rFonts w:ascii="Arial Narrow" w:hAnsi="Arial Narrow"/>
                <w:b/>
                <w:sz w:val="20"/>
                <w:szCs w:val="20"/>
              </w:rPr>
              <w:t>Score 4</w:t>
            </w:r>
          </w:p>
        </w:tc>
        <w:tc>
          <w:tcPr>
            <w:tcW w:w="2403" w:type="dxa"/>
            <w:vAlign w:val="center"/>
          </w:tcPr>
          <w:p w14:paraId="3A41BCAC" w14:textId="43D7A603" w:rsidR="00F7185C" w:rsidRPr="00443A55" w:rsidRDefault="00F7185C" w:rsidP="00443A55">
            <w:pPr>
              <w:spacing w:before="120" w:after="120"/>
              <w:jc w:val="center"/>
              <w:rPr>
                <w:rFonts w:ascii="Arial Narrow" w:hAnsi="Arial Narrow"/>
                <w:b/>
                <w:sz w:val="20"/>
                <w:szCs w:val="20"/>
              </w:rPr>
            </w:pPr>
            <w:r>
              <w:rPr>
                <w:rFonts w:ascii="Arial Narrow" w:hAnsi="Arial Narrow"/>
                <w:b/>
                <w:sz w:val="20"/>
                <w:szCs w:val="20"/>
              </w:rPr>
              <w:t>Score 5</w:t>
            </w:r>
          </w:p>
        </w:tc>
      </w:tr>
      <w:tr w:rsidR="00A63A84" w:rsidRPr="00242AC0" w14:paraId="7F64F049" w14:textId="77777777" w:rsidTr="00A63A84">
        <w:trPr>
          <w:cantSplit/>
          <w:trHeight w:val="2041"/>
        </w:trPr>
        <w:tc>
          <w:tcPr>
            <w:tcW w:w="2385" w:type="dxa"/>
            <w:vMerge w:val="restart"/>
            <w:vAlign w:val="center"/>
          </w:tcPr>
          <w:p w14:paraId="3CFC6151" w14:textId="5E1ACE99" w:rsidR="00A63A84" w:rsidRPr="00032C06" w:rsidRDefault="00A63A84" w:rsidP="00032C06">
            <w:pPr>
              <w:rPr>
                <w:rFonts w:ascii="Arial Narrow" w:hAnsi="Arial Narrow"/>
                <w:sz w:val="20"/>
                <w:szCs w:val="20"/>
              </w:rPr>
            </w:pPr>
            <w:r w:rsidRPr="00032C06">
              <w:rPr>
                <w:rFonts w:ascii="Arial Narrow" w:hAnsi="Arial Narrow"/>
                <w:color w:val="262626"/>
                <w:sz w:val="20"/>
                <w:szCs w:val="20"/>
              </w:rPr>
              <w:t>Apply mathematical processes in non-routine practical contexts, including situations with some open-ended aspects requiring investigative, modelling or problem-solving techniques or approaches, and analyse and discuss these applications of mathematics.</w:t>
            </w:r>
          </w:p>
        </w:tc>
        <w:tc>
          <w:tcPr>
            <w:tcW w:w="1012" w:type="dxa"/>
            <w:shd w:val="clear" w:color="auto" w:fill="auto"/>
            <w:textDirection w:val="btLr"/>
            <w:vAlign w:val="center"/>
          </w:tcPr>
          <w:p w14:paraId="6C1C10E3" w14:textId="560C2F7E" w:rsidR="00A63A84" w:rsidRPr="00032C06" w:rsidRDefault="00A63A84" w:rsidP="00032C06">
            <w:pPr>
              <w:ind w:left="113" w:right="113"/>
              <w:jc w:val="center"/>
              <w:rPr>
                <w:rFonts w:ascii="Arial Narrow" w:hAnsi="Arial Narrow"/>
                <w:sz w:val="20"/>
                <w:szCs w:val="20"/>
              </w:rPr>
            </w:pPr>
            <w:r w:rsidRPr="00032C06">
              <w:rPr>
                <w:rFonts w:ascii="Arial Narrow" w:hAnsi="Arial Narrow"/>
                <w:bCs/>
                <w:color w:val="262626"/>
                <w:sz w:val="20"/>
                <w:szCs w:val="20"/>
              </w:rPr>
              <w:t>Ability to Mathematise and frame questions and problem-solving steps</w:t>
            </w:r>
          </w:p>
        </w:tc>
        <w:tc>
          <w:tcPr>
            <w:tcW w:w="2403" w:type="dxa"/>
            <w:gridSpan w:val="2"/>
          </w:tcPr>
          <w:p w14:paraId="392E35FF" w14:textId="518DC60C" w:rsidR="00A63A84" w:rsidRPr="00032C06" w:rsidRDefault="00A63A84" w:rsidP="00032C06">
            <w:pPr>
              <w:spacing w:before="120" w:after="120"/>
              <w:rPr>
                <w:rFonts w:ascii="Arial Narrow" w:hAnsi="Arial Narrow"/>
                <w:sz w:val="20"/>
                <w:szCs w:val="20"/>
              </w:rPr>
            </w:pPr>
            <w:r w:rsidRPr="00032C06">
              <w:rPr>
                <w:rFonts w:ascii="Arial Narrow" w:hAnsi="Arial Narrow"/>
                <w:color w:val="262626"/>
                <w:sz w:val="20"/>
                <w:szCs w:val="20"/>
              </w:rPr>
              <w:t>Very limited or minimal mathematisation of questions, conjectures, hypotheses, and only simple, closed or familiar problems selected for study.</w:t>
            </w:r>
          </w:p>
        </w:tc>
        <w:tc>
          <w:tcPr>
            <w:tcW w:w="2403" w:type="dxa"/>
          </w:tcPr>
          <w:p w14:paraId="3CDA3BBF" w14:textId="0AF649C7" w:rsidR="00A63A84" w:rsidRPr="00032C06" w:rsidRDefault="00A63A84" w:rsidP="00032C06">
            <w:pPr>
              <w:spacing w:before="120" w:after="120"/>
              <w:rPr>
                <w:rFonts w:ascii="Arial Narrow" w:hAnsi="Arial Narrow"/>
                <w:sz w:val="20"/>
                <w:szCs w:val="20"/>
              </w:rPr>
            </w:pPr>
            <w:r w:rsidRPr="00032C06">
              <w:rPr>
                <w:rFonts w:ascii="Arial Narrow" w:hAnsi="Arial Narrow"/>
                <w:color w:val="262626"/>
                <w:sz w:val="20"/>
                <w:szCs w:val="20"/>
              </w:rPr>
              <w:t>Some mathematisation of questions, conjectures, hypotheses, and some non-routine but familiar problems selected for study.</w:t>
            </w:r>
          </w:p>
        </w:tc>
        <w:tc>
          <w:tcPr>
            <w:tcW w:w="2403" w:type="dxa"/>
          </w:tcPr>
          <w:p w14:paraId="1B32EC80" w14:textId="319BC259" w:rsidR="00A63A84" w:rsidRPr="00032C06" w:rsidRDefault="00A63A84" w:rsidP="00032C06">
            <w:pPr>
              <w:spacing w:before="120" w:after="120"/>
              <w:rPr>
                <w:rFonts w:ascii="Arial Narrow" w:hAnsi="Arial Narrow"/>
                <w:sz w:val="20"/>
                <w:szCs w:val="20"/>
              </w:rPr>
            </w:pPr>
            <w:r w:rsidRPr="00032C06">
              <w:rPr>
                <w:rFonts w:ascii="Arial Narrow" w:hAnsi="Arial Narrow"/>
                <w:color w:val="262626"/>
                <w:sz w:val="20"/>
                <w:szCs w:val="20"/>
              </w:rPr>
              <w:t>Adequate mathematisation of questions, conjectures, hypotheses, and non-routine and unfamiliar problems selected for study.</w:t>
            </w:r>
          </w:p>
        </w:tc>
        <w:tc>
          <w:tcPr>
            <w:tcW w:w="2403" w:type="dxa"/>
          </w:tcPr>
          <w:p w14:paraId="0BA7A360" w14:textId="0616CD57" w:rsidR="00A63A84" w:rsidRPr="00032C06" w:rsidRDefault="00A63A84" w:rsidP="00032C06">
            <w:pPr>
              <w:spacing w:before="120" w:after="120"/>
              <w:rPr>
                <w:rFonts w:ascii="Arial Narrow" w:hAnsi="Arial Narrow"/>
                <w:sz w:val="20"/>
                <w:szCs w:val="20"/>
              </w:rPr>
            </w:pPr>
            <w:r w:rsidRPr="00032C06">
              <w:rPr>
                <w:rFonts w:ascii="Arial Narrow" w:hAnsi="Arial Narrow"/>
                <w:color w:val="262626"/>
                <w:sz w:val="20"/>
                <w:szCs w:val="20"/>
              </w:rPr>
              <w:t>Detailed mathematisation of questions, conjectures, hypotheses, and non-routine and unfamiliar and some open-ended problems selected for study.</w:t>
            </w:r>
          </w:p>
        </w:tc>
        <w:tc>
          <w:tcPr>
            <w:tcW w:w="2403" w:type="dxa"/>
          </w:tcPr>
          <w:p w14:paraId="3933482E" w14:textId="57EDDBD3" w:rsidR="00A63A84" w:rsidRPr="00032C06" w:rsidRDefault="00A63A84" w:rsidP="00032C06">
            <w:pPr>
              <w:spacing w:before="120" w:after="120"/>
              <w:rPr>
                <w:rFonts w:ascii="Arial Narrow" w:hAnsi="Arial Narrow"/>
                <w:sz w:val="20"/>
                <w:szCs w:val="20"/>
              </w:rPr>
            </w:pPr>
            <w:r w:rsidRPr="00032C06">
              <w:rPr>
                <w:rFonts w:ascii="Arial Narrow" w:hAnsi="Arial Narrow"/>
                <w:color w:val="262626"/>
                <w:sz w:val="20"/>
                <w:szCs w:val="20"/>
              </w:rPr>
              <w:t>Comprehensive mathematisation of questions, conjectures, hypotheses, and a range of non-routine, unfamiliar and open-ended problems selected for study.</w:t>
            </w:r>
          </w:p>
        </w:tc>
      </w:tr>
      <w:tr w:rsidR="00A63A84" w:rsidRPr="00242AC0" w14:paraId="5818D3DD" w14:textId="77777777" w:rsidTr="00A63A84">
        <w:trPr>
          <w:cantSplit/>
          <w:trHeight w:val="1928"/>
        </w:trPr>
        <w:tc>
          <w:tcPr>
            <w:tcW w:w="2385" w:type="dxa"/>
            <w:vMerge/>
            <w:vAlign w:val="center"/>
          </w:tcPr>
          <w:p w14:paraId="5E633015" w14:textId="77777777" w:rsidR="00A63A84" w:rsidRPr="00242AC0" w:rsidRDefault="00A63A84" w:rsidP="00032C06">
            <w:pPr>
              <w:rPr>
                <w:sz w:val="20"/>
                <w:szCs w:val="20"/>
              </w:rPr>
            </w:pPr>
          </w:p>
        </w:tc>
        <w:tc>
          <w:tcPr>
            <w:tcW w:w="1012" w:type="dxa"/>
            <w:shd w:val="clear" w:color="auto" w:fill="auto"/>
            <w:textDirection w:val="btLr"/>
            <w:vAlign w:val="center"/>
          </w:tcPr>
          <w:p w14:paraId="7D3E91CD" w14:textId="7FC8DD7C" w:rsidR="00A63A84" w:rsidRPr="00032C06" w:rsidRDefault="00A63A84" w:rsidP="00032C06">
            <w:pPr>
              <w:ind w:left="113" w:right="113"/>
              <w:jc w:val="center"/>
              <w:rPr>
                <w:rFonts w:ascii="Arial Narrow" w:hAnsi="Arial Narrow"/>
                <w:sz w:val="20"/>
                <w:szCs w:val="20"/>
              </w:rPr>
            </w:pPr>
            <w:r w:rsidRPr="00032C06">
              <w:rPr>
                <w:rFonts w:ascii="Arial Narrow" w:hAnsi="Arial Narrow"/>
                <w:bCs/>
                <w:color w:val="262626"/>
                <w:sz w:val="20"/>
                <w:szCs w:val="20"/>
              </w:rPr>
              <w:t>Application of mathematical processes and procedures</w:t>
            </w:r>
          </w:p>
        </w:tc>
        <w:tc>
          <w:tcPr>
            <w:tcW w:w="2403" w:type="dxa"/>
            <w:gridSpan w:val="2"/>
          </w:tcPr>
          <w:p w14:paraId="1E38705F" w14:textId="6E7F6A53" w:rsidR="00A63A84" w:rsidRPr="00032C06" w:rsidRDefault="00A63A84" w:rsidP="00032C06">
            <w:pPr>
              <w:spacing w:before="120" w:after="120"/>
              <w:rPr>
                <w:rFonts w:ascii="Arial Narrow" w:hAnsi="Arial Narrow"/>
                <w:sz w:val="20"/>
                <w:szCs w:val="20"/>
              </w:rPr>
            </w:pPr>
            <w:r w:rsidRPr="00032C06">
              <w:rPr>
                <w:rFonts w:ascii="Arial Narrow" w:hAnsi="Arial Narrow"/>
                <w:color w:val="262626"/>
                <w:sz w:val="20"/>
                <w:szCs w:val="20"/>
              </w:rPr>
              <w:t>Very limited or minimal use of key mathematical skills and knowledge and approaches to solve problems or to estimate or obtain exact or approximate solutions.</w:t>
            </w:r>
          </w:p>
        </w:tc>
        <w:tc>
          <w:tcPr>
            <w:tcW w:w="2403" w:type="dxa"/>
          </w:tcPr>
          <w:p w14:paraId="763B9EB6" w14:textId="1ECF323A" w:rsidR="00A63A84" w:rsidRPr="00032C06" w:rsidRDefault="00A63A84" w:rsidP="00032C06">
            <w:pPr>
              <w:spacing w:before="120" w:after="120"/>
              <w:rPr>
                <w:rFonts w:ascii="Arial Narrow" w:hAnsi="Arial Narrow"/>
                <w:sz w:val="20"/>
                <w:szCs w:val="20"/>
              </w:rPr>
            </w:pPr>
            <w:r w:rsidRPr="00032C06">
              <w:rPr>
                <w:rFonts w:ascii="Arial Narrow" w:hAnsi="Arial Narrow"/>
                <w:color w:val="262626"/>
                <w:sz w:val="20"/>
                <w:szCs w:val="20"/>
              </w:rPr>
              <w:t>Some use of key mathematical skills and knowledge and approaches to solve problems and to estimate or obtain exact or approximate solutions.</w:t>
            </w:r>
          </w:p>
        </w:tc>
        <w:tc>
          <w:tcPr>
            <w:tcW w:w="2403" w:type="dxa"/>
          </w:tcPr>
          <w:p w14:paraId="6844A0C7" w14:textId="155482AA" w:rsidR="00A63A84" w:rsidRPr="00032C06" w:rsidRDefault="00A63A84" w:rsidP="00032C06">
            <w:pPr>
              <w:spacing w:before="120" w:after="120"/>
              <w:rPr>
                <w:rFonts w:ascii="Arial Narrow" w:hAnsi="Arial Narrow"/>
                <w:sz w:val="20"/>
                <w:szCs w:val="20"/>
              </w:rPr>
            </w:pPr>
            <w:r w:rsidRPr="00032C06">
              <w:rPr>
                <w:rFonts w:ascii="Arial Narrow" w:hAnsi="Arial Narrow"/>
                <w:color w:val="262626"/>
                <w:sz w:val="20"/>
                <w:szCs w:val="20"/>
              </w:rPr>
              <w:t>Adequate use of key mathematical skills and knowledge and approaches to solve problems and to estimate and obtain exact or approximate solutions.</w:t>
            </w:r>
          </w:p>
        </w:tc>
        <w:tc>
          <w:tcPr>
            <w:tcW w:w="2403" w:type="dxa"/>
          </w:tcPr>
          <w:p w14:paraId="2BD8EB74" w14:textId="44831422" w:rsidR="00A63A84" w:rsidRPr="00032C06" w:rsidRDefault="00A63A84" w:rsidP="00032C06">
            <w:pPr>
              <w:spacing w:before="120" w:after="120"/>
              <w:rPr>
                <w:rFonts w:ascii="Arial Narrow" w:hAnsi="Arial Narrow"/>
                <w:sz w:val="20"/>
                <w:szCs w:val="20"/>
              </w:rPr>
            </w:pPr>
            <w:r w:rsidRPr="00032C06">
              <w:rPr>
                <w:rFonts w:ascii="Arial Narrow" w:hAnsi="Arial Narrow"/>
                <w:color w:val="262626"/>
                <w:sz w:val="20"/>
                <w:szCs w:val="20"/>
              </w:rPr>
              <w:t>Detailed and clear use of key mathematical skills and knowledge and approaches to solve problems and to appropriately estimate and obtain exact or approximate solutions.</w:t>
            </w:r>
          </w:p>
        </w:tc>
        <w:tc>
          <w:tcPr>
            <w:tcW w:w="2403" w:type="dxa"/>
          </w:tcPr>
          <w:p w14:paraId="3BCD8FF7" w14:textId="159E79B6" w:rsidR="00A63A84" w:rsidRPr="00032C06" w:rsidRDefault="00A63A84" w:rsidP="00032C06">
            <w:pPr>
              <w:spacing w:before="120" w:after="120"/>
              <w:rPr>
                <w:rFonts w:ascii="Arial Narrow" w:hAnsi="Arial Narrow"/>
                <w:sz w:val="20"/>
                <w:szCs w:val="20"/>
              </w:rPr>
            </w:pPr>
            <w:r w:rsidRPr="00032C06">
              <w:rPr>
                <w:rFonts w:ascii="Arial Narrow" w:hAnsi="Arial Narrow"/>
                <w:color w:val="262626"/>
                <w:sz w:val="20"/>
                <w:szCs w:val="20"/>
              </w:rPr>
              <w:t>Insightful and comprehensive use of a wide range of key mathematical skills and knowledge and approaches to solve problems and can estimate well and obtain relevant exact or approximate solutions.</w:t>
            </w:r>
          </w:p>
        </w:tc>
      </w:tr>
      <w:tr w:rsidR="00A63A84" w:rsidRPr="00242AC0" w14:paraId="42B3D50C" w14:textId="77777777" w:rsidTr="00A63A84">
        <w:trPr>
          <w:cantSplit/>
          <w:trHeight w:val="1928"/>
        </w:trPr>
        <w:tc>
          <w:tcPr>
            <w:tcW w:w="2385" w:type="dxa"/>
            <w:vMerge/>
            <w:vAlign w:val="center"/>
          </w:tcPr>
          <w:p w14:paraId="0750BFA9" w14:textId="77777777" w:rsidR="00A63A84" w:rsidRPr="00242AC0" w:rsidRDefault="00A63A84" w:rsidP="00A63A84">
            <w:pPr>
              <w:rPr>
                <w:sz w:val="20"/>
                <w:szCs w:val="20"/>
              </w:rPr>
            </w:pPr>
          </w:p>
        </w:tc>
        <w:tc>
          <w:tcPr>
            <w:tcW w:w="1012" w:type="dxa"/>
            <w:shd w:val="clear" w:color="auto" w:fill="auto"/>
            <w:textDirection w:val="btLr"/>
            <w:vAlign w:val="center"/>
          </w:tcPr>
          <w:p w14:paraId="3FD56CCB" w14:textId="5A93583F" w:rsidR="00A63A84" w:rsidRPr="00A63A84" w:rsidRDefault="00A63A84" w:rsidP="00A63A84">
            <w:pPr>
              <w:ind w:left="113" w:right="113"/>
              <w:jc w:val="center"/>
              <w:rPr>
                <w:rFonts w:ascii="Arial Narrow" w:hAnsi="Arial Narrow"/>
                <w:bCs/>
                <w:color w:val="262626"/>
                <w:sz w:val="20"/>
                <w:szCs w:val="20"/>
              </w:rPr>
            </w:pPr>
            <w:r w:rsidRPr="00A63A84">
              <w:rPr>
                <w:rFonts w:ascii="Arial Narrow" w:hAnsi="Arial Narrow"/>
                <w:bCs/>
                <w:color w:val="262626"/>
                <w:sz w:val="20"/>
                <w:szCs w:val="20"/>
              </w:rPr>
              <w:t>Analysis and reflection on mathematical solutions and findings</w:t>
            </w:r>
          </w:p>
        </w:tc>
        <w:tc>
          <w:tcPr>
            <w:tcW w:w="2403" w:type="dxa"/>
            <w:gridSpan w:val="2"/>
          </w:tcPr>
          <w:p w14:paraId="79BB7CA3" w14:textId="2510C837" w:rsidR="00A63A84" w:rsidRPr="00A63A84" w:rsidRDefault="00A63A84" w:rsidP="00A63A84">
            <w:pPr>
              <w:spacing w:before="120" w:after="120"/>
              <w:rPr>
                <w:rFonts w:ascii="Arial Narrow" w:hAnsi="Arial Narrow"/>
                <w:color w:val="262626"/>
                <w:sz w:val="20"/>
                <w:szCs w:val="20"/>
              </w:rPr>
            </w:pPr>
            <w:r w:rsidRPr="00A63A84">
              <w:rPr>
                <w:rFonts w:ascii="Arial Narrow" w:hAnsi="Arial Narrow"/>
                <w:color w:val="262626"/>
                <w:sz w:val="20"/>
                <w:szCs w:val="20"/>
              </w:rPr>
              <w:t>Very limited or minimal analysis and interpretation of results, and relation of the result back to the context, including very limited ability to reflect and review, entirely dependent on teacher prompting and support.</w:t>
            </w:r>
          </w:p>
        </w:tc>
        <w:tc>
          <w:tcPr>
            <w:tcW w:w="2403" w:type="dxa"/>
          </w:tcPr>
          <w:p w14:paraId="28A971B4" w14:textId="0FDD9E2E" w:rsidR="00A63A84" w:rsidRPr="00A63A84" w:rsidRDefault="00A63A84" w:rsidP="00A63A84">
            <w:pPr>
              <w:spacing w:before="120" w:after="120"/>
              <w:rPr>
                <w:rFonts w:ascii="Arial Narrow" w:hAnsi="Arial Narrow"/>
                <w:color w:val="262626"/>
                <w:sz w:val="20"/>
                <w:szCs w:val="20"/>
              </w:rPr>
            </w:pPr>
            <w:r w:rsidRPr="00A63A84">
              <w:rPr>
                <w:rFonts w:ascii="Arial Narrow" w:hAnsi="Arial Narrow"/>
                <w:color w:val="262626"/>
                <w:sz w:val="20"/>
                <w:szCs w:val="20"/>
              </w:rPr>
              <w:t>Limited analysis and interpretation of results, and relation of the result back to the context, including some ability to reflect and review, often dependent on some teacher prompting.</w:t>
            </w:r>
          </w:p>
        </w:tc>
        <w:tc>
          <w:tcPr>
            <w:tcW w:w="2403" w:type="dxa"/>
          </w:tcPr>
          <w:p w14:paraId="077BBCDE" w14:textId="440A0707" w:rsidR="00A63A84" w:rsidRPr="00A63A84" w:rsidRDefault="00A63A84" w:rsidP="00A63A84">
            <w:pPr>
              <w:spacing w:before="120" w:after="120"/>
              <w:rPr>
                <w:rFonts w:ascii="Arial Narrow" w:hAnsi="Arial Narrow"/>
                <w:color w:val="262626"/>
                <w:sz w:val="20"/>
                <w:szCs w:val="20"/>
              </w:rPr>
            </w:pPr>
            <w:r w:rsidRPr="00A63A84">
              <w:rPr>
                <w:rFonts w:ascii="Arial Narrow" w:hAnsi="Arial Narrow"/>
                <w:color w:val="262626"/>
                <w:sz w:val="20"/>
                <w:szCs w:val="20"/>
              </w:rPr>
              <w:t>Satisfactory analysis and interpretation of results, and relation of the result back to the context, and can reflect and review results and outcomes, with limited teacher prompting and support.</w:t>
            </w:r>
          </w:p>
        </w:tc>
        <w:tc>
          <w:tcPr>
            <w:tcW w:w="2403" w:type="dxa"/>
          </w:tcPr>
          <w:p w14:paraId="31094626" w14:textId="4FBC79D9" w:rsidR="00A63A84" w:rsidRPr="00A63A84" w:rsidRDefault="00A63A84" w:rsidP="00A63A84">
            <w:pPr>
              <w:spacing w:before="120" w:after="120"/>
              <w:rPr>
                <w:rFonts w:ascii="Arial Narrow" w:hAnsi="Arial Narrow"/>
                <w:color w:val="262626"/>
                <w:sz w:val="20"/>
                <w:szCs w:val="20"/>
              </w:rPr>
            </w:pPr>
            <w:r w:rsidRPr="00A63A84">
              <w:rPr>
                <w:rFonts w:ascii="Arial Narrow" w:hAnsi="Arial Narrow"/>
                <w:color w:val="262626"/>
                <w:sz w:val="20"/>
                <w:szCs w:val="20"/>
              </w:rPr>
              <w:t>Careful analysis and interpretation of results, and relation of the result back to the context, and can reflect and review results and outcomes.</w:t>
            </w:r>
          </w:p>
        </w:tc>
        <w:tc>
          <w:tcPr>
            <w:tcW w:w="2403" w:type="dxa"/>
          </w:tcPr>
          <w:p w14:paraId="4BD4EDCE" w14:textId="0C9B5FAA" w:rsidR="00A63A84" w:rsidRPr="00A63A84" w:rsidRDefault="00A63A84" w:rsidP="00A63A84">
            <w:pPr>
              <w:spacing w:before="120" w:after="120"/>
              <w:rPr>
                <w:rFonts w:ascii="Arial Narrow" w:hAnsi="Arial Narrow"/>
                <w:color w:val="262626"/>
                <w:sz w:val="20"/>
                <w:szCs w:val="20"/>
              </w:rPr>
            </w:pPr>
            <w:r w:rsidRPr="00A63A84">
              <w:rPr>
                <w:rFonts w:ascii="Arial Narrow" w:hAnsi="Arial Narrow"/>
                <w:color w:val="262626"/>
                <w:sz w:val="20"/>
                <w:szCs w:val="20"/>
              </w:rPr>
              <w:t>Thorough analysis and interpretation of solutions and results, and relation of the result back to the context, and can independently and critically reflect and review results and outcomes.</w:t>
            </w:r>
          </w:p>
        </w:tc>
      </w:tr>
    </w:tbl>
    <w:p w14:paraId="0F50D8BC" w14:textId="2F97C4BF" w:rsidR="00C53263" w:rsidRPr="00A63A84" w:rsidRDefault="00C53263" w:rsidP="008D74EF">
      <w:pPr>
        <w:pStyle w:val="VCAAfigures"/>
        <w:spacing w:before="0"/>
        <w:jc w:val="left"/>
        <w:rPr>
          <w:sz w:val="16"/>
          <w:szCs w:val="16"/>
        </w:rPr>
      </w:pPr>
    </w:p>
    <w:sectPr w:rsidR="00C53263" w:rsidRPr="00A63A84" w:rsidSect="00A63A84">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EF539E" w:rsidRDefault="00EF539E" w:rsidP="00304EA1">
      <w:pPr>
        <w:spacing w:after="0" w:line="240" w:lineRule="auto"/>
      </w:pPr>
      <w:r>
        <w:separator/>
      </w:r>
    </w:p>
  </w:endnote>
  <w:endnote w:type="continuationSeparator" w:id="0">
    <w:p w14:paraId="3270DF94" w14:textId="77777777" w:rsidR="00EF539E" w:rsidRDefault="00EF539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EF539E" w:rsidRPr="00D06414" w14:paraId="6474FD3B" w14:textId="77777777" w:rsidTr="00BB3BAB">
      <w:trPr>
        <w:trHeight w:val="476"/>
      </w:trPr>
      <w:tc>
        <w:tcPr>
          <w:tcW w:w="1667" w:type="pct"/>
          <w:tcMar>
            <w:left w:w="0" w:type="dxa"/>
            <w:right w:w="0" w:type="dxa"/>
          </w:tcMar>
        </w:tcPr>
        <w:p w14:paraId="0EC15F2D" w14:textId="02EE926F" w:rsidR="00EF539E" w:rsidRPr="00D06414" w:rsidRDefault="00EF539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9BDCEDF" w:rsidR="00EF539E" w:rsidRPr="00D06414" w:rsidRDefault="00EF539E"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624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EF539E" w:rsidRPr="00D06414" w:rsidRDefault="00EF539E"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EF539E" w:rsidRPr="00D06414" w14:paraId="36A4ADC1" w14:textId="77777777" w:rsidTr="000F5AAF">
      <w:tc>
        <w:tcPr>
          <w:tcW w:w="1459" w:type="pct"/>
          <w:tcMar>
            <w:left w:w="0" w:type="dxa"/>
            <w:right w:w="0" w:type="dxa"/>
          </w:tcMar>
        </w:tcPr>
        <w:p w14:paraId="74DB1FC2" w14:textId="1F9FFEE4"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F539E" w:rsidRPr="00D06414" w:rsidRDefault="00EF539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F539E" w:rsidRPr="00D06414" w:rsidRDefault="00EF539E"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392AE199">
          <wp:simplePos x="0" y="0"/>
          <wp:positionH relativeFrom="page">
            <wp:align>left</wp:align>
          </wp:positionH>
          <wp:positionV relativeFrom="page">
            <wp:align>bottom</wp:align>
          </wp:positionV>
          <wp:extent cx="10680065" cy="5486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EF539E" w:rsidRDefault="00EF539E" w:rsidP="00304EA1">
      <w:pPr>
        <w:spacing w:after="0" w:line="240" w:lineRule="auto"/>
      </w:pPr>
      <w:r>
        <w:separator/>
      </w:r>
    </w:p>
  </w:footnote>
  <w:footnote w:type="continuationSeparator" w:id="0">
    <w:p w14:paraId="13540A36" w14:textId="77777777" w:rsidR="00EF539E" w:rsidRDefault="00EF539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0E63A45" w:rsidR="00EF539E" w:rsidRPr="00D86DE4" w:rsidRDefault="00BA735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C3754">
          <w:rPr>
            <w:color w:val="999999" w:themeColor="accent2"/>
          </w:rPr>
          <w:t>VCE Foundation Mathematics: Performance descriptors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EF539E" w:rsidRPr="009370BC" w:rsidRDefault="00EF539E"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D9"/>
    <w:multiLevelType w:val="hybridMultilevel"/>
    <w:tmpl w:val="8D8231C6"/>
    <w:lvl w:ilvl="0" w:tplc="99D04348">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55A64B74"/>
    <w:lvl w:ilvl="0" w:tplc="28A0E074">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2C06"/>
    <w:rsid w:val="0005780E"/>
    <w:rsid w:val="00060A23"/>
    <w:rsid w:val="00065CC6"/>
    <w:rsid w:val="000A71F7"/>
    <w:rsid w:val="000F09E4"/>
    <w:rsid w:val="000F16FD"/>
    <w:rsid w:val="000F5AAF"/>
    <w:rsid w:val="00143520"/>
    <w:rsid w:val="00153AD2"/>
    <w:rsid w:val="001779EA"/>
    <w:rsid w:val="001A60E4"/>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62B4F"/>
    <w:rsid w:val="00376B6A"/>
    <w:rsid w:val="00391986"/>
    <w:rsid w:val="003A00B4"/>
    <w:rsid w:val="003C5E71"/>
    <w:rsid w:val="00417AA3"/>
    <w:rsid w:val="00425DFE"/>
    <w:rsid w:val="00434EDB"/>
    <w:rsid w:val="00440B32"/>
    <w:rsid w:val="00443A55"/>
    <w:rsid w:val="0046078D"/>
    <w:rsid w:val="00476B9F"/>
    <w:rsid w:val="00495C80"/>
    <w:rsid w:val="004A2ED8"/>
    <w:rsid w:val="004A4C31"/>
    <w:rsid w:val="004F5BDA"/>
    <w:rsid w:val="0051631E"/>
    <w:rsid w:val="00537A1F"/>
    <w:rsid w:val="00566029"/>
    <w:rsid w:val="00574299"/>
    <w:rsid w:val="005923CB"/>
    <w:rsid w:val="005B391B"/>
    <w:rsid w:val="005D3D78"/>
    <w:rsid w:val="005E2EF0"/>
    <w:rsid w:val="005F4092"/>
    <w:rsid w:val="0068471E"/>
    <w:rsid w:val="00684F98"/>
    <w:rsid w:val="00693FFD"/>
    <w:rsid w:val="006C07C1"/>
    <w:rsid w:val="006D2159"/>
    <w:rsid w:val="006E4737"/>
    <w:rsid w:val="006F787C"/>
    <w:rsid w:val="00702636"/>
    <w:rsid w:val="00724507"/>
    <w:rsid w:val="00773E6C"/>
    <w:rsid w:val="00781FB1"/>
    <w:rsid w:val="007C3754"/>
    <w:rsid w:val="007D1B6D"/>
    <w:rsid w:val="00813C37"/>
    <w:rsid w:val="008154B5"/>
    <w:rsid w:val="00823962"/>
    <w:rsid w:val="00852719"/>
    <w:rsid w:val="00860115"/>
    <w:rsid w:val="0088783C"/>
    <w:rsid w:val="008D74EF"/>
    <w:rsid w:val="009370BC"/>
    <w:rsid w:val="00962445"/>
    <w:rsid w:val="00970580"/>
    <w:rsid w:val="0098739B"/>
    <w:rsid w:val="009B61E5"/>
    <w:rsid w:val="009D1E89"/>
    <w:rsid w:val="009E5707"/>
    <w:rsid w:val="00A17661"/>
    <w:rsid w:val="00A24B2D"/>
    <w:rsid w:val="00A40966"/>
    <w:rsid w:val="00A63A84"/>
    <w:rsid w:val="00A921E0"/>
    <w:rsid w:val="00A922F4"/>
    <w:rsid w:val="00A937FE"/>
    <w:rsid w:val="00AA3EB3"/>
    <w:rsid w:val="00AB6FD1"/>
    <w:rsid w:val="00AE5526"/>
    <w:rsid w:val="00AF051B"/>
    <w:rsid w:val="00B01578"/>
    <w:rsid w:val="00B0738F"/>
    <w:rsid w:val="00B13D3B"/>
    <w:rsid w:val="00B26601"/>
    <w:rsid w:val="00B41951"/>
    <w:rsid w:val="00B53229"/>
    <w:rsid w:val="00B62480"/>
    <w:rsid w:val="00B81B70"/>
    <w:rsid w:val="00BA7351"/>
    <w:rsid w:val="00BB3BAB"/>
    <w:rsid w:val="00BC1166"/>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93B2B"/>
    <w:rsid w:val="00DE1909"/>
    <w:rsid w:val="00DE51DB"/>
    <w:rsid w:val="00E23F1D"/>
    <w:rsid w:val="00E30E05"/>
    <w:rsid w:val="00E36361"/>
    <w:rsid w:val="00E40242"/>
    <w:rsid w:val="00E538E6"/>
    <w:rsid w:val="00E55AE9"/>
    <w:rsid w:val="00EB0C84"/>
    <w:rsid w:val="00EB1624"/>
    <w:rsid w:val="00EF539E"/>
    <w:rsid w:val="00F17FDE"/>
    <w:rsid w:val="00F40D53"/>
    <w:rsid w:val="00F4525C"/>
    <w:rsid w:val="00F50D86"/>
    <w:rsid w:val="00F7185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362B4F"/>
    <w:pPr>
      <w:ind w:left="720"/>
      <w:contextualSpacing/>
    </w:pPr>
    <w:rPr>
      <w:lang w:val="en-AU"/>
    </w:rPr>
  </w:style>
  <w:style w:type="paragraph" w:customStyle="1" w:styleId="VCAAtablecondensedbulletlessspace">
    <w:name w:val="VCAA table condensed bullet less space"/>
    <w:basedOn w:val="VCAAtablecondensedbullet"/>
    <w:qFormat/>
    <w:rsid w:val="001A60E4"/>
    <w:pPr>
      <w:tabs>
        <w:tab w:val="clear" w:pos="425"/>
      </w:tabs>
      <w:spacing w:line="240" w:lineRule="auto"/>
      <w:ind w:left="178" w:hanging="178"/>
    </w:pPr>
  </w:style>
  <w:style w:type="paragraph" w:styleId="FootnoteText">
    <w:name w:val="footnote text"/>
    <w:basedOn w:val="Normal"/>
    <w:link w:val="FootnoteTextChar"/>
    <w:uiPriority w:val="99"/>
    <w:semiHidden/>
    <w:unhideWhenUsed/>
    <w:rsid w:val="00F7185C"/>
    <w:pPr>
      <w:spacing w:after="0" w:line="240" w:lineRule="auto"/>
    </w:pPr>
    <w:rPr>
      <w:rFonts w:ascii="Arial" w:eastAsia="Arial" w:hAnsi="Arial" w:cs="Arial"/>
      <w:sz w:val="20"/>
      <w:szCs w:val="20"/>
      <w:lang w:val="en-AU" w:eastAsia="en-AU"/>
    </w:rPr>
  </w:style>
  <w:style w:type="character" w:customStyle="1" w:styleId="FootnoteTextChar">
    <w:name w:val="Footnote Text Char"/>
    <w:basedOn w:val="DefaultParagraphFont"/>
    <w:link w:val="FootnoteText"/>
    <w:uiPriority w:val="99"/>
    <w:semiHidden/>
    <w:rsid w:val="00F7185C"/>
    <w:rPr>
      <w:rFonts w:ascii="Arial" w:eastAsia="Arial" w:hAnsi="Arial" w:cs="Arial"/>
      <w:sz w:val="20"/>
      <w:szCs w:val="20"/>
      <w:lang w:val="en-AU" w:eastAsia="en-AU"/>
    </w:rPr>
  </w:style>
  <w:style w:type="character" w:styleId="FootnoteReference">
    <w:name w:val="footnote reference"/>
    <w:basedOn w:val="DefaultParagraphFont"/>
    <w:uiPriority w:val="99"/>
    <w:semiHidden/>
    <w:unhideWhenUsed/>
    <w:rsid w:val="00F71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752C17"/>
    <w:rsid w:val="009325D2"/>
    <w:rsid w:val="00BC2BC1"/>
    <w:rsid w:val="00C163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791B3-B5FF-499E-AFE6-F20DF97D748D}">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37FD201-2A22-478E-B4FC-3F888E16AE75}"/>
</file>

<file path=docProps/app.xml><?xml version="1.0" encoding="utf-8"?>
<Properties xmlns="http://schemas.openxmlformats.org/officeDocument/2006/extended-properties" xmlns:vt="http://schemas.openxmlformats.org/officeDocument/2006/docPropsVTypes">
  <Template>Normal.dotm</Template>
  <TotalTime>6</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VCE Foundation Mathematics: Performance descriptors</vt:lpstr>
    </vt:vector>
  </TitlesOfParts>
  <Company>Victorian Curriculum and Assessment Authority</Company>
  <LinksUpToDate>false</LinksUpToDate>
  <CharactersWithSpaces>3134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Foundation Mathematics: Performance descriptors</dc:title>
  <dc:subject>VCE Foundation Mathematics</dc:subject>
  <dc:creator>vcaa@education.vic.gov.au</dc:creator>
  <cp:keywords>foundation mathematics, VCE, performance descriptors, units 3 and 4, outcome 2</cp:keywords>
  <cp:lastModifiedBy>Julie Coleman</cp:lastModifiedBy>
  <cp:revision>4</cp:revision>
  <cp:lastPrinted>2015-05-15T02:36:00Z</cp:lastPrinted>
  <dcterms:created xsi:type="dcterms:W3CDTF">2022-12-05T02:05:00Z</dcterms:created>
  <dcterms:modified xsi:type="dcterms:W3CDTF">2022-12-05T02:10:00Z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