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12D6634" w:rsidR="00F4525C" w:rsidRDefault="00923AE4" w:rsidP="00923AE4">
      <w:pPr>
        <w:pStyle w:val="VCAADocumenttitle"/>
        <w:ind w:right="-142"/>
      </w:pPr>
      <w:r>
        <w:t>Mathematical Methods Units 3 and 4</w:t>
      </w:r>
    </w:p>
    <w:p w14:paraId="74E62D52" w14:textId="785DD04D" w:rsidR="00243F0D" w:rsidRPr="00823962" w:rsidRDefault="00923AE4" w:rsidP="00C935A6">
      <w:pPr>
        <w:pStyle w:val="VCAAHeading2"/>
      </w:pPr>
      <w:bookmarkStart w:id="0" w:name="TemplateOverview"/>
      <w:bookmarkEnd w:id="0"/>
      <w:r>
        <w:t>S</w:t>
      </w:r>
      <w:r w:rsidRPr="00AD3801">
        <w:t xml:space="preserve">ample modelling or problem-solving task – </w:t>
      </w:r>
      <w:r>
        <w:t>height distributions</w:t>
      </w:r>
    </w:p>
    <w:p w14:paraId="7D984E1F" w14:textId="0E5D3F05" w:rsidR="00B62480" w:rsidRPr="00823962" w:rsidRDefault="00923AE4" w:rsidP="00C935A6">
      <w:pPr>
        <w:pStyle w:val="VCAAHeading3"/>
      </w:pPr>
      <w:r>
        <w:t>Introduction</w:t>
      </w:r>
    </w:p>
    <w:p w14:paraId="06C232B6" w14:textId="77777777" w:rsidR="00923AE4" w:rsidRDefault="00923AE4" w:rsidP="00923AE4">
      <w:pPr>
        <w:pStyle w:val="VCAAbody"/>
      </w:pPr>
      <w:r w:rsidRPr="00F56F10">
        <w:t xml:space="preserve">This modelling or problem-solving task considers </w:t>
      </w:r>
      <w:r>
        <w:t>distributions of human heights in several</w:t>
      </w:r>
      <w:r w:rsidRPr="00F56F10">
        <w:t xml:space="preserve"> </w:t>
      </w:r>
      <w:r>
        <w:t>contexts, using normal distributions of the random variable.</w:t>
      </w:r>
      <w:r w:rsidRPr="001B31CD">
        <w:t xml:space="preserve"> </w:t>
      </w:r>
      <w:r>
        <w:t xml:space="preserve">Related </w:t>
      </w:r>
      <w:r w:rsidRPr="007418B7">
        <w:t>data can be obtained from</w:t>
      </w:r>
      <w:r>
        <w:t xml:space="preserve"> </w:t>
      </w:r>
      <w:hyperlink r:id="rId11" w:history="1">
        <w:proofErr w:type="spellStart"/>
        <w:r w:rsidRPr="00BF5DC8">
          <w:rPr>
            <w:rStyle w:val="Hyperlink"/>
            <w:sz w:val="22"/>
          </w:rPr>
          <w:t>Tall.life</w:t>
        </w:r>
        <w:proofErr w:type="spellEnd"/>
      </w:hyperlink>
      <w:r>
        <w:t>.</w:t>
      </w:r>
    </w:p>
    <w:p w14:paraId="632028D6" w14:textId="27B8E55F" w:rsidR="00923AE4" w:rsidRDefault="00923AE4" w:rsidP="00923AE4">
      <w:pPr>
        <w:pStyle w:val="VCAAbody"/>
        <w:spacing w:after="240"/>
      </w:pPr>
      <w:r>
        <w:t>The task assumes a normally distributed population for both males height</w:t>
      </w:r>
      <m:oMath>
        <m:r>
          <w:rPr>
            <w:rFonts w:ascii="Cambria Math" w:hAnsi="Cambria Math"/>
          </w:rPr>
          <m:t xml:space="preserve">, </m:t>
        </m:r>
      </m:oMath>
      <w:r w:rsidRPr="005255EE">
        <w:rPr>
          <w:i/>
          <w:iCs/>
        </w:rPr>
        <w:t>M</w:t>
      </w:r>
      <w:r>
        <w:t xml:space="preserve">, in cm, and females height, </w:t>
      </w:r>
      <w:r w:rsidR="007019B9">
        <w:br/>
      </w:r>
      <w:r>
        <w:rPr>
          <w:i/>
          <w:iCs/>
        </w:rPr>
        <w:t>F</w:t>
      </w:r>
      <w:r>
        <w:t>, in cm, with the following parameters at a given period in time:</w:t>
      </w:r>
    </w:p>
    <w:tbl>
      <w:tblPr>
        <w:tblStyle w:val="TableGrid"/>
        <w:tblW w:w="0" w:type="auto"/>
        <w:jc w:val="center"/>
        <w:tblLook w:val="04A0" w:firstRow="1" w:lastRow="0" w:firstColumn="1" w:lastColumn="0" w:noHBand="0" w:noVBand="1"/>
      </w:tblPr>
      <w:tblGrid>
        <w:gridCol w:w="1290"/>
        <w:gridCol w:w="1290"/>
        <w:gridCol w:w="1290"/>
      </w:tblGrid>
      <w:tr w:rsidR="00923AE4" w14:paraId="4ADE699F" w14:textId="77777777" w:rsidTr="00E02C1B">
        <w:trPr>
          <w:trHeight w:val="618"/>
          <w:jc w:val="center"/>
        </w:trPr>
        <w:tc>
          <w:tcPr>
            <w:tcW w:w="1290" w:type="dxa"/>
            <w:tcBorders>
              <w:top w:val="nil"/>
              <w:left w:val="nil"/>
            </w:tcBorders>
          </w:tcPr>
          <w:p w14:paraId="63CB86D6" w14:textId="77777777" w:rsidR="00923AE4" w:rsidRDefault="00923AE4" w:rsidP="00E02C1B">
            <w:pPr>
              <w:pStyle w:val="BodyText"/>
              <w:jc w:val="center"/>
              <w:rPr>
                <w:rFonts w:ascii="Arial" w:hAnsi="Arial" w:cs="Arial"/>
                <w:sz w:val="22"/>
                <w:szCs w:val="22"/>
              </w:rPr>
            </w:pPr>
          </w:p>
        </w:tc>
        <w:tc>
          <w:tcPr>
            <w:tcW w:w="1290" w:type="dxa"/>
          </w:tcPr>
          <w:p w14:paraId="1200AB91" w14:textId="77777777" w:rsidR="00923AE4" w:rsidRDefault="00923AE4" w:rsidP="00E02C1B">
            <w:pPr>
              <w:pStyle w:val="BodyText"/>
              <w:jc w:val="center"/>
              <w:rPr>
                <w:rFonts w:ascii="Arial" w:hAnsi="Arial" w:cs="Arial"/>
                <w:sz w:val="22"/>
                <w:szCs w:val="22"/>
              </w:rPr>
            </w:pPr>
            <m:oMathPara>
              <m:oMath>
                <m:r>
                  <w:rPr>
                    <w:rFonts w:ascii="Cambria Math" w:hAnsi="Cambria Math" w:cs="Arial"/>
                    <w:sz w:val="22"/>
                    <w:szCs w:val="22"/>
                  </w:rPr>
                  <m:t>μ</m:t>
                </m:r>
              </m:oMath>
            </m:oMathPara>
          </w:p>
        </w:tc>
        <w:tc>
          <w:tcPr>
            <w:tcW w:w="1290" w:type="dxa"/>
          </w:tcPr>
          <w:p w14:paraId="3EC29BC3" w14:textId="77777777" w:rsidR="00923AE4" w:rsidRDefault="00923AE4" w:rsidP="00E02C1B">
            <w:pPr>
              <w:pStyle w:val="BodyText"/>
              <w:jc w:val="center"/>
              <w:rPr>
                <w:rFonts w:ascii="Arial" w:hAnsi="Arial" w:cs="Arial"/>
                <w:sz w:val="22"/>
                <w:szCs w:val="22"/>
              </w:rPr>
            </w:pPr>
            <m:oMathPara>
              <m:oMath>
                <m:r>
                  <w:rPr>
                    <w:rFonts w:ascii="Cambria Math" w:hAnsi="Cambria Math" w:cs="Arial"/>
                    <w:sz w:val="22"/>
                    <w:szCs w:val="22"/>
                  </w:rPr>
                  <m:t>σ</m:t>
                </m:r>
              </m:oMath>
            </m:oMathPara>
          </w:p>
        </w:tc>
      </w:tr>
      <w:tr w:rsidR="00923AE4" w14:paraId="54883CDD" w14:textId="77777777" w:rsidTr="00E02C1B">
        <w:trPr>
          <w:trHeight w:val="618"/>
          <w:jc w:val="center"/>
        </w:trPr>
        <w:tc>
          <w:tcPr>
            <w:tcW w:w="1290" w:type="dxa"/>
          </w:tcPr>
          <w:p w14:paraId="5186D42C" w14:textId="77777777" w:rsidR="00923AE4" w:rsidRPr="007019B9" w:rsidRDefault="00923AE4" w:rsidP="00E02C1B">
            <w:pPr>
              <w:pStyle w:val="BodyText"/>
              <w:jc w:val="center"/>
              <w:rPr>
                <w:rFonts w:ascii="Arial" w:hAnsi="Arial" w:cs="Arial"/>
                <w:i/>
                <w:iCs/>
                <w:sz w:val="20"/>
                <w:szCs w:val="20"/>
              </w:rPr>
            </w:pPr>
            <w:r w:rsidRPr="007019B9">
              <w:rPr>
                <w:rFonts w:ascii="Arial" w:hAnsi="Arial" w:cs="Arial"/>
                <w:i/>
                <w:iCs/>
                <w:sz w:val="20"/>
                <w:szCs w:val="20"/>
              </w:rPr>
              <w:t>M</w:t>
            </w:r>
          </w:p>
        </w:tc>
        <w:tc>
          <w:tcPr>
            <w:tcW w:w="1290" w:type="dxa"/>
          </w:tcPr>
          <w:p w14:paraId="3C868CE7" w14:textId="77777777" w:rsidR="00923AE4" w:rsidRPr="007019B9" w:rsidRDefault="00923AE4" w:rsidP="00E02C1B">
            <w:pPr>
              <w:pStyle w:val="BodyText"/>
              <w:jc w:val="center"/>
              <w:rPr>
                <w:rFonts w:ascii="Arial" w:hAnsi="Arial" w:cs="Arial"/>
                <w:sz w:val="20"/>
                <w:szCs w:val="20"/>
              </w:rPr>
            </w:pPr>
            <w:r w:rsidRPr="007019B9">
              <w:rPr>
                <w:rFonts w:ascii="Arial" w:hAnsi="Arial" w:cs="Arial"/>
                <w:sz w:val="20"/>
                <w:szCs w:val="20"/>
              </w:rPr>
              <w:t>176</w:t>
            </w:r>
          </w:p>
        </w:tc>
        <w:tc>
          <w:tcPr>
            <w:tcW w:w="1290" w:type="dxa"/>
          </w:tcPr>
          <w:p w14:paraId="10D8497F" w14:textId="77777777" w:rsidR="00923AE4" w:rsidRPr="007019B9" w:rsidRDefault="00923AE4" w:rsidP="00E02C1B">
            <w:pPr>
              <w:pStyle w:val="BodyText"/>
              <w:jc w:val="center"/>
              <w:rPr>
                <w:rFonts w:ascii="Arial" w:hAnsi="Arial" w:cs="Arial"/>
                <w:sz w:val="20"/>
                <w:szCs w:val="20"/>
              </w:rPr>
            </w:pPr>
            <w:r w:rsidRPr="007019B9">
              <w:rPr>
                <w:rFonts w:ascii="Arial" w:hAnsi="Arial" w:cs="Arial"/>
                <w:sz w:val="20"/>
                <w:szCs w:val="20"/>
              </w:rPr>
              <w:t>7.5</w:t>
            </w:r>
          </w:p>
        </w:tc>
      </w:tr>
      <w:tr w:rsidR="00923AE4" w14:paraId="4446296D" w14:textId="77777777" w:rsidTr="00E02C1B">
        <w:trPr>
          <w:trHeight w:val="618"/>
          <w:jc w:val="center"/>
        </w:trPr>
        <w:tc>
          <w:tcPr>
            <w:tcW w:w="1290" w:type="dxa"/>
          </w:tcPr>
          <w:p w14:paraId="0993DF2D" w14:textId="77777777" w:rsidR="00923AE4" w:rsidRPr="007019B9" w:rsidRDefault="00923AE4" w:rsidP="00E02C1B">
            <w:pPr>
              <w:pStyle w:val="BodyText"/>
              <w:jc w:val="center"/>
              <w:rPr>
                <w:rFonts w:ascii="Arial" w:hAnsi="Arial" w:cs="Arial"/>
                <w:i/>
                <w:iCs/>
                <w:sz w:val="20"/>
                <w:szCs w:val="20"/>
              </w:rPr>
            </w:pPr>
            <w:r w:rsidRPr="007019B9">
              <w:rPr>
                <w:rFonts w:ascii="Arial" w:hAnsi="Arial" w:cs="Arial"/>
                <w:i/>
                <w:iCs/>
                <w:sz w:val="20"/>
                <w:szCs w:val="20"/>
              </w:rPr>
              <w:t>F</w:t>
            </w:r>
          </w:p>
        </w:tc>
        <w:tc>
          <w:tcPr>
            <w:tcW w:w="1290" w:type="dxa"/>
          </w:tcPr>
          <w:p w14:paraId="08E5829D" w14:textId="77777777" w:rsidR="00923AE4" w:rsidRPr="007019B9" w:rsidRDefault="00923AE4" w:rsidP="00E02C1B">
            <w:pPr>
              <w:pStyle w:val="BodyText"/>
              <w:jc w:val="center"/>
              <w:rPr>
                <w:rFonts w:ascii="Arial" w:hAnsi="Arial" w:cs="Arial"/>
                <w:sz w:val="20"/>
                <w:szCs w:val="20"/>
              </w:rPr>
            </w:pPr>
            <w:r w:rsidRPr="007019B9">
              <w:rPr>
                <w:rFonts w:ascii="Arial" w:hAnsi="Arial" w:cs="Arial"/>
                <w:sz w:val="20"/>
                <w:szCs w:val="20"/>
              </w:rPr>
              <w:t>162</w:t>
            </w:r>
          </w:p>
        </w:tc>
        <w:tc>
          <w:tcPr>
            <w:tcW w:w="1290" w:type="dxa"/>
          </w:tcPr>
          <w:p w14:paraId="67D07C87" w14:textId="77777777" w:rsidR="00923AE4" w:rsidRPr="007019B9" w:rsidRDefault="00923AE4" w:rsidP="00E02C1B">
            <w:pPr>
              <w:pStyle w:val="BodyText"/>
              <w:jc w:val="center"/>
              <w:rPr>
                <w:rFonts w:ascii="Arial" w:hAnsi="Arial" w:cs="Arial"/>
                <w:sz w:val="20"/>
                <w:szCs w:val="20"/>
              </w:rPr>
            </w:pPr>
            <w:r w:rsidRPr="007019B9">
              <w:rPr>
                <w:rFonts w:ascii="Arial" w:hAnsi="Arial" w:cs="Arial"/>
                <w:sz w:val="20"/>
                <w:szCs w:val="20"/>
              </w:rPr>
              <w:t>7</w:t>
            </w:r>
          </w:p>
        </w:tc>
      </w:tr>
    </w:tbl>
    <w:p w14:paraId="7FF934E7" w14:textId="77777777" w:rsidR="00923AE4" w:rsidRPr="00101583" w:rsidRDefault="00923AE4" w:rsidP="00923AE4">
      <w:pPr>
        <w:pStyle w:val="BodyText"/>
        <w:spacing w:before="360"/>
        <w:rPr>
          <w:rFonts w:ascii="Arial" w:eastAsiaTheme="minorEastAsia" w:hAnsi="Arial" w:cs="Arial"/>
          <w:sz w:val="22"/>
          <w:szCs w:val="22"/>
        </w:rPr>
      </w:pPr>
      <w:r w:rsidRPr="00923AE4">
        <w:rPr>
          <w:rFonts w:cstheme="minorHAnsi"/>
          <w:sz w:val="20"/>
          <w:szCs w:val="20"/>
        </w:rPr>
        <w:t xml:space="preserve">The standard normal distribution </w:t>
      </w:r>
      <m:oMath>
        <m:r>
          <w:rPr>
            <w:rFonts w:ascii="Cambria Math" w:hAnsi="Cambria Math" w:cstheme="minorHAnsi"/>
            <w:sz w:val="20"/>
            <w:szCs w:val="20"/>
          </w:rPr>
          <m:t>Z~</m:t>
        </m:r>
        <m:r>
          <m:rPr>
            <m:sty m:val="p"/>
          </m:rPr>
          <w:rPr>
            <w:rFonts w:ascii="Cambria Math" w:hAnsi="Cambria Math" w:cstheme="minorHAnsi"/>
            <w:sz w:val="20"/>
            <w:szCs w:val="20"/>
          </w:rPr>
          <m:t>N</m:t>
        </m:r>
        <m:r>
          <w:rPr>
            <w:rFonts w:ascii="Cambria Math" w:hAnsi="Cambria Math" w:cstheme="minorHAnsi"/>
            <w:sz w:val="20"/>
            <w:szCs w:val="20"/>
          </w:rPr>
          <m:t>(0, 1)</m:t>
        </m:r>
      </m:oMath>
      <w:r w:rsidRPr="00923AE4">
        <w:rPr>
          <w:rFonts w:eastAsiaTheme="minorEastAsia" w:cstheme="minorHAnsi"/>
          <w:sz w:val="20"/>
          <w:szCs w:val="20"/>
        </w:rPr>
        <w:t xml:space="preserve"> has the probability density function:</w:t>
      </w:r>
      <w:r w:rsidRPr="00923AE4">
        <w:rPr>
          <w:rFonts w:eastAsiaTheme="minorEastAsia" w:cstheme="minorHAnsi"/>
          <w:sz w:val="20"/>
          <w:szCs w:val="20"/>
        </w:rPr>
        <w:br/>
      </w:r>
      <w:r>
        <w:rPr>
          <w:rFonts w:eastAsiaTheme="minorEastAsia"/>
        </w:rPr>
        <w:br/>
      </w:r>
      <m:oMathPara>
        <m:oMathParaPr>
          <m:jc m:val="center"/>
        </m:oMathParaPr>
        <m:oMath>
          <m:r>
            <w:rPr>
              <w:rFonts w:ascii="Cambria Math" w:hAnsi="Arial" w:cs="Arial"/>
              <w:sz w:val="22"/>
              <w:szCs w:val="22"/>
            </w:rPr>
            <m:t xml:space="preserve">g:R </m:t>
          </m:r>
          <m:r>
            <w:rPr>
              <w:rFonts w:ascii="Cambria Math" w:hAnsi="Cambria Math" w:cs="Arial"/>
              <w:sz w:val="22"/>
              <w:szCs w:val="22"/>
            </w:rPr>
            <m:t>→</m:t>
          </m:r>
          <m:r>
            <m:rPr>
              <m:sty m:val="p"/>
            </m:rPr>
            <w:rPr>
              <w:rFonts w:ascii="Cambria Math" w:hAnsi="Arial" w:cs="Arial"/>
              <w:sz w:val="22"/>
              <w:szCs w:val="22"/>
            </w:rPr>
            <m:t xml:space="preserve"> </m:t>
          </m:r>
          <m:r>
            <w:rPr>
              <w:rFonts w:ascii="Cambria Math" w:hAnsi="Arial" w:cs="Arial"/>
              <w:sz w:val="22"/>
              <w:szCs w:val="22"/>
            </w:rPr>
            <m:t>R, g(x)=</m:t>
          </m:r>
          <m:f>
            <m:fPr>
              <m:ctrlPr>
                <w:rPr>
                  <w:rFonts w:ascii="Cambria Math" w:hAnsi="Arial" w:cs="Arial"/>
                  <w:i/>
                  <w:sz w:val="22"/>
                  <w:szCs w:val="22"/>
                </w:rPr>
              </m:ctrlPr>
            </m:fPr>
            <m:num>
              <m:r>
                <w:rPr>
                  <w:rFonts w:ascii="Cambria Math" w:hAnsi="Arial" w:cs="Arial"/>
                  <w:sz w:val="22"/>
                  <w:szCs w:val="22"/>
                </w:rPr>
                <m:t>1</m:t>
              </m:r>
            </m:num>
            <m:den>
              <m:rad>
                <m:radPr>
                  <m:degHide m:val="1"/>
                  <m:ctrlPr>
                    <w:rPr>
                      <w:rFonts w:ascii="Cambria Math" w:hAnsi="Arial" w:cs="Arial"/>
                      <w:i/>
                      <w:sz w:val="22"/>
                      <w:szCs w:val="22"/>
                    </w:rPr>
                  </m:ctrlPr>
                </m:radPr>
                <m:deg/>
                <m:e>
                  <m:r>
                    <w:rPr>
                      <w:rFonts w:ascii="Cambria Math" w:hAnsi="Arial" w:cs="Arial"/>
                      <w:sz w:val="22"/>
                      <w:szCs w:val="22"/>
                    </w:rPr>
                    <m:t>2π</m:t>
                  </m:r>
                </m:e>
              </m:rad>
              <m:ctrlPr>
                <w:rPr>
                  <w:rFonts w:ascii="Cambria Math" w:hAnsi="Cambria Math" w:cs="Arial"/>
                  <w:i/>
                  <w:sz w:val="22"/>
                  <w:szCs w:val="22"/>
                </w:rPr>
              </m:ctrlPr>
            </m:den>
          </m:f>
          <m:sSup>
            <m:sSupPr>
              <m:ctrlPr>
                <w:rPr>
                  <w:rFonts w:ascii="Cambria Math" w:hAnsi="Arial" w:cs="Arial"/>
                  <w:i/>
                  <w:sz w:val="22"/>
                  <w:szCs w:val="22"/>
                </w:rPr>
              </m:ctrlPr>
            </m:sSupPr>
            <m:e>
              <m:r>
                <w:rPr>
                  <w:rFonts w:ascii="Cambria Math" w:hAnsi="Arial" w:cs="Arial"/>
                  <w:sz w:val="22"/>
                  <w:szCs w:val="22"/>
                </w:rPr>
                <m:t>e</m:t>
              </m:r>
            </m:e>
            <m:sup>
              <m:r>
                <w:rPr>
                  <w:rFonts w:ascii="Cambria Math" w:hAnsi="Arial" w:cs="Arial"/>
                  <w:sz w:val="22"/>
                  <w:szCs w:val="22"/>
                </w:rPr>
                <m:t>-</m:t>
              </m:r>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2</m:t>
                  </m:r>
                </m:den>
              </m:f>
              <m:sSup>
                <m:sSupPr>
                  <m:ctrlPr>
                    <w:rPr>
                      <w:rFonts w:ascii="Cambria Math" w:hAnsi="Arial" w:cs="Arial"/>
                      <w:i/>
                      <w:sz w:val="22"/>
                      <w:szCs w:val="22"/>
                    </w:rPr>
                  </m:ctrlPr>
                </m:sSupPr>
                <m:e>
                  <m:r>
                    <w:rPr>
                      <w:rFonts w:ascii="Cambria Math" w:hAnsi="Arial" w:cs="Arial"/>
                      <w:sz w:val="22"/>
                      <w:szCs w:val="22"/>
                    </w:rPr>
                    <m:t>x</m:t>
                  </m:r>
                </m:e>
                <m:sup>
                  <m:r>
                    <w:rPr>
                      <w:rFonts w:ascii="Cambria Math" w:hAnsi="Arial" w:cs="Arial"/>
                      <w:sz w:val="22"/>
                      <w:szCs w:val="22"/>
                    </w:rPr>
                    <m:t>2</m:t>
                  </m:r>
                </m:sup>
              </m:sSup>
              <m:ctrlPr>
                <w:rPr>
                  <w:rFonts w:ascii="Cambria Math" w:hAnsi="Cambria Math" w:cs="Arial"/>
                  <w:i/>
                  <w:sz w:val="22"/>
                  <w:szCs w:val="22"/>
                </w:rPr>
              </m:ctrlPr>
            </m:sup>
          </m:sSup>
        </m:oMath>
      </m:oMathPara>
    </w:p>
    <w:p w14:paraId="45245FDB" w14:textId="166F6BF2" w:rsidR="00923AE4" w:rsidRDefault="00923AE4" w:rsidP="00923AE4">
      <w:pPr>
        <w:pStyle w:val="VCAAbody"/>
        <w:spacing w:before="360" w:after="240"/>
      </w:pPr>
      <w:r>
        <w:t>The normal distribution</w:t>
      </w:r>
      <w:r w:rsidRPr="00D9229F">
        <w:rPr>
          <w:rFonts w:ascii="Cambria Math" w:hAnsi="Cambria Math"/>
          <w:i/>
        </w:rPr>
        <w:t xml:space="preserve"> </w:t>
      </w:r>
      <m:oMath>
        <m:r>
          <w:rPr>
            <w:rFonts w:ascii="Cambria Math" w:hAnsi="Cambria Math"/>
          </w:rPr>
          <m:t>X~</m:t>
        </m:r>
        <m:r>
          <m:rPr>
            <m:sty m:val="p"/>
          </m:rPr>
          <w:rPr>
            <w:rFonts w:ascii="Cambria Math" w:hAnsi="Cambria Math"/>
          </w:rPr>
          <m:t>N</m:t>
        </m:r>
        <m:r>
          <w:rPr>
            <w:rFonts w:ascii="Cambria Math" w:hAnsi="Cambria Math"/>
          </w:rPr>
          <m:t xml:space="preserve">(μ, </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t xml:space="preserve"> has the probability density function:</w:t>
      </w:r>
    </w:p>
    <w:p w14:paraId="1F7E2722" w14:textId="77777777" w:rsidR="00923AE4" w:rsidRPr="00101583" w:rsidRDefault="00923AE4" w:rsidP="00923AE4">
      <w:pPr>
        <w:pStyle w:val="BodyText"/>
        <w:rPr>
          <w:rFonts w:ascii="Arial" w:eastAsiaTheme="minorEastAsia" w:hAnsi="Arial" w:cs="Arial"/>
          <w:sz w:val="22"/>
          <w:szCs w:val="22"/>
        </w:rPr>
      </w:pPr>
      <m:oMathPara>
        <m:oMathParaPr>
          <m:jc m:val="center"/>
        </m:oMathParaPr>
        <m:oMath>
          <m:r>
            <w:rPr>
              <w:rFonts w:ascii="Cambria Math" w:hAnsi="Arial" w:cs="Arial"/>
              <w:sz w:val="22"/>
              <w:szCs w:val="22"/>
            </w:rPr>
            <m:t xml:space="preserve">f:R </m:t>
          </m:r>
          <m:r>
            <w:rPr>
              <w:rFonts w:ascii="Cambria Math" w:hAnsi="Cambria Math" w:cs="Arial"/>
              <w:sz w:val="22"/>
              <w:szCs w:val="22"/>
            </w:rPr>
            <m:t>→</m:t>
          </m:r>
          <m:r>
            <w:rPr>
              <w:rFonts w:ascii="Cambria Math" w:hAnsi="Arial" w:cs="Arial"/>
              <w:sz w:val="22"/>
              <w:szCs w:val="22"/>
            </w:rPr>
            <m:t>R, f(x)=</m:t>
          </m:r>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σ</m:t>
              </m:r>
              <m:rad>
                <m:radPr>
                  <m:degHide m:val="1"/>
                  <m:ctrlPr>
                    <w:rPr>
                      <w:rFonts w:ascii="Cambria Math" w:hAnsi="Arial" w:cs="Arial"/>
                      <w:i/>
                      <w:sz w:val="22"/>
                      <w:szCs w:val="22"/>
                    </w:rPr>
                  </m:ctrlPr>
                </m:radPr>
                <m:deg/>
                <m:e>
                  <m:r>
                    <w:rPr>
                      <w:rFonts w:ascii="Cambria Math" w:hAnsi="Arial" w:cs="Arial"/>
                      <w:sz w:val="22"/>
                      <w:szCs w:val="22"/>
                    </w:rPr>
                    <m:t>2π</m:t>
                  </m:r>
                </m:e>
              </m:rad>
              <m:ctrlPr>
                <w:rPr>
                  <w:rFonts w:ascii="Cambria Math" w:hAnsi="Cambria Math" w:cs="Arial"/>
                  <w:i/>
                  <w:sz w:val="22"/>
                  <w:szCs w:val="22"/>
                </w:rPr>
              </m:ctrlPr>
            </m:den>
          </m:f>
          <m:sSup>
            <m:sSupPr>
              <m:ctrlPr>
                <w:rPr>
                  <w:rFonts w:ascii="Cambria Math" w:hAnsi="Arial" w:cs="Arial"/>
                  <w:i/>
                  <w:sz w:val="22"/>
                  <w:szCs w:val="22"/>
                </w:rPr>
              </m:ctrlPr>
            </m:sSupPr>
            <m:e>
              <m:r>
                <w:rPr>
                  <w:rFonts w:ascii="Cambria Math" w:hAnsi="Arial" w:cs="Arial"/>
                  <w:sz w:val="22"/>
                  <w:szCs w:val="22"/>
                </w:rPr>
                <m:t>e</m:t>
              </m:r>
            </m:e>
            <m:sup>
              <m:r>
                <w:rPr>
                  <w:rFonts w:ascii="Cambria Math" w:hAnsi="Arial" w:cs="Arial"/>
                  <w:sz w:val="22"/>
                  <w:szCs w:val="22"/>
                </w:rPr>
                <m:t>-</m:t>
              </m:r>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2</m:t>
                  </m:r>
                </m:den>
              </m:f>
              <m:sSup>
                <m:sSupPr>
                  <m:ctrlPr>
                    <w:rPr>
                      <w:rFonts w:ascii="Cambria Math" w:hAnsi="Arial" w:cs="Arial"/>
                      <w:i/>
                      <w:sz w:val="22"/>
                      <w:szCs w:val="22"/>
                    </w:rPr>
                  </m:ctrlPr>
                </m:sSupPr>
                <m:e>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x</m:t>
                          </m:r>
                          <m:r>
                            <w:rPr>
                              <w:rFonts w:ascii="Cambria Math" w:hAnsi="Arial" w:cs="Arial"/>
                              <w:sz w:val="22"/>
                              <w:szCs w:val="22"/>
                            </w:rPr>
                            <m:t>-</m:t>
                          </m:r>
                          <m:r>
                            <w:rPr>
                              <w:rFonts w:ascii="Cambria Math" w:hAnsi="Arial" w:cs="Arial"/>
                              <w:sz w:val="22"/>
                              <w:szCs w:val="22"/>
                            </w:rPr>
                            <m:t>μ</m:t>
                          </m:r>
                        </m:num>
                        <m:den>
                          <m:r>
                            <w:rPr>
                              <w:rFonts w:ascii="Cambria Math" w:hAnsi="Arial" w:cs="Arial"/>
                              <w:sz w:val="22"/>
                              <w:szCs w:val="22"/>
                            </w:rPr>
                            <m:t>σ</m:t>
                          </m:r>
                        </m:den>
                      </m:f>
                      <m:ctrlPr>
                        <w:rPr>
                          <w:rFonts w:ascii="Cambria Math" w:hAnsi="Cambria Math" w:cs="Arial"/>
                          <w:i/>
                          <w:sz w:val="22"/>
                          <w:szCs w:val="22"/>
                        </w:rPr>
                      </m:ctrlPr>
                    </m:e>
                  </m:d>
                </m:e>
                <m:sup>
                  <m:r>
                    <w:rPr>
                      <w:rFonts w:ascii="Cambria Math" w:hAnsi="Arial" w:cs="Arial"/>
                      <w:sz w:val="22"/>
                      <w:szCs w:val="22"/>
                    </w:rPr>
                    <m:t>2</m:t>
                  </m:r>
                </m:sup>
              </m:sSup>
              <m:ctrlPr>
                <w:rPr>
                  <w:rFonts w:ascii="Cambria Math" w:hAnsi="Cambria Math" w:cs="Arial"/>
                  <w:i/>
                  <w:sz w:val="22"/>
                  <w:szCs w:val="22"/>
                </w:rPr>
              </m:ctrlPr>
            </m:sup>
          </m:sSup>
        </m:oMath>
      </m:oMathPara>
    </w:p>
    <w:p w14:paraId="45AFFD45" w14:textId="77777777" w:rsidR="00923AE4" w:rsidRDefault="00923AE4" w:rsidP="00C935A6">
      <w:pPr>
        <w:pStyle w:val="VCAAHeading4"/>
      </w:pPr>
      <w:r w:rsidRPr="00DD419F">
        <w:t>Part 1</w:t>
      </w:r>
    </w:p>
    <w:p w14:paraId="0B942992" w14:textId="7FA0F6A1" w:rsidR="00923AE4" w:rsidRPr="000F01A2" w:rsidRDefault="00923AE4" w:rsidP="00923AE4">
      <w:pPr>
        <w:pStyle w:val="VCAAbody"/>
        <w:ind w:left="426" w:hanging="426"/>
        <w:rPr>
          <w:rFonts w:eastAsiaTheme="minorEastAsia"/>
        </w:rPr>
      </w:pPr>
      <w:r>
        <w:t>a.</w:t>
      </w:r>
      <w:r>
        <w:tab/>
      </w:r>
      <w:r>
        <w:t xml:space="preserve">Graph </w:t>
      </w:r>
      <m:oMath>
        <m:r>
          <w:rPr>
            <w:rFonts w:ascii="Cambria Math" w:hAnsi="Cambria Math"/>
          </w:rPr>
          <m:t>g</m:t>
        </m:r>
      </m:oMath>
      <w:r>
        <w:t xml:space="preserve"> and </w:t>
      </w:r>
      <m:oMath>
        <m:r>
          <w:rPr>
            <w:rFonts w:ascii="Cambria Math" w:hAnsi="Cambria Math"/>
          </w:rPr>
          <m:t>f</m:t>
        </m:r>
      </m:oMath>
      <w:r w:rsidRPr="000F136F">
        <w:rPr>
          <w:i/>
          <w:iCs/>
        </w:rPr>
        <w:t xml:space="preserve"> </w:t>
      </w:r>
      <w:r>
        <w:t xml:space="preserve">for several different sets of values of the parameters for </w:t>
      </w:r>
      <m:oMath>
        <m:r>
          <w:rPr>
            <w:rFonts w:ascii="Cambria Math" w:hAnsi="Cambria Math"/>
          </w:rPr>
          <m:t xml:space="preserve">f </m:t>
        </m:r>
      </m:oMath>
      <w:r>
        <w:t>and</w:t>
      </w:r>
      <w:r w:rsidRPr="000F01A2">
        <w:t xml:space="preserve"> in each case interpret the graph of</w:t>
      </w:r>
      <w:r w:rsidRPr="000F01A2">
        <w:rPr>
          <w:i/>
          <w:iCs/>
        </w:rPr>
        <w:t xml:space="preserve"> </w:t>
      </w:r>
      <m:oMath>
        <m:r>
          <w:rPr>
            <w:rFonts w:ascii="Cambria Math" w:hAnsi="Cambria Math"/>
          </w:rPr>
          <m:t>f</m:t>
        </m:r>
      </m:oMath>
      <w:r w:rsidRPr="000F01A2">
        <w:t xml:space="preserve"> in terms of transformations of the graph of </w:t>
      </w:r>
      <m:oMath>
        <m:r>
          <w:rPr>
            <w:rFonts w:ascii="Cambria Math" w:hAnsi="Cambria Math"/>
          </w:rPr>
          <m:t>g</m:t>
        </m:r>
      </m:oMath>
      <w:r w:rsidRPr="000F01A2">
        <w:t xml:space="preserve">. </w:t>
      </w:r>
    </w:p>
    <w:p w14:paraId="4E0B6FEC" w14:textId="77777777" w:rsidR="00923AE4" w:rsidRPr="00B13930" w:rsidRDefault="00923AE4" w:rsidP="00923AE4">
      <w:pPr>
        <w:pStyle w:val="VCAAbody"/>
      </w:pPr>
      <w:r>
        <w:t>Now c</w:t>
      </w:r>
      <w:r w:rsidRPr="00B13930">
        <w:t>onsider the distribu</w:t>
      </w:r>
      <w:r>
        <w:t>t</w:t>
      </w:r>
      <w:r w:rsidRPr="00B13930">
        <w:t xml:space="preserve">ions of </w:t>
      </w:r>
      <w:r w:rsidRPr="00B13930">
        <w:rPr>
          <w:i/>
          <w:iCs/>
        </w:rPr>
        <w:t>M</w:t>
      </w:r>
      <w:r w:rsidRPr="00B13930">
        <w:t xml:space="preserve"> and </w:t>
      </w:r>
      <w:r>
        <w:rPr>
          <w:i/>
          <w:iCs/>
        </w:rPr>
        <w:t>F</w:t>
      </w:r>
    </w:p>
    <w:p w14:paraId="27D19F2E" w14:textId="2DD5D76D" w:rsidR="00923AE4" w:rsidRDefault="00923AE4" w:rsidP="00923AE4">
      <w:pPr>
        <w:pStyle w:val="VCAAbody"/>
        <w:ind w:left="567" w:hanging="567"/>
      </w:pPr>
      <w:r>
        <w:t>b.</w:t>
      </w:r>
      <w:r>
        <w:tab/>
      </w:r>
      <w:r>
        <w:t xml:space="preserve">Graph the probability density functions for </w:t>
      </w:r>
      <w:r w:rsidRPr="00643C60">
        <w:rPr>
          <w:i/>
          <w:iCs/>
        </w:rPr>
        <w:t>M</w:t>
      </w:r>
      <w:r>
        <w:t xml:space="preserve"> and </w:t>
      </w:r>
      <w:r>
        <w:rPr>
          <w:i/>
          <w:iCs/>
        </w:rPr>
        <w:t>F</w:t>
      </w:r>
      <w:r>
        <w:t xml:space="preserve"> on the same set of axes and identify their key features.</w:t>
      </w:r>
    </w:p>
    <w:p w14:paraId="2FD47783" w14:textId="4C0F1A74" w:rsidR="00923AE4" w:rsidRPr="00AB7BE7" w:rsidRDefault="00923AE4" w:rsidP="00923AE4">
      <w:pPr>
        <w:pStyle w:val="VCAAbody"/>
        <w:ind w:left="567" w:hanging="567"/>
        <w:rPr>
          <w:rFonts w:eastAsiaTheme="minorEastAsia"/>
        </w:rPr>
      </w:pPr>
      <w:r>
        <w:t>c.</w:t>
      </w:r>
      <w:r>
        <w:tab/>
      </w:r>
      <w:r w:rsidRPr="000B2BDC">
        <w:t xml:space="preserve">For each of </w:t>
      </w:r>
      <w:r w:rsidRPr="000B2BDC">
        <w:rPr>
          <w:i/>
          <w:iCs/>
        </w:rPr>
        <w:t>M</w:t>
      </w:r>
      <w:r w:rsidRPr="000B2BDC">
        <w:t xml:space="preserve"> and </w:t>
      </w:r>
      <w:r>
        <w:rPr>
          <w:i/>
          <w:iCs/>
        </w:rPr>
        <w:t>F</w:t>
      </w:r>
      <w:r w:rsidRPr="000B2BDC">
        <w:t>, identify symmetrical intervals one</w:t>
      </w:r>
      <w:r>
        <w:t>,</w:t>
      </w:r>
      <w:r w:rsidRPr="000B2BDC">
        <w:t xml:space="preserve"> two and three standard deviations either side of the mean, and calculate the corresponding areas.</w:t>
      </w:r>
    </w:p>
    <w:p w14:paraId="04F9A13A" w14:textId="0D62CD7C" w:rsidR="00923AE4" w:rsidRDefault="00923AE4" w:rsidP="00923AE4">
      <w:pPr>
        <w:pStyle w:val="VCAAbody"/>
        <w:ind w:left="567" w:hanging="567"/>
      </w:pPr>
      <w:r>
        <w:t>d.</w:t>
      </w:r>
      <w:r>
        <w:tab/>
      </w:r>
      <w:r w:rsidRPr="000B2BDC">
        <w:t xml:space="preserve">For each of </w:t>
      </w:r>
      <w:r w:rsidRPr="000B2BDC">
        <w:rPr>
          <w:i/>
          <w:iCs/>
        </w:rPr>
        <w:t>M</w:t>
      </w:r>
      <w:r w:rsidRPr="000B2BDC">
        <w:t xml:space="preserve"> and </w:t>
      </w:r>
      <w:r>
        <w:rPr>
          <w:i/>
          <w:iCs/>
        </w:rPr>
        <w:t>F</w:t>
      </w:r>
      <w:r w:rsidRPr="000B2BDC">
        <w:t>,</w:t>
      </w:r>
      <w:r>
        <w:t xml:space="preserve"> find the interval corresponding to the middle 50% of the population heights. Find several other non-symmetrical intervals that also contain 50% of the respective population heights.</w:t>
      </w:r>
    </w:p>
    <w:p w14:paraId="2271C5CC" w14:textId="77777777" w:rsidR="00923AE4" w:rsidRDefault="00923AE4">
      <w:pPr>
        <w:rPr>
          <w:rFonts w:ascii="Arial" w:hAnsi="Arial" w:cs="Arial"/>
          <w:color w:val="000000" w:themeColor="text1"/>
          <w:sz w:val="20"/>
        </w:rPr>
      </w:pPr>
      <w:r>
        <w:br w:type="page"/>
      </w:r>
    </w:p>
    <w:p w14:paraId="77AAF03B" w14:textId="77777777" w:rsidR="00923AE4" w:rsidRDefault="00923AE4" w:rsidP="00C935A6">
      <w:pPr>
        <w:pStyle w:val="VCAAHeading4"/>
      </w:pPr>
      <w:r w:rsidRPr="00DD419F">
        <w:lastRenderedPageBreak/>
        <w:t xml:space="preserve">Part </w:t>
      </w:r>
      <w:r>
        <w:t>2</w:t>
      </w:r>
    </w:p>
    <w:p w14:paraId="73CEF02E" w14:textId="77777777" w:rsidR="00923AE4" w:rsidRPr="009F2FCA" w:rsidRDefault="00923AE4" w:rsidP="00923AE4">
      <w:pPr>
        <w:pStyle w:val="VCAAbody"/>
        <w:rPr>
          <w:rFonts w:eastAsia="Arial"/>
          <w:color w:val="000000"/>
          <w:lang w:val="en" w:eastAsia="en-AU"/>
        </w:rPr>
      </w:pPr>
      <w:r>
        <w:t>The following graph shows the distribution of height for a group of females in a particular year.</w:t>
      </w:r>
    </w:p>
    <w:p w14:paraId="64E11283" w14:textId="77777777" w:rsidR="00923AE4" w:rsidRDefault="00923AE4" w:rsidP="00923AE4">
      <w:pPr>
        <w:pStyle w:val="VCAAbody"/>
      </w:pPr>
      <w:r w:rsidRPr="00D52151">
        <w:rPr>
          <w:bCs/>
        </w:rPr>
        <w:t xml:space="preserve">If there are many such measurements taken in the context of </w:t>
      </w:r>
      <w:r w:rsidRPr="00D52151">
        <w:t>distributions of human heights in several contexts, using normal distributions of the random variable</w:t>
      </w:r>
      <w:r>
        <w:t>,</w:t>
      </w:r>
      <w:r w:rsidRPr="00D52151">
        <w:rPr>
          <w:bCs/>
        </w:rPr>
        <w:t xml:space="preserve"> </w:t>
      </w:r>
      <w:r w:rsidRPr="00D52151">
        <w:t xml:space="preserve">a histogram would look like the </w:t>
      </w:r>
      <w:r w:rsidRPr="003C4219">
        <w:rPr>
          <w:bCs/>
        </w:rPr>
        <w:t>bell</w:t>
      </w:r>
      <w:r>
        <w:rPr>
          <w:bCs/>
        </w:rPr>
        <w:t>-</w:t>
      </w:r>
      <w:r w:rsidRPr="003C4219">
        <w:rPr>
          <w:bCs/>
        </w:rPr>
        <w:t>shaped</w:t>
      </w:r>
      <w:r>
        <w:rPr>
          <w:bCs/>
        </w:rPr>
        <w:t xml:space="preserve"> </w:t>
      </w:r>
      <w:r w:rsidRPr="00D52151">
        <w:t>graph shown.</w:t>
      </w:r>
    </w:p>
    <w:p w14:paraId="29902AE5" w14:textId="77777777" w:rsidR="00923AE4" w:rsidRPr="00D52151" w:rsidRDefault="00923AE4" w:rsidP="007019B9">
      <w:pPr>
        <w:pStyle w:val="VCAAbody"/>
        <w:spacing w:after="240"/>
      </w:pPr>
      <w:r w:rsidRPr="00D52151">
        <w:t>Imagine this histogram below show</w:t>
      </w:r>
      <w:r>
        <w:t>ing</w:t>
      </w:r>
      <w:r w:rsidRPr="00D52151">
        <w:t xml:space="preserve"> the heights of </w:t>
      </w:r>
      <w:r>
        <w:t xml:space="preserve">180 </w:t>
      </w:r>
      <w:r w:rsidRPr="00D52151">
        <w:t>females in 1970.</w:t>
      </w:r>
    </w:p>
    <w:p w14:paraId="1ACA5DF9" w14:textId="77777777" w:rsidR="00923AE4" w:rsidRPr="007019B9" w:rsidRDefault="00923AE4" w:rsidP="00923AE4">
      <w:pPr>
        <w:pStyle w:val="NoSpacing"/>
        <w:spacing w:line="360" w:lineRule="auto"/>
        <w:rPr>
          <w:rStyle w:val="Hyperlink"/>
          <w:rFonts w:ascii="Arial" w:hAnsi="Arial" w:cs="Arial"/>
          <w:bCs/>
          <w:color w:val="auto"/>
          <w:sz w:val="22"/>
          <w:szCs w:val="22"/>
          <w:u w:val="none"/>
        </w:rPr>
      </w:pPr>
      <w:r>
        <w:rPr>
          <w:noProof/>
          <w:lang w:eastAsia="ja-JP"/>
        </w:rPr>
        <w:drawing>
          <wp:inline distT="0" distB="0" distL="0" distR="0" wp14:anchorId="7ED1D535" wp14:editId="52ED4B56">
            <wp:extent cx="4667624" cy="3510624"/>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12"/>
                    <a:stretch>
                      <a:fillRect/>
                    </a:stretch>
                  </pic:blipFill>
                  <pic:spPr>
                    <a:xfrm>
                      <a:off x="0" y="0"/>
                      <a:ext cx="4675476" cy="3516530"/>
                    </a:xfrm>
                    <a:prstGeom prst="rect">
                      <a:avLst/>
                    </a:prstGeom>
                  </pic:spPr>
                </pic:pic>
              </a:graphicData>
            </a:graphic>
          </wp:inline>
        </w:drawing>
      </w:r>
    </w:p>
    <w:p w14:paraId="6083D792" w14:textId="77777777" w:rsidR="00923AE4" w:rsidRPr="00923AE4" w:rsidRDefault="00923AE4" w:rsidP="00923AE4">
      <w:pPr>
        <w:pStyle w:val="VCAAbody"/>
        <w:rPr>
          <w:rStyle w:val="Hyperlink"/>
          <w:color w:val="auto"/>
          <w:szCs w:val="20"/>
        </w:rPr>
      </w:pPr>
      <w:hyperlink r:id="rId13" w:history="1">
        <w:r w:rsidRPr="00923AE4">
          <w:rPr>
            <w:rStyle w:val="Hyperlink"/>
            <w:szCs w:val="20"/>
          </w:rPr>
          <w:t>Social Science Statistics</w:t>
        </w:r>
      </w:hyperlink>
    </w:p>
    <w:p w14:paraId="3CF1EC22" w14:textId="6B8EC087" w:rsidR="00923AE4" w:rsidRPr="00923AE4" w:rsidRDefault="00923AE4" w:rsidP="00923AE4">
      <w:pPr>
        <w:pStyle w:val="VCAAbody"/>
        <w:ind w:left="426" w:hanging="426"/>
        <w:rPr>
          <w:rStyle w:val="Hyperlink"/>
          <w:bCs/>
          <w:color w:val="auto"/>
          <w:szCs w:val="20"/>
          <w:u w:val="none"/>
        </w:rPr>
      </w:pPr>
      <w:r>
        <w:rPr>
          <w:rStyle w:val="Hyperlink"/>
          <w:bCs/>
          <w:color w:val="auto"/>
          <w:szCs w:val="20"/>
          <w:u w:val="none"/>
        </w:rPr>
        <w:t>a.</w:t>
      </w:r>
      <w:r>
        <w:rPr>
          <w:rStyle w:val="Hyperlink"/>
          <w:bCs/>
          <w:color w:val="auto"/>
          <w:szCs w:val="20"/>
          <w:u w:val="none"/>
        </w:rPr>
        <w:tab/>
      </w:r>
      <w:r w:rsidRPr="00923AE4">
        <w:rPr>
          <w:rStyle w:val="Hyperlink"/>
          <w:bCs/>
          <w:color w:val="auto"/>
          <w:szCs w:val="20"/>
          <w:u w:val="none"/>
        </w:rPr>
        <w:t>Use the graph to estimate the mean and variance for this distribution.</w:t>
      </w:r>
    </w:p>
    <w:p w14:paraId="27FCA401" w14:textId="77777777" w:rsidR="00923AE4" w:rsidRPr="00923AE4" w:rsidRDefault="00923AE4" w:rsidP="00923AE4">
      <w:pPr>
        <w:pStyle w:val="VCAAbody"/>
        <w:rPr>
          <w:rStyle w:val="Hyperlink"/>
          <w:bCs/>
          <w:color w:val="auto"/>
          <w:szCs w:val="20"/>
          <w:u w:val="none"/>
        </w:rPr>
      </w:pPr>
      <w:r w:rsidRPr="00923AE4">
        <w:rPr>
          <w:rStyle w:val="Hyperlink"/>
          <w:bCs/>
          <w:color w:val="auto"/>
          <w:szCs w:val="20"/>
          <w:u w:val="none"/>
        </w:rPr>
        <w:t>People today are taller, on average, than their ancestors 100 years ago. This is true for every country in the world. But how much have human heights changed, and how does this vary across the world? The average young adult today is around 8 or 9 cm, or about 5%, taller than their ancestors 100 years ago.</w:t>
      </w:r>
    </w:p>
    <w:p w14:paraId="222C7110" w14:textId="77777777" w:rsidR="00923AE4" w:rsidRPr="00923AE4" w:rsidRDefault="00923AE4" w:rsidP="00923AE4">
      <w:pPr>
        <w:pStyle w:val="VCAAbody"/>
        <w:rPr>
          <w:bCs/>
          <w:szCs w:val="20"/>
        </w:rPr>
      </w:pPr>
      <w:r w:rsidRPr="00923AE4">
        <w:rPr>
          <w:bCs/>
          <w:szCs w:val="20"/>
        </w:rPr>
        <w:t xml:space="preserve">From </w:t>
      </w:r>
      <w:hyperlink r:id="rId14" w:history="1">
        <w:r w:rsidRPr="00923AE4">
          <w:rPr>
            <w:rStyle w:val="Hyperlink"/>
            <w:bCs/>
            <w:szCs w:val="20"/>
          </w:rPr>
          <w:t>Our World in Data</w:t>
        </w:r>
      </w:hyperlink>
      <w:r w:rsidRPr="00923AE4">
        <w:rPr>
          <w:bCs/>
          <w:szCs w:val="20"/>
        </w:rPr>
        <w:t>.</w:t>
      </w:r>
    </w:p>
    <w:p w14:paraId="1DFA3D38" w14:textId="77777777" w:rsidR="00923AE4" w:rsidRPr="003C4219" w:rsidRDefault="00923AE4" w:rsidP="00923AE4">
      <w:pPr>
        <w:pStyle w:val="VCAAbody"/>
        <w:rPr>
          <w:lang w:eastAsia="en-AU"/>
        </w:rPr>
      </w:pPr>
      <w:r>
        <w:rPr>
          <w:lang w:eastAsia="en-AU"/>
        </w:rPr>
        <w:t xml:space="preserve">In a different year, a </w:t>
      </w:r>
      <w:r w:rsidRPr="003C4219">
        <w:rPr>
          <w:lang w:eastAsia="en-AU"/>
        </w:rPr>
        <w:t xml:space="preserve">95% confidence interval for the proportion of </w:t>
      </w:r>
      <w:r>
        <w:rPr>
          <w:lang w:eastAsia="en-AU"/>
        </w:rPr>
        <w:t>females</w:t>
      </w:r>
      <w:r w:rsidRPr="003C4219">
        <w:rPr>
          <w:lang w:eastAsia="en-AU"/>
        </w:rPr>
        <w:t xml:space="preserve"> with </w:t>
      </w:r>
      <w:r>
        <w:rPr>
          <w:lang w:eastAsia="en-AU"/>
        </w:rPr>
        <w:t xml:space="preserve">a mean </w:t>
      </w:r>
      <w:r w:rsidRPr="003C4219">
        <w:rPr>
          <w:lang w:eastAsia="en-AU"/>
        </w:rPr>
        <w:t xml:space="preserve">height of 155 cm </w:t>
      </w:r>
      <w:proofErr w:type="spellStart"/>
      <w:r w:rsidRPr="003C4219">
        <w:rPr>
          <w:lang w:eastAsia="en-AU"/>
        </w:rPr>
        <w:t>metres</w:t>
      </w:r>
      <w:proofErr w:type="spellEnd"/>
      <w:r w:rsidRPr="003C4219">
        <w:rPr>
          <w:lang w:eastAsia="en-AU"/>
        </w:rPr>
        <w:t xml:space="preserve"> or more is given by</w:t>
      </w:r>
      <w:r>
        <w:rPr>
          <w:lang w:eastAsia="en-AU"/>
        </w:rPr>
        <w:t xml:space="preserve"> </w:t>
      </w:r>
      <w:r w:rsidRPr="003C4219">
        <w:rPr>
          <w:bdr w:val="none" w:sz="0" w:space="0" w:color="auto" w:frame="1"/>
          <w:lang w:eastAsia="en-AU"/>
        </w:rPr>
        <w:t>(0.047,</w:t>
      </w:r>
      <w:r>
        <w:rPr>
          <w:bdr w:val="none" w:sz="0" w:space="0" w:color="auto" w:frame="1"/>
          <w:lang w:eastAsia="en-AU"/>
        </w:rPr>
        <w:t xml:space="preserve"> </w:t>
      </w:r>
      <w:r w:rsidRPr="003C4219">
        <w:rPr>
          <w:bdr w:val="none" w:sz="0" w:space="0" w:color="auto" w:frame="1"/>
          <w:lang w:eastAsia="en-AU"/>
        </w:rPr>
        <w:t>0.219)</w:t>
      </w:r>
    </w:p>
    <w:p w14:paraId="240B4EFC" w14:textId="0A34B372" w:rsidR="00923AE4" w:rsidRDefault="00923AE4" w:rsidP="00923AE4">
      <w:pPr>
        <w:pStyle w:val="VCAAbody"/>
        <w:ind w:left="426" w:hanging="426"/>
      </w:pPr>
      <w:r>
        <w:t>b.</w:t>
      </w:r>
      <w:r>
        <w:tab/>
      </w:r>
      <w:r>
        <w:t xml:space="preserve">Determine the proportion and sample size used to generate this confidence interval </w:t>
      </w:r>
    </w:p>
    <w:p w14:paraId="60E1D184" w14:textId="323C2560" w:rsidR="00923AE4" w:rsidRPr="004E4DA8" w:rsidRDefault="00923AE4" w:rsidP="00923AE4">
      <w:pPr>
        <w:pStyle w:val="VCAAbody"/>
        <w:ind w:left="426" w:hanging="426"/>
        <w:rPr>
          <w:bCs/>
          <w:u w:val="single"/>
        </w:rPr>
      </w:pPr>
      <w:r>
        <w:rPr>
          <w:lang w:eastAsia="en-AU"/>
        </w:rPr>
        <w:t>c.</w:t>
      </w:r>
      <w:r>
        <w:rPr>
          <w:lang w:eastAsia="en-AU"/>
        </w:rPr>
        <w:tab/>
      </w:r>
      <w:r w:rsidRPr="004E4DA8">
        <w:rPr>
          <w:lang w:eastAsia="en-AU"/>
        </w:rPr>
        <w:t>Explore a range of different confidence intervals for females and males.</w:t>
      </w:r>
    </w:p>
    <w:p w14:paraId="0976C607" w14:textId="77777777" w:rsidR="00923AE4" w:rsidRDefault="00923AE4" w:rsidP="00C935A6">
      <w:pPr>
        <w:pStyle w:val="VCAAHeading4"/>
      </w:pPr>
      <w:r w:rsidRPr="00DD419F">
        <w:t xml:space="preserve">Part </w:t>
      </w:r>
      <w:r>
        <w:t>3</w:t>
      </w:r>
    </w:p>
    <w:p w14:paraId="2C97B8E3" w14:textId="77777777" w:rsidR="00923AE4" w:rsidRPr="00A345C6" w:rsidRDefault="00923AE4" w:rsidP="00941D2E">
      <w:pPr>
        <w:pStyle w:val="VCAAbody"/>
      </w:pPr>
      <w:r w:rsidRPr="00A345C6">
        <w:t>Consider the</w:t>
      </w:r>
      <w:r>
        <w:t xml:space="preserve"> discrete</w:t>
      </w:r>
      <w:r w:rsidRPr="00A345C6">
        <w:t xml:space="preserve"> </w:t>
      </w:r>
      <w:r w:rsidRPr="00FB47EC">
        <w:rPr>
          <w:bCs/>
        </w:rPr>
        <w:t xml:space="preserve">probability </w:t>
      </w:r>
      <w:r w:rsidRPr="00A345C6">
        <w:t>distribution</w:t>
      </w:r>
      <w:r>
        <w:t xml:space="preserve"> for </w:t>
      </w:r>
      <w:r w:rsidRPr="00A345C6">
        <w:t xml:space="preserve">a group of </w:t>
      </w:r>
      <w:r>
        <w:t xml:space="preserve">female </w:t>
      </w:r>
      <w:r w:rsidRPr="00A345C6">
        <w:t>students</w:t>
      </w:r>
      <w:r>
        <w:t xml:space="preserve"> having a measured height of at least 130 cm, where the random variable </w:t>
      </w:r>
      <w:r w:rsidRPr="001F7E4C">
        <w:rPr>
          <w:i/>
          <w:iCs/>
        </w:rPr>
        <w:t>H</w:t>
      </w:r>
      <w:r>
        <w:t xml:space="preserve"> represents the number of students in the group with this measured height.</w:t>
      </w:r>
    </w:p>
    <w:p w14:paraId="539C94BC" w14:textId="77777777" w:rsidR="00923AE4" w:rsidRPr="00FB47EC" w:rsidRDefault="00923AE4" w:rsidP="00941D2E">
      <w:pPr>
        <w:pStyle w:val="VCAAbody"/>
      </w:pPr>
      <w:r>
        <w:t xml:space="preserve">A </w:t>
      </w:r>
      <w:r w:rsidRPr="00FB47EC">
        <w:t xml:space="preserve">group of 30 </w:t>
      </w:r>
      <w:r>
        <w:t>female</w:t>
      </w:r>
      <w:r w:rsidRPr="00FB47EC">
        <w:t xml:space="preserve"> students</w:t>
      </w:r>
      <w:r>
        <w:t xml:space="preserve"> is randomly selected from a secondary school population</w:t>
      </w:r>
      <w:r w:rsidRPr="00FB47EC">
        <w:t xml:space="preserve">, </w:t>
      </w:r>
      <w:r>
        <w:t xml:space="preserve">and </w:t>
      </w:r>
      <w:r w:rsidRPr="00FB47EC">
        <w:t>the probability of</w:t>
      </w:r>
      <w:r>
        <w:t xml:space="preserve"> any student in this group having a measured </w:t>
      </w:r>
      <w:r w:rsidRPr="00FB47EC">
        <w:t>height of at least 1</w:t>
      </w:r>
      <w:r>
        <w:t>3</w:t>
      </w:r>
      <w:r w:rsidRPr="00FB47EC">
        <w:t>0 cm</w:t>
      </w:r>
      <w:r>
        <w:t xml:space="preserve"> is</w:t>
      </w:r>
      <w:r w:rsidRPr="00FB47EC">
        <w:t xml:space="preserve"> approximately 0.25</w:t>
      </w:r>
      <w:r>
        <w:t>, independent of the measured height of any other student in the group.</w:t>
      </w:r>
    </w:p>
    <w:p w14:paraId="3902D9F2" w14:textId="1696983A" w:rsidR="00923AE4" w:rsidRPr="00FB47EC" w:rsidRDefault="00941D2E" w:rsidP="00941D2E">
      <w:pPr>
        <w:pStyle w:val="VCAAbody"/>
        <w:ind w:left="426" w:hanging="426"/>
      </w:pPr>
      <w:r>
        <w:rPr>
          <w:bCs/>
        </w:rPr>
        <w:lastRenderedPageBreak/>
        <w:t>a.</w:t>
      </w:r>
      <w:r>
        <w:rPr>
          <w:bCs/>
        </w:rPr>
        <w:tab/>
      </w:r>
      <w:r w:rsidR="00923AE4" w:rsidRPr="00FB47EC">
        <w:rPr>
          <w:bCs/>
        </w:rPr>
        <w:t>Identify the probability distribution</w:t>
      </w:r>
      <w:r w:rsidR="00923AE4">
        <w:rPr>
          <w:bCs/>
        </w:rPr>
        <w:t xml:space="preserve">, </w:t>
      </w:r>
      <w:r w:rsidR="00923AE4">
        <w:t xml:space="preserve">find the mean and standard deviation of </w:t>
      </w:r>
      <w:r w:rsidR="00923AE4" w:rsidRPr="007418B7">
        <w:rPr>
          <w:i/>
          <w:iCs/>
        </w:rPr>
        <w:t>H</w:t>
      </w:r>
      <w:r w:rsidR="00923AE4">
        <w:t xml:space="preserve"> and </w:t>
      </w:r>
      <w:r w:rsidR="00923AE4">
        <w:rPr>
          <w:bCs/>
        </w:rPr>
        <w:t>evaluate</w:t>
      </w:r>
      <w:r w:rsidR="00923AE4" w:rsidRPr="00FB47EC">
        <w:rPr>
          <w:bCs/>
        </w:rPr>
        <w:t xml:space="preserve"> </w:t>
      </w:r>
      <m:oMath>
        <m:func>
          <m:funcPr>
            <m:ctrlPr>
              <w:rPr>
                <w:rFonts w:ascii="Cambria Math"/>
                <w:i/>
              </w:rPr>
            </m:ctrlPr>
          </m:funcPr>
          <m:fName>
            <m:r>
              <w:rPr>
                <w:rFonts w:ascii="Cambria Math"/>
              </w:rPr>
              <m:t>Pr</m:t>
            </m:r>
          </m:fName>
          <m:e>
            <m:d>
              <m:dPr>
                <m:ctrlPr>
                  <w:rPr>
                    <w:rFonts w:ascii="Cambria Math"/>
                    <w:i/>
                  </w:rPr>
                </m:ctrlPr>
              </m:dPr>
              <m:e>
                <m:r>
                  <w:rPr>
                    <w:rFonts w:ascii="Cambria Math"/>
                  </w:rPr>
                  <m:t>H=</m:t>
                </m:r>
                <m:r>
                  <w:rPr>
                    <w:rFonts w:ascii="Cambria Math" w:hAnsi="Cambria Math" w:cs="Cambria Math"/>
                  </w:rPr>
                  <m:t>h</m:t>
                </m:r>
              </m:e>
            </m:d>
            <m:ctrlPr>
              <w:rPr>
                <w:rFonts w:ascii="Cambria Math" w:hAnsi="Cambria Math"/>
                <w:i/>
              </w:rPr>
            </m:ctrlPr>
          </m:e>
        </m:func>
      </m:oMath>
      <w:r w:rsidR="00923AE4">
        <w:t xml:space="preserve"> and</w:t>
      </w:r>
      <w:r w:rsidR="00923AE4" w:rsidRPr="00FB47EC">
        <w:t xml:space="preserve"> </w:t>
      </w:r>
      <m:oMath>
        <m:func>
          <m:funcPr>
            <m:ctrlPr>
              <w:rPr>
                <w:rFonts w:ascii="Cambria Math"/>
                <w:i/>
              </w:rPr>
            </m:ctrlPr>
          </m:funcPr>
          <m:fName>
            <m:r>
              <w:rPr>
                <w:rFonts w:ascii="Cambria Math"/>
              </w:rPr>
              <m:t>Pr</m:t>
            </m:r>
          </m:fName>
          <m:e>
            <m:d>
              <m:dPr>
                <m:ctrlPr>
                  <w:rPr>
                    <w:rFonts w:ascii="Cambria Math"/>
                    <w:i/>
                  </w:rPr>
                </m:ctrlPr>
              </m:dPr>
              <m:e>
                <m:r>
                  <w:rPr>
                    <w:rFonts w:ascii="Cambria Math"/>
                  </w:rPr>
                  <m:t>H&lt;</m:t>
                </m:r>
                <m:r>
                  <w:rPr>
                    <w:rFonts w:ascii="Cambria Math" w:hAnsi="Cambria Math" w:cs="Cambria Math"/>
                  </w:rPr>
                  <m:t>h</m:t>
                </m:r>
              </m:e>
            </m:d>
            <m:r>
              <w:rPr>
                <w:rFonts w:ascii="Cambria Math"/>
              </w:rPr>
              <m:t xml:space="preserve"> </m:t>
            </m:r>
            <m:ctrlPr>
              <w:rPr>
                <w:rFonts w:ascii="Cambria Math" w:hAnsi="Cambria Math"/>
                <w:i/>
              </w:rPr>
            </m:ctrlPr>
          </m:e>
        </m:func>
      </m:oMath>
      <w:r w:rsidR="00923AE4">
        <w:t xml:space="preserve">for several different values of </w:t>
      </w:r>
      <m:oMath>
        <m:r>
          <w:rPr>
            <w:rFonts w:ascii="Cambria Math" w:hAnsi="Cambria Math"/>
          </w:rPr>
          <m:t>h</m:t>
        </m:r>
      </m:oMath>
      <w:r w:rsidR="00923AE4">
        <w:t xml:space="preserve">. </w:t>
      </w:r>
    </w:p>
    <w:p w14:paraId="3D6FF719" w14:textId="3EE0BA4C" w:rsidR="00923AE4" w:rsidRPr="00FB47EC" w:rsidRDefault="00941D2E" w:rsidP="00941D2E">
      <w:pPr>
        <w:pStyle w:val="VCAAbody"/>
        <w:ind w:left="426" w:hanging="426"/>
      </w:pPr>
      <w:r>
        <w:t>b.</w:t>
      </w:r>
      <w:r>
        <w:tab/>
      </w:r>
      <w:r w:rsidR="00923AE4" w:rsidRPr="00FB47EC">
        <w:t>Graph th</w:t>
      </w:r>
      <w:r w:rsidR="00923AE4">
        <w:t>e</w:t>
      </w:r>
      <w:r w:rsidR="00923AE4" w:rsidRPr="00FB47EC">
        <w:t xml:space="preserve"> probability </w:t>
      </w:r>
      <w:r w:rsidR="00923AE4">
        <w:t xml:space="preserve">function for the distribution of </w:t>
      </w:r>
      <w:r w:rsidR="00923AE4" w:rsidRPr="007418B7">
        <w:rPr>
          <w:i/>
          <w:iCs/>
        </w:rPr>
        <w:t>H</w:t>
      </w:r>
      <w:r w:rsidR="00923AE4">
        <w:rPr>
          <w:i/>
          <w:iCs/>
        </w:rPr>
        <w:t xml:space="preserve"> </w:t>
      </w:r>
      <w:r w:rsidR="00923AE4" w:rsidRPr="00FB47EC">
        <w:t xml:space="preserve">and comment on its </w:t>
      </w:r>
      <w:r w:rsidR="00923AE4">
        <w:t>key features</w:t>
      </w:r>
      <w:r w:rsidR="00923AE4" w:rsidRPr="00FB47EC">
        <w:t>.</w:t>
      </w:r>
    </w:p>
    <w:p w14:paraId="0B67604A" w14:textId="7D8E92D6" w:rsidR="00923AE4" w:rsidRPr="00FB47EC" w:rsidRDefault="00941D2E" w:rsidP="00941D2E">
      <w:pPr>
        <w:pStyle w:val="VCAAbody"/>
        <w:ind w:left="426" w:hanging="426"/>
      </w:pPr>
      <w:r>
        <w:t>c.</w:t>
      </w:r>
      <w:r>
        <w:tab/>
      </w:r>
      <w:r w:rsidR="00923AE4">
        <w:t>Repeat a. and b. with several</w:t>
      </w:r>
      <w:r w:rsidR="00923AE4" w:rsidRPr="00FB47EC">
        <w:t xml:space="preserve"> different </w:t>
      </w:r>
      <w:r w:rsidR="00923AE4">
        <w:t>values for the probability and draw the corresponding graphs on the same set of axes.</w:t>
      </w:r>
    </w:p>
    <w:p w14:paraId="17E5A112" w14:textId="6D5F1F0F" w:rsidR="00923AE4" w:rsidRDefault="00941D2E" w:rsidP="00941D2E">
      <w:pPr>
        <w:pStyle w:val="VCAAbody"/>
        <w:ind w:left="426" w:hanging="426"/>
      </w:pPr>
      <w:r>
        <w:t>d.</w:t>
      </w:r>
      <w:r>
        <w:tab/>
      </w:r>
      <w:r w:rsidR="00923AE4">
        <w:t>Repeat a. and b. with several</w:t>
      </w:r>
      <w:r w:rsidR="00923AE4" w:rsidRPr="00FB47EC">
        <w:t xml:space="preserve"> different </w:t>
      </w:r>
      <w:r w:rsidR="00923AE4">
        <w:t>values for</w:t>
      </w:r>
      <w:r w:rsidR="00923AE4" w:rsidRPr="00432812">
        <w:rPr>
          <w:i/>
          <w:iCs/>
        </w:rPr>
        <w:t xml:space="preserve"> n</w:t>
      </w:r>
      <w:r w:rsidR="00923AE4">
        <w:t>, the size of the group.</w:t>
      </w:r>
    </w:p>
    <w:p w14:paraId="5F60ED21" w14:textId="77777777" w:rsidR="00923AE4" w:rsidRPr="00FB47EC" w:rsidRDefault="00923AE4" w:rsidP="00941D2E">
      <w:pPr>
        <w:pStyle w:val="VCAAbody"/>
      </w:pPr>
      <w:r>
        <w:t>One</w:t>
      </w:r>
      <w:r w:rsidRPr="00FB47EC">
        <w:t xml:space="preserve"> of th</w:t>
      </w:r>
      <w:r>
        <w:t>is group of</w:t>
      </w:r>
      <w:r w:rsidRPr="00FB47EC">
        <w:t xml:space="preserve"> 30 students, </w:t>
      </w:r>
      <w:r>
        <w:t>has</w:t>
      </w:r>
      <w:r w:rsidRPr="00FB47EC">
        <w:t xml:space="preserve"> her height measured </w:t>
      </w:r>
      <w:r>
        <w:t>several times,</w:t>
      </w:r>
      <w:r w:rsidRPr="00FB47EC">
        <w:t xml:space="preserve"> </w:t>
      </w:r>
      <w:r>
        <w:t>with</w:t>
      </w:r>
      <w:r w:rsidRPr="00FB47EC">
        <w:t xml:space="preserve"> the probability of </w:t>
      </w:r>
      <w:r>
        <w:t>measuring</w:t>
      </w:r>
      <w:r w:rsidRPr="00FB47EC">
        <w:t xml:space="preserve"> a height at any time of at least 1</w:t>
      </w:r>
      <w:r>
        <w:t>3</w:t>
      </w:r>
      <w:r w:rsidRPr="00FB47EC">
        <w:t xml:space="preserve">0 cm </w:t>
      </w:r>
      <w:r>
        <w:t>approximately</w:t>
      </w:r>
      <w:r w:rsidRPr="00FB47EC">
        <w:t xml:space="preserve"> 0.25</w:t>
      </w:r>
      <w:r>
        <w:t>, independent of any other measurement.</w:t>
      </w:r>
    </w:p>
    <w:p w14:paraId="2475F0AB" w14:textId="4833C68D" w:rsidR="00923AE4" w:rsidRPr="00FB47EC" w:rsidRDefault="00941D2E" w:rsidP="00941D2E">
      <w:pPr>
        <w:pStyle w:val="VCAAbody"/>
        <w:ind w:left="426" w:hanging="426"/>
      </w:pPr>
      <w:r>
        <w:t>a.</w:t>
      </w:r>
      <w:r>
        <w:tab/>
      </w:r>
      <w:r w:rsidR="00923AE4">
        <w:t>If the student’s height is measured five times d</w:t>
      </w:r>
      <w:r w:rsidR="00923AE4" w:rsidRPr="00FB47EC">
        <w:t xml:space="preserve">etermine the probability that </w:t>
      </w:r>
      <w:r w:rsidR="00923AE4">
        <w:t xml:space="preserve">it is </w:t>
      </w:r>
      <w:r w:rsidR="00923AE4" w:rsidRPr="00FB47EC">
        <w:t>less than 1</w:t>
      </w:r>
      <w:r w:rsidR="00923AE4">
        <w:t>3</w:t>
      </w:r>
      <w:r w:rsidR="00923AE4" w:rsidRPr="00FB47EC">
        <w:t xml:space="preserve">0 cm on the first </w:t>
      </w:r>
      <m:oMath>
        <m:r>
          <w:rPr>
            <w:rFonts w:ascii="Cambria Math" w:hAnsi="Cambria Math"/>
          </w:rPr>
          <m:t>k</m:t>
        </m:r>
      </m:oMath>
      <w:r w:rsidR="00923AE4">
        <w:rPr>
          <w:rFonts w:eastAsiaTheme="minorEastAsia"/>
        </w:rPr>
        <w:t xml:space="preserve"> </w:t>
      </w:r>
      <w:r w:rsidR="00923AE4">
        <w:t>consecutive</w:t>
      </w:r>
      <w:r w:rsidR="00923AE4" w:rsidRPr="00FB47EC">
        <w:t xml:space="preserve"> measurements in a row.</w:t>
      </w:r>
    </w:p>
    <w:p w14:paraId="5B9E9641" w14:textId="5551C682" w:rsidR="00923AE4" w:rsidRPr="00FB47EC" w:rsidRDefault="00941D2E" w:rsidP="00941D2E">
      <w:pPr>
        <w:pStyle w:val="VCAAbody"/>
        <w:ind w:left="426" w:hanging="426"/>
      </w:pPr>
      <w:r>
        <w:t>b.</w:t>
      </w:r>
      <w:r>
        <w:tab/>
      </w:r>
      <w:r w:rsidR="00923AE4" w:rsidRPr="00FB47EC">
        <w:t xml:space="preserve">Determine the probability that </w:t>
      </w:r>
      <w:r w:rsidR="00923AE4">
        <w:t>the student’s height is</w:t>
      </w:r>
      <w:r w:rsidR="00923AE4" w:rsidRPr="00FB47EC">
        <w:t xml:space="preserve"> measure</w:t>
      </w:r>
      <w:r w:rsidR="00923AE4">
        <w:t>d</w:t>
      </w:r>
      <w:r w:rsidR="00923AE4" w:rsidRPr="00FB47EC">
        <w:t xml:space="preserve"> less than 1</w:t>
      </w:r>
      <w:r w:rsidR="00923AE4">
        <w:t>3</w:t>
      </w:r>
      <w:r w:rsidR="00923AE4" w:rsidRPr="00FB47EC">
        <w:t xml:space="preserve">0 cm </w:t>
      </w:r>
      <w:r w:rsidR="00923AE4">
        <w:t xml:space="preserve">for exactly/ at least </w:t>
      </w:r>
      <w:r w:rsidR="00923AE4" w:rsidRPr="00FB47EC">
        <w:t xml:space="preserve"> </w:t>
      </w:r>
      <m:oMath>
        <m:r>
          <w:rPr>
            <w:rFonts w:ascii="Cambria Math" w:hAnsi="Cambria Math"/>
          </w:rPr>
          <m:t xml:space="preserve">k </m:t>
        </m:r>
      </m:oMath>
      <w:r w:rsidR="00923AE4" w:rsidRPr="00FB47EC">
        <w:t>measurements</w:t>
      </w:r>
      <w:r w:rsidR="00923AE4">
        <w:t>.</w:t>
      </w:r>
    </w:p>
    <w:p w14:paraId="6DF7160D" w14:textId="22ABD523" w:rsidR="00923AE4" w:rsidRDefault="00941D2E" w:rsidP="00941D2E">
      <w:pPr>
        <w:pStyle w:val="VCAAbody"/>
        <w:ind w:left="426" w:hanging="426"/>
      </w:pPr>
      <w:r>
        <w:t>c.</w:t>
      </w:r>
      <w:r>
        <w:tab/>
      </w:r>
      <w:r w:rsidR="00923AE4" w:rsidRPr="001F7E4C">
        <w:t xml:space="preserve">Formulate and solve a conditional probability problem related to this context. </w:t>
      </w:r>
    </w:p>
    <w:p w14:paraId="351C59DC" w14:textId="0E671211" w:rsidR="007019B9" w:rsidRDefault="007019B9" w:rsidP="007019B9">
      <w:pPr>
        <w:pStyle w:val="VCAAHeading4"/>
      </w:pPr>
      <w:r>
        <w:t>Areas of study</w:t>
      </w:r>
    </w:p>
    <w:p w14:paraId="4F86DB9D" w14:textId="3E2FFD4E" w:rsidR="007019B9" w:rsidRDefault="007019B9" w:rsidP="00941D2E">
      <w:pPr>
        <w:pStyle w:val="VCAAbody"/>
        <w:ind w:left="426" w:hanging="426"/>
      </w:pPr>
      <w:r>
        <w:rPr>
          <w:lang w:val="en-AU"/>
        </w:rPr>
        <w:t>The following content from the areas of study is addressed through this task</w:t>
      </w:r>
      <w:r>
        <w:rPr>
          <w:lang w:val="en-AU"/>
        </w:rPr>
        <w:t>.</w:t>
      </w:r>
    </w:p>
    <w:tbl>
      <w:tblPr>
        <w:tblStyle w:val="TableGrid"/>
        <w:tblW w:w="0" w:type="auto"/>
        <w:tblInd w:w="-5" w:type="dxa"/>
        <w:tblLook w:val="04A0" w:firstRow="1" w:lastRow="0" w:firstColumn="1" w:lastColumn="0" w:noHBand="0" w:noVBand="1"/>
      </w:tblPr>
      <w:tblGrid>
        <w:gridCol w:w="2268"/>
        <w:gridCol w:w="3402"/>
      </w:tblGrid>
      <w:tr w:rsidR="007019B9" w14:paraId="6434893A" w14:textId="77777777" w:rsidTr="007019B9">
        <w:tc>
          <w:tcPr>
            <w:tcW w:w="2268" w:type="dxa"/>
            <w:shd w:val="clear" w:color="auto" w:fill="0F7EB4"/>
          </w:tcPr>
          <w:p w14:paraId="31326980" w14:textId="4ED822F7" w:rsidR="007019B9" w:rsidRPr="007019B9" w:rsidRDefault="007019B9" w:rsidP="007019B9">
            <w:pPr>
              <w:pStyle w:val="VCAAtablecondensedheading"/>
              <w:rPr>
                <w:b/>
                <w:bCs/>
              </w:rPr>
            </w:pPr>
            <w:r w:rsidRPr="007019B9">
              <w:rPr>
                <w:b/>
                <w:bCs/>
                <w:lang w:val="en-AU"/>
              </w:rPr>
              <w:t>Area of study</w:t>
            </w:r>
          </w:p>
        </w:tc>
        <w:tc>
          <w:tcPr>
            <w:tcW w:w="3402" w:type="dxa"/>
            <w:shd w:val="clear" w:color="auto" w:fill="0F7EB4"/>
          </w:tcPr>
          <w:p w14:paraId="76062133" w14:textId="54C2474E" w:rsidR="007019B9" w:rsidRPr="007019B9" w:rsidRDefault="007019B9" w:rsidP="007019B9">
            <w:pPr>
              <w:pStyle w:val="VCAAtablecondensedheading"/>
              <w:rPr>
                <w:b/>
                <w:bCs/>
              </w:rPr>
            </w:pPr>
            <w:r w:rsidRPr="007019B9">
              <w:rPr>
                <w:b/>
                <w:bCs/>
                <w:lang w:val="en-AU"/>
              </w:rPr>
              <w:t>Content dot point</w:t>
            </w:r>
          </w:p>
        </w:tc>
      </w:tr>
      <w:tr w:rsidR="007019B9" w14:paraId="443509F3" w14:textId="77777777" w:rsidTr="007019B9">
        <w:tc>
          <w:tcPr>
            <w:tcW w:w="2268" w:type="dxa"/>
          </w:tcPr>
          <w:p w14:paraId="4E815EE5" w14:textId="6875A4DE" w:rsidR="007019B9" w:rsidRDefault="007019B9" w:rsidP="007019B9">
            <w:pPr>
              <w:pStyle w:val="VCAAtablecondensed"/>
            </w:pPr>
            <w:r>
              <w:rPr>
                <w:lang w:val="en-AU"/>
              </w:rPr>
              <w:t>Functions and graphs</w:t>
            </w:r>
          </w:p>
        </w:tc>
        <w:tc>
          <w:tcPr>
            <w:tcW w:w="3402" w:type="dxa"/>
          </w:tcPr>
          <w:p w14:paraId="54225573" w14:textId="0442B8EF" w:rsidR="007019B9" w:rsidRDefault="007019B9" w:rsidP="007019B9">
            <w:pPr>
              <w:pStyle w:val="VCAAtablecondensed"/>
            </w:pPr>
            <w:r>
              <w:rPr>
                <w:lang w:val="en-AU"/>
              </w:rPr>
              <w:t>4, 5, 6</w:t>
            </w:r>
          </w:p>
        </w:tc>
      </w:tr>
      <w:tr w:rsidR="007019B9" w14:paraId="0B045101" w14:textId="77777777" w:rsidTr="007019B9">
        <w:tc>
          <w:tcPr>
            <w:tcW w:w="2268" w:type="dxa"/>
          </w:tcPr>
          <w:p w14:paraId="41CB7BB4" w14:textId="46A52456" w:rsidR="007019B9" w:rsidRDefault="007019B9" w:rsidP="007019B9">
            <w:pPr>
              <w:pStyle w:val="VCAAtablecondensed"/>
            </w:pPr>
            <w:r>
              <w:rPr>
                <w:lang w:val="en-AU"/>
              </w:rPr>
              <w:t>Algebra</w:t>
            </w:r>
          </w:p>
        </w:tc>
        <w:tc>
          <w:tcPr>
            <w:tcW w:w="3402" w:type="dxa"/>
          </w:tcPr>
          <w:p w14:paraId="36558CB8" w14:textId="486FE16A" w:rsidR="007019B9" w:rsidRDefault="007019B9" w:rsidP="007019B9">
            <w:pPr>
              <w:pStyle w:val="VCAAtablecondensed"/>
            </w:pPr>
            <w:r>
              <w:rPr>
                <w:lang w:val="en-AU"/>
              </w:rPr>
              <w:t>4</w:t>
            </w:r>
          </w:p>
        </w:tc>
      </w:tr>
      <w:tr w:rsidR="007019B9" w14:paraId="705F2586" w14:textId="77777777" w:rsidTr="007019B9">
        <w:tc>
          <w:tcPr>
            <w:tcW w:w="2268" w:type="dxa"/>
          </w:tcPr>
          <w:p w14:paraId="3FA444E4" w14:textId="72AF0391" w:rsidR="007019B9" w:rsidRDefault="007019B9" w:rsidP="007019B9">
            <w:pPr>
              <w:pStyle w:val="VCAAtablecondensed"/>
            </w:pPr>
            <w:r>
              <w:rPr>
                <w:lang w:val="en-AU"/>
              </w:rPr>
              <w:t>Calculus</w:t>
            </w:r>
          </w:p>
        </w:tc>
        <w:tc>
          <w:tcPr>
            <w:tcW w:w="3402" w:type="dxa"/>
          </w:tcPr>
          <w:p w14:paraId="1BF3BB24" w14:textId="3F28C6CA" w:rsidR="007019B9" w:rsidRDefault="007019B9" w:rsidP="007019B9">
            <w:pPr>
              <w:pStyle w:val="VCAAtablecondensed"/>
            </w:pPr>
            <w:r>
              <w:rPr>
                <w:lang w:val="en-AU"/>
              </w:rPr>
              <w:t>3, 4, 9, 10</w:t>
            </w:r>
          </w:p>
        </w:tc>
      </w:tr>
      <w:tr w:rsidR="007019B9" w14:paraId="4F3C6239" w14:textId="77777777" w:rsidTr="007019B9">
        <w:tc>
          <w:tcPr>
            <w:tcW w:w="2268" w:type="dxa"/>
          </w:tcPr>
          <w:p w14:paraId="0D2F7088" w14:textId="2562F6D9" w:rsidR="007019B9" w:rsidRDefault="007019B9" w:rsidP="007019B9">
            <w:pPr>
              <w:pStyle w:val="VCAAtablecondensed"/>
            </w:pPr>
            <w:r>
              <w:rPr>
                <w:lang w:val="en-AU"/>
              </w:rPr>
              <w:t>Probability and statistics</w:t>
            </w:r>
          </w:p>
        </w:tc>
        <w:tc>
          <w:tcPr>
            <w:tcW w:w="3402" w:type="dxa"/>
          </w:tcPr>
          <w:p w14:paraId="6FFCC5C7" w14:textId="60A4B494" w:rsidR="007019B9" w:rsidRDefault="007019B9" w:rsidP="007019B9">
            <w:pPr>
              <w:pStyle w:val="VCAAtablecondensed"/>
            </w:pPr>
            <w:r>
              <w:rPr>
                <w:lang w:val="en-AU"/>
              </w:rPr>
              <w:t>2, 3, 4</w:t>
            </w:r>
          </w:p>
        </w:tc>
      </w:tr>
    </w:tbl>
    <w:p w14:paraId="4677D08B" w14:textId="436BC41E" w:rsidR="007019B9" w:rsidRDefault="007019B9" w:rsidP="007019B9">
      <w:pPr>
        <w:pStyle w:val="VCAAHeading4"/>
      </w:pPr>
      <w:r>
        <w:t>Outcomes</w:t>
      </w:r>
    </w:p>
    <w:p w14:paraId="1ACB2437" w14:textId="7132A778" w:rsidR="007019B9" w:rsidRDefault="007019B9" w:rsidP="00941D2E">
      <w:pPr>
        <w:pStyle w:val="VCAAbody"/>
        <w:ind w:left="426" w:hanging="426"/>
      </w:pPr>
      <w:r>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263"/>
        <w:gridCol w:w="3402"/>
        <w:gridCol w:w="3402"/>
      </w:tblGrid>
      <w:tr w:rsidR="007019B9" w14:paraId="305EA256" w14:textId="77777777" w:rsidTr="007019B9">
        <w:tc>
          <w:tcPr>
            <w:tcW w:w="2263" w:type="dxa"/>
            <w:shd w:val="clear" w:color="auto" w:fill="0F7EB4"/>
            <w:vAlign w:val="center"/>
          </w:tcPr>
          <w:p w14:paraId="48D6A993" w14:textId="0F9315C8" w:rsidR="007019B9" w:rsidRPr="007019B9" w:rsidRDefault="007019B9" w:rsidP="007019B9">
            <w:pPr>
              <w:pStyle w:val="VCAAtablecondensedheading"/>
              <w:rPr>
                <w:b/>
                <w:bCs/>
              </w:rPr>
            </w:pPr>
            <w:r w:rsidRPr="007019B9">
              <w:rPr>
                <w:b/>
                <w:bCs/>
                <w:lang w:val="en-AU"/>
              </w:rPr>
              <w:t>Outcome</w:t>
            </w:r>
          </w:p>
        </w:tc>
        <w:tc>
          <w:tcPr>
            <w:tcW w:w="3402" w:type="dxa"/>
            <w:shd w:val="clear" w:color="auto" w:fill="0F7EB4"/>
            <w:vAlign w:val="center"/>
          </w:tcPr>
          <w:p w14:paraId="6E344C9C" w14:textId="18B763B0" w:rsidR="007019B9" w:rsidRPr="007019B9" w:rsidRDefault="007019B9" w:rsidP="007019B9">
            <w:pPr>
              <w:pStyle w:val="VCAAtablecondensedheading"/>
              <w:rPr>
                <w:b/>
                <w:bCs/>
              </w:rPr>
            </w:pPr>
            <w:r w:rsidRPr="007019B9">
              <w:rPr>
                <w:b/>
                <w:bCs/>
                <w:lang w:val="en-AU"/>
              </w:rPr>
              <w:t>Key knowledge dot point</w:t>
            </w:r>
          </w:p>
        </w:tc>
        <w:tc>
          <w:tcPr>
            <w:tcW w:w="3402" w:type="dxa"/>
            <w:shd w:val="clear" w:color="auto" w:fill="0F7EB4"/>
            <w:vAlign w:val="center"/>
          </w:tcPr>
          <w:p w14:paraId="676BDF33" w14:textId="4E781C19" w:rsidR="007019B9" w:rsidRPr="007019B9" w:rsidRDefault="007019B9" w:rsidP="007019B9">
            <w:pPr>
              <w:pStyle w:val="VCAAtablecondensedheading"/>
              <w:rPr>
                <w:b/>
                <w:bCs/>
              </w:rPr>
            </w:pPr>
            <w:r w:rsidRPr="007019B9">
              <w:rPr>
                <w:b/>
                <w:bCs/>
                <w:lang w:val="en-AU"/>
              </w:rPr>
              <w:t>Key skill dot point</w:t>
            </w:r>
          </w:p>
        </w:tc>
      </w:tr>
      <w:tr w:rsidR="007019B9" w14:paraId="32BAE8CD" w14:textId="77777777" w:rsidTr="007625D9">
        <w:tc>
          <w:tcPr>
            <w:tcW w:w="2263" w:type="dxa"/>
            <w:vAlign w:val="center"/>
          </w:tcPr>
          <w:p w14:paraId="39868BEB" w14:textId="37B1068A" w:rsidR="007019B9" w:rsidRDefault="007019B9" w:rsidP="007019B9">
            <w:pPr>
              <w:pStyle w:val="VCAAtablecondensed"/>
            </w:pPr>
            <w:r>
              <w:rPr>
                <w:b/>
                <w:lang w:val="en-AU"/>
              </w:rPr>
              <w:t>1</w:t>
            </w:r>
          </w:p>
        </w:tc>
        <w:tc>
          <w:tcPr>
            <w:tcW w:w="3402" w:type="dxa"/>
            <w:vAlign w:val="center"/>
          </w:tcPr>
          <w:p w14:paraId="79B28591" w14:textId="1D54AE2F" w:rsidR="007019B9" w:rsidRDefault="007019B9" w:rsidP="007019B9">
            <w:pPr>
              <w:pStyle w:val="VCAAtablecondensed"/>
            </w:pPr>
            <w:r>
              <w:rPr>
                <w:lang w:val="en-AU"/>
              </w:rPr>
              <w:t>1, 2, 4, 7, 12, 14, 16, 17</w:t>
            </w:r>
          </w:p>
        </w:tc>
        <w:tc>
          <w:tcPr>
            <w:tcW w:w="3402" w:type="dxa"/>
            <w:vAlign w:val="center"/>
          </w:tcPr>
          <w:p w14:paraId="50BB0BA7" w14:textId="54AAF094" w:rsidR="007019B9" w:rsidRDefault="007019B9" w:rsidP="007019B9">
            <w:pPr>
              <w:pStyle w:val="VCAAtablecondensed"/>
            </w:pPr>
            <w:r>
              <w:rPr>
                <w:lang w:val="en-AU"/>
              </w:rPr>
              <w:t>1, 2, 9, 12, 15, 16, 18, 20</w:t>
            </w:r>
          </w:p>
        </w:tc>
      </w:tr>
      <w:tr w:rsidR="007019B9" w14:paraId="51FA6796" w14:textId="77777777" w:rsidTr="00AE6B18">
        <w:tc>
          <w:tcPr>
            <w:tcW w:w="2263" w:type="dxa"/>
            <w:vAlign w:val="center"/>
          </w:tcPr>
          <w:p w14:paraId="4781BFDD" w14:textId="3DFA026B" w:rsidR="007019B9" w:rsidRDefault="007019B9" w:rsidP="007019B9">
            <w:pPr>
              <w:pStyle w:val="VCAAtablecondensed"/>
            </w:pPr>
            <w:r>
              <w:rPr>
                <w:b/>
                <w:lang w:val="en-AU"/>
              </w:rPr>
              <w:t>2</w:t>
            </w:r>
          </w:p>
        </w:tc>
        <w:tc>
          <w:tcPr>
            <w:tcW w:w="3402" w:type="dxa"/>
            <w:vAlign w:val="center"/>
          </w:tcPr>
          <w:p w14:paraId="57AA4E63" w14:textId="3B3B9CDC" w:rsidR="007019B9" w:rsidRDefault="007019B9" w:rsidP="007019B9">
            <w:pPr>
              <w:pStyle w:val="VCAAtablecondensed"/>
            </w:pPr>
            <w:r>
              <w:rPr>
                <w:lang w:val="en-AU"/>
              </w:rPr>
              <w:t>1, 2, 3, 5</w:t>
            </w:r>
          </w:p>
        </w:tc>
        <w:tc>
          <w:tcPr>
            <w:tcW w:w="3402" w:type="dxa"/>
            <w:vAlign w:val="center"/>
          </w:tcPr>
          <w:p w14:paraId="3B8E0248" w14:textId="78FD8387" w:rsidR="007019B9" w:rsidRDefault="007019B9" w:rsidP="007019B9">
            <w:pPr>
              <w:pStyle w:val="VCAAtablecondensed"/>
            </w:pPr>
            <w:r>
              <w:rPr>
                <w:lang w:val="en-AU"/>
              </w:rPr>
              <w:t>1, 3, 6, 7</w:t>
            </w:r>
          </w:p>
        </w:tc>
      </w:tr>
      <w:tr w:rsidR="007019B9" w14:paraId="4158541D" w14:textId="77777777" w:rsidTr="00647D5C">
        <w:tc>
          <w:tcPr>
            <w:tcW w:w="2263" w:type="dxa"/>
            <w:vAlign w:val="center"/>
          </w:tcPr>
          <w:p w14:paraId="0E64C0C2" w14:textId="0E9583F6" w:rsidR="007019B9" w:rsidRDefault="007019B9" w:rsidP="007019B9">
            <w:pPr>
              <w:pStyle w:val="VCAAtablecondensed"/>
            </w:pPr>
            <w:r>
              <w:rPr>
                <w:b/>
                <w:lang w:val="en-AU"/>
              </w:rPr>
              <w:t>3</w:t>
            </w:r>
          </w:p>
        </w:tc>
        <w:tc>
          <w:tcPr>
            <w:tcW w:w="3402" w:type="dxa"/>
            <w:vAlign w:val="center"/>
          </w:tcPr>
          <w:p w14:paraId="4A438F18" w14:textId="18F43555" w:rsidR="007019B9" w:rsidRDefault="007019B9" w:rsidP="007019B9">
            <w:pPr>
              <w:pStyle w:val="VCAAtablecondensed"/>
            </w:pPr>
            <w:r>
              <w:rPr>
                <w:lang w:val="en-AU"/>
              </w:rPr>
              <w:t>2, 3, 4, 5, 8</w:t>
            </w:r>
          </w:p>
        </w:tc>
        <w:tc>
          <w:tcPr>
            <w:tcW w:w="3402" w:type="dxa"/>
            <w:vAlign w:val="center"/>
          </w:tcPr>
          <w:p w14:paraId="1CD5638A" w14:textId="6BAEC3DC" w:rsidR="007019B9" w:rsidRDefault="007019B9" w:rsidP="007019B9">
            <w:pPr>
              <w:pStyle w:val="VCAAtablecondensed"/>
            </w:pPr>
            <w:r>
              <w:rPr>
                <w:lang w:val="en-AU"/>
              </w:rPr>
              <w:t>2, 3, 4, 5, 6, 7, 8, 9, 11, 12, 13</w:t>
            </w:r>
          </w:p>
        </w:tc>
      </w:tr>
    </w:tbl>
    <w:p w14:paraId="2B976676" w14:textId="4DB7298F" w:rsidR="002647BB" w:rsidRPr="003A00B4" w:rsidRDefault="002647BB" w:rsidP="007019B9">
      <w:pPr>
        <w:pStyle w:val="VCAAbody"/>
        <w:rPr>
          <w:noProof/>
        </w:rPr>
      </w:pPr>
    </w:p>
    <w:sectPr w:rsidR="002647BB" w:rsidRPr="003A00B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2B25C9D" w:rsidR="00FD29D3" w:rsidRPr="00D86DE4" w:rsidRDefault="008E64A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23AE4">
          <w:rPr>
            <w:color w:val="999999" w:themeColor="accent2"/>
          </w:rPr>
          <w:t>Mathematical Methods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9CF"/>
    <w:multiLevelType w:val="hybridMultilevel"/>
    <w:tmpl w:val="CA326E4C"/>
    <w:lvl w:ilvl="0" w:tplc="C6B81F4A">
      <w:start w:val="1"/>
      <w:numFmt w:val="lowerLetter"/>
      <w:lvlText w:val="%1."/>
      <w:lvlJc w:val="left"/>
      <w:pPr>
        <w:ind w:left="720" w:hanging="360"/>
      </w:pPr>
      <w:rPr>
        <w:rFonts w:hint="default"/>
        <w:b w:val="0"/>
        <w:bC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E13715"/>
    <w:multiLevelType w:val="hybridMultilevel"/>
    <w:tmpl w:val="DF1849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56B47"/>
    <w:multiLevelType w:val="hybridMultilevel"/>
    <w:tmpl w:val="CA326E4C"/>
    <w:lvl w:ilvl="0" w:tplc="C6B81F4A">
      <w:start w:val="1"/>
      <w:numFmt w:val="lowerLetter"/>
      <w:lvlText w:val="%1."/>
      <w:lvlJc w:val="left"/>
      <w:pPr>
        <w:ind w:left="720" w:hanging="360"/>
      </w:pPr>
      <w:rPr>
        <w:rFonts w:hint="default"/>
        <w:b w:val="0"/>
        <w:bC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84D68C7"/>
    <w:multiLevelType w:val="hybridMultilevel"/>
    <w:tmpl w:val="FCDAE1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DB54D2D"/>
    <w:multiLevelType w:val="hybridMultilevel"/>
    <w:tmpl w:val="1D64D400"/>
    <w:lvl w:ilvl="0" w:tplc="A0D80990">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5787912">
    <w:abstractNumId w:val="8"/>
  </w:num>
  <w:num w:numId="2" w16cid:durableId="1255355883">
    <w:abstractNumId w:val="6"/>
  </w:num>
  <w:num w:numId="3" w16cid:durableId="92480208">
    <w:abstractNumId w:val="4"/>
  </w:num>
  <w:num w:numId="4" w16cid:durableId="2129663079">
    <w:abstractNumId w:val="2"/>
  </w:num>
  <w:num w:numId="5" w16cid:durableId="1075863208">
    <w:abstractNumId w:val="7"/>
  </w:num>
  <w:num w:numId="6" w16cid:durableId="2022126102">
    <w:abstractNumId w:val="1"/>
  </w:num>
  <w:num w:numId="7" w16cid:durableId="855576643">
    <w:abstractNumId w:val="9"/>
  </w:num>
  <w:num w:numId="8" w16cid:durableId="38171323">
    <w:abstractNumId w:val="3"/>
  </w:num>
  <w:num w:numId="9" w16cid:durableId="1200556911">
    <w:abstractNumId w:val="5"/>
  </w:num>
  <w:num w:numId="10" w16cid:durableId="146292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19B9"/>
    <w:rsid w:val="00702636"/>
    <w:rsid w:val="00724507"/>
    <w:rsid w:val="00773E6C"/>
    <w:rsid w:val="00781FB1"/>
    <w:rsid w:val="007D1B6D"/>
    <w:rsid w:val="00813C37"/>
    <w:rsid w:val="008154B5"/>
    <w:rsid w:val="00823962"/>
    <w:rsid w:val="00850410"/>
    <w:rsid w:val="00852719"/>
    <w:rsid w:val="00860115"/>
    <w:rsid w:val="0088783C"/>
    <w:rsid w:val="008E64AF"/>
    <w:rsid w:val="00923AE4"/>
    <w:rsid w:val="009370BC"/>
    <w:rsid w:val="00941D2E"/>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35A6"/>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qFormat/>
    <w:rsid w:val="00923AE4"/>
    <w:pPr>
      <w:spacing w:before="180" w:after="180" w:line="240" w:lineRule="auto"/>
    </w:pPr>
    <w:rPr>
      <w:sz w:val="24"/>
      <w:szCs w:val="24"/>
    </w:rPr>
  </w:style>
  <w:style w:type="character" w:customStyle="1" w:styleId="BodyTextChar">
    <w:name w:val="Body Text Char"/>
    <w:basedOn w:val="DefaultParagraphFont"/>
    <w:link w:val="BodyText"/>
    <w:rsid w:val="00923AE4"/>
    <w:rPr>
      <w:sz w:val="24"/>
      <w:szCs w:val="24"/>
    </w:rPr>
  </w:style>
  <w:style w:type="paragraph" w:styleId="ListParagraph">
    <w:name w:val="List Paragraph"/>
    <w:basedOn w:val="Normal"/>
    <w:uiPriority w:val="34"/>
    <w:qFormat/>
    <w:rsid w:val="00923AE4"/>
    <w:pPr>
      <w:spacing w:after="160" w:line="259" w:lineRule="auto"/>
      <w:ind w:left="720"/>
      <w:contextualSpacing/>
    </w:pPr>
    <w:rPr>
      <w:lang w:val="en-AU"/>
    </w:rPr>
  </w:style>
  <w:style w:type="paragraph" w:styleId="NoSpacing">
    <w:name w:val="No Spacing"/>
    <w:uiPriority w:val="99"/>
    <w:qFormat/>
    <w:rsid w:val="00923AE4"/>
    <w:pPr>
      <w:spacing w:after="0" w:line="240" w:lineRule="auto"/>
    </w:pPr>
    <w:rPr>
      <w:rFonts w:ascii="Times New Roman" w:eastAsia="Calibri"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scistatistics.com/descriptive/histogra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ll.life/height-percentile-calculator-age-count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worldindata.org/human-heigh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92A18"/>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1C67-8CE7-4D32-8614-8E4ADF5ADCE5}"/>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Mathematical Methods Units 3 and 4</vt:lpstr>
    </vt:vector>
  </TitlesOfParts>
  <Company>Victorian Curriculum and Assessment Authority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Units 3 and 4</dc:title>
  <dc:subject>Mathematical Methods</dc:subject>
  <dc:creator>vcaa@education.vic.gov.au</dc:creator>
  <cp:keywords>mathematical methods, VCE, modelling, problem-solving, task,</cp:keywords>
  <cp:lastModifiedBy>Julie Coleman</cp:lastModifiedBy>
  <cp:revision>2</cp:revision>
  <cp:lastPrinted>2015-05-15T02:36:00Z</cp:lastPrinted>
  <dcterms:created xsi:type="dcterms:W3CDTF">2023-06-20T01:16:00Z</dcterms:created>
  <dcterms:modified xsi:type="dcterms:W3CDTF">2023-06-20T01:16:00Z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