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FEBE57B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C519C2">
        <w:t>3</w:t>
      </w:r>
    </w:p>
    <w:p w14:paraId="74E62D52" w14:textId="64065E15" w:rsidR="00243F0D" w:rsidRPr="009A192D" w:rsidRDefault="0041382E" w:rsidP="00827233">
      <w:pPr>
        <w:pStyle w:val="VCAAHeading2"/>
      </w:pPr>
      <w:bookmarkStart w:id="0" w:name="TemplateOverview"/>
      <w:bookmarkEnd w:id="0"/>
      <w:r w:rsidRPr="00852BD0">
        <w:t xml:space="preserve">Sample </w:t>
      </w:r>
      <w:r w:rsidR="00485F20">
        <w:t>application task</w:t>
      </w:r>
      <w:r w:rsidR="00A13080" w:rsidRPr="00852BD0">
        <w:t xml:space="preserve">: </w:t>
      </w:r>
      <w:r w:rsidR="00777727" w:rsidRPr="00BA3888">
        <w:t>Investigating some polynomial functions</w:t>
      </w:r>
    </w:p>
    <w:p w14:paraId="71457137" w14:textId="77777777" w:rsidR="002B4C4E" w:rsidRPr="0084646A" w:rsidRDefault="002B4C4E" w:rsidP="002B4C4E">
      <w:pPr>
        <w:pStyle w:val="VCAAbody"/>
        <w:rPr>
          <w:lang w:val="en-AU"/>
        </w:rPr>
      </w:pPr>
      <w:r w:rsidRPr="0084646A">
        <w:rPr>
          <w:lang w:val="en-AU"/>
        </w:rPr>
        <w:t>The application task is to be of 4–6 hours</w:t>
      </w:r>
      <w:r>
        <w:rPr>
          <w:lang w:val="en-AU"/>
        </w:rPr>
        <w:t>’</w:t>
      </w:r>
      <w:r w:rsidRPr="0084646A">
        <w:rPr>
          <w:lang w:val="en-AU"/>
        </w:rPr>
        <w:t xml:space="preserve"> duration over a period of 1–2 weeks.</w:t>
      </w:r>
    </w:p>
    <w:p w14:paraId="10153BC0" w14:textId="77777777" w:rsidR="002B4C4E" w:rsidRPr="0084646A" w:rsidRDefault="002B4C4E" w:rsidP="002B4C4E">
      <w:pPr>
        <w:pStyle w:val="VCAAHeading3"/>
      </w:pPr>
      <w:r w:rsidRPr="0084646A">
        <w:t>Introduction</w:t>
      </w:r>
    </w:p>
    <w:p w14:paraId="7CD637DA" w14:textId="77777777" w:rsidR="00BA55BB" w:rsidRPr="00752280" w:rsidRDefault="00BA55BB" w:rsidP="00BA55BB">
      <w:pPr>
        <w:pStyle w:val="VCAAbody"/>
        <w:rPr>
          <w:rFonts w:cs="HelveticaNeueLT-Roman"/>
        </w:rPr>
      </w:pPr>
      <w:r w:rsidRPr="00EC3FDA">
        <w:t xml:space="preserve">A context such as the following could be used to develop an application task </w:t>
      </w:r>
      <w:r>
        <w:t>that</w:t>
      </w:r>
      <w:r w:rsidRPr="00EC3FDA">
        <w:t xml:space="preserve"> investigates graphs of polynomial functions of the form</w:t>
      </w:r>
      <m:oMath>
        <m:r>
          <w:rPr>
            <w:rFonts w:ascii="Cambria Math" w:hAnsi="Cambria Math"/>
          </w:rPr>
          <m:t xml:space="preserve"> f:R→R,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=m(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x-a)</m:t>
            </m:r>
          </m:e>
          <m:sup>
            <m:r>
              <w:rPr>
                <w:rFonts w:ascii="Cambria Math" w:hAnsi="Cambria Math"/>
              </w:rPr>
              <m:t>s</m:t>
            </m:r>
          </m:sup>
        </m:sSup>
        <m:r>
          <w:rPr>
            <w:rFonts w:ascii="Cambria Math" w:hAnsi="Cambria Math"/>
          </w:rPr>
          <m:t>(x-b)</m:t>
        </m:r>
      </m:oMath>
      <w:r w:rsidRPr="00EC3FDA">
        <w:rPr>
          <w:rFonts w:eastAsia="Times New Roman" w:cs="HelveticaNeueLT-Roman"/>
        </w:rPr>
        <w:t>, the key features of these graphs, and the number of solutions to equations of the form</w:t>
      </w:r>
      <m:oMath>
        <m:r>
          <w:rPr>
            <w:rFonts w:ascii="Cambria Math" w:eastAsia="Times New Roman" w:hAnsi="Cambria Math" w:cs="HelveticaNeueLT-Roman"/>
          </w:rPr>
          <m:t xml:space="preserve"> f</m:t>
        </m:r>
        <m:d>
          <m:dPr>
            <m:ctrlPr>
              <w:rPr>
                <w:rFonts w:ascii="Cambria Math" w:eastAsia="Times New Roman" w:hAnsi="Cambria Math" w:cs="HelveticaNeueLT-Roman"/>
                <w:i/>
              </w:rPr>
            </m:ctrlPr>
          </m:dPr>
          <m:e>
            <m:r>
              <w:rPr>
                <w:rFonts w:ascii="Cambria Math" w:eastAsia="Times New Roman" w:hAnsi="Cambria Math" w:cs="HelveticaNeueLT-Roman"/>
              </w:rPr>
              <m:t>x</m:t>
            </m:r>
          </m:e>
        </m:d>
        <m:r>
          <w:rPr>
            <w:rFonts w:ascii="Cambria Math" w:eastAsia="Times New Roman" w:hAnsi="Cambria Math" w:cs="HelveticaNeueLT-Roman"/>
          </w:rPr>
          <m:t xml:space="preserve">=p,  </m:t>
        </m:r>
        <m:r>
          <m:rPr>
            <m:sty m:val="p"/>
          </m:rPr>
          <w:rPr>
            <w:rFonts w:ascii="Cambria Math" w:eastAsia="Times New Roman" w:hAnsi="Cambria Math" w:cs="HelveticaNeueLT-Roman"/>
          </w:rPr>
          <m:t>where</m:t>
        </m:r>
        <m:r>
          <w:rPr>
            <w:rFonts w:ascii="Cambria Math" w:eastAsia="Times New Roman" w:hAnsi="Cambria Math" w:cs="HelveticaNeueLT-Roman"/>
          </w:rPr>
          <m:t xml:space="preserve"> p∈R.</m:t>
        </m:r>
      </m:oMath>
    </w:p>
    <w:p w14:paraId="41299829" w14:textId="77777777" w:rsidR="00BA55BB" w:rsidRDefault="00BA55BB" w:rsidP="00BA55BB">
      <w:pPr>
        <w:pStyle w:val="VCAAHeading4"/>
      </w:pPr>
      <w:r w:rsidRPr="00BA3888">
        <w:t xml:space="preserve">Component 1 </w:t>
      </w:r>
    </w:p>
    <w:p w14:paraId="73BF415F" w14:textId="77777777" w:rsidR="00BA55BB" w:rsidRPr="00BA55BB" w:rsidRDefault="00BA55BB" w:rsidP="00BA55BB">
      <w:pPr>
        <w:pStyle w:val="VCAAbody"/>
        <w:rPr>
          <w:i/>
          <w:iCs/>
        </w:rPr>
      </w:pPr>
      <w:r w:rsidRPr="00BA55BB">
        <w:rPr>
          <w:i/>
          <w:iCs/>
        </w:rPr>
        <w:t>Introduction of the context through specific cases or examples. Students should</w:t>
      </w:r>
    </w:p>
    <w:p w14:paraId="0FB20EF6" w14:textId="11F85AD0" w:rsidR="00BA55BB" w:rsidRPr="00BA55BB" w:rsidRDefault="00BA55BB" w:rsidP="00BA55BB">
      <w:pPr>
        <w:pStyle w:val="NoSpacing"/>
        <w:numPr>
          <w:ilvl w:val="0"/>
          <w:numId w:val="11"/>
        </w:numPr>
        <w:ind w:left="426" w:hanging="426"/>
        <w:rPr>
          <w:rFonts w:eastAsia="Times New Roman"/>
          <w:sz w:val="20"/>
          <w:szCs w:val="20"/>
        </w:rPr>
      </w:pPr>
      <w:r w:rsidRPr="00BA55BB">
        <w:rPr>
          <w:sz w:val="20"/>
          <w:szCs w:val="20"/>
        </w:rPr>
        <w:t>Consider the function</w:t>
      </w:r>
      <m:oMath>
        <m:r>
          <w:rPr>
            <w:rFonts w:ascii="Cambria Math" w:hAnsi="Cambria Math"/>
            <w:sz w:val="20"/>
            <w:szCs w:val="20"/>
          </w:rPr>
          <m:t xml:space="preserve"> f:R→R,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x-2</m:t>
            </m:r>
          </m:e>
        </m:d>
      </m:oMath>
      <w:r w:rsidRPr="00BA55BB">
        <w:rPr>
          <w:rFonts w:eastAsia="Times New Roman"/>
          <w:sz w:val="20"/>
          <w:szCs w:val="20"/>
        </w:rPr>
        <w:t xml:space="preserve">. Sketch the graph of </w:t>
      </w:r>
      <m:oMath>
        <m:r>
          <w:rPr>
            <w:rFonts w:ascii="Cambria Math" w:eastAsia="Times New Roman" w:hAnsi="Cambria Math"/>
            <w:sz w:val="20"/>
            <w:szCs w:val="20"/>
          </w:rPr>
          <m:t>y=f(x)</m:t>
        </m:r>
      </m:oMath>
      <w:r w:rsidRPr="00BA55BB">
        <w:rPr>
          <w:rFonts w:eastAsia="Times New Roman"/>
          <w:sz w:val="20"/>
          <w:szCs w:val="20"/>
        </w:rPr>
        <w:t xml:space="preserve">, and clearly indicate all key features.  Find the values of </w:t>
      </w:r>
      <w:r w:rsidRPr="00BA55BB">
        <w:rPr>
          <w:rFonts w:eastAsia="Times New Roman"/>
          <w:i/>
          <w:sz w:val="20"/>
          <w:szCs w:val="20"/>
        </w:rPr>
        <w:t xml:space="preserve">x </w:t>
      </w:r>
      <w:r w:rsidRPr="00BA55BB">
        <w:rPr>
          <w:rFonts w:eastAsia="Times New Roman"/>
          <w:sz w:val="20"/>
          <w:szCs w:val="20"/>
        </w:rPr>
        <w:t xml:space="preserve">for which </w:t>
      </w:r>
      <m:oMath>
        <m:r>
          <w:rPr>
            <w:rFonts w:ascii="Cambria Math" w:eastAsia="Times New Roman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="Times New Roman" w:hAnsi="Cambria Math"/>
            <w:sz w:val="20"/>
            <w:szCs w:val="20"/>
          </w:rPr>
          <m:t>=p</m:t>
        </m:r>
      </m:oMath>
      <w:r w:rsidRPr="00BA55BB">
        <w:rPr>
          <w:rFonts w:eastAsia="Times New Roman"/>
          <w:sz w:val="20"/>
          <w:szCs w:val="20"/>
        </w:rPr>
        <w:t xml:space="preserve"> has one, two or three solutions, </w:t>
      </w:r>
      <w:r>
        <w:rPr>
          <w:rFonts w:eastAsia="Times New Roman"/>
          <w:sz w:val="20"/>
          <w:szCs w:val="20"/>
        </w:rPr>
        <w:br/>
      </w:r>
      <w:r w:rsidRPr="00BA55BB">
        <w:rPr>
          <w:rFonts w:eastAsia="Times New Roman"/>
          <w:sz w:val="20"/>
          <w:szCs w:val="20"/>
        </w:rPr>
        <w:t xml:space="preserve">where </w:t>
      </w:r>
      <w:r w:rsidRPr="001339E7">
        <w:rPr>
          <w:rFonts w:ascii="Times New Roman" w:eastAsia="Times New Roman" w:hAnsi="Times New Roman"/>
          <w:i/>
        </w:rPr>
        <w:t>p</w:t>
      </w:r>
      <w:r w:rsidRPr="00BA55BB">
        <w:rPr>
          <w:rFonts w:eastAsia="Times New Roman"/>
          <w:sz w:val="20"/>
          <w:szCs w:val="20"/>
        </w:rPr>
        <w:t xml:space="preserve"> is a real number.</w:t>
      </w:r>
    </w:p>
    <w:p w14:paraId="112D1895" w14:textId="7FC0A93D" w:rsidR="00BA55BB" w:rsidRPr="00BA55BB" w:rsidRDefault="00BA55BB" w:rsidP="00BA55BB">
      <w:pPr>
        <w:pStyle w:val="NoSpacing"/>
        <w:numPr>
          <w:ilvl w:val="0"/>
          <w:numId w:val="11"/>
        </w:numPr>
        <w:spacing w:before="120"/>
        <w:ind w:left="426" w:hanging="426"/>
        <w:rPr>
          <w:rFonts w:eastAsia="Times New Roman"/>
          <w:sz w:val="20"/>
          <w:szCs w:val="20"/>
        </w:rPr>
      </w:pPr>
      <w:r w:rsidRPr="00BA55BB">
        <w:rPr>
          <w:rFonts w:eastAsia="Times New Roman"/>
          <w:sz w:val="20"/>
          <w:szCs w:val="20"/>
        </w:rPr>
        <w:t xml:space="preserve">State the transformations required to map the graph of </w:t>
      </w:r>
      <m:oMath>
        <m:r>
          <w:rPr>
            <w:rFonts w:ascii="Cambria Math" w:eastAsia="Times New Roman" w:hAnsi="Cambria Math"/>
            <w:sz w:val="20"/>
            <w:szCs w:val="20"/>
          </w:rPr>
          <m:t>y=f(x)</m:t>
        </m:r>
      </m:oMath>
      <w:r w:rsidRPr="00BA55BB">
        <w:rPr>
          <w:rFonts w:eastAsia="Times New Roman"/>
          <w:sz w:val="20"/>
          <w:szCs w:val="20"/>
        </w:rPr>
        <w:t xml:space="preserve"> onto the graph of </w:t>
      </w:r>
      <m:oMath>
        <m:r>
          <w:rPr>
            <w:rFonts w:ascii="Cambria Math" w:eastAsia="Times New Roman" w:hAnsi="Cambria Math"/>
            <w:sz w:val="20"/>
            <w:szCs w:val="20"/>
          </w:rPr>
          <m:t>y=f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n</m:t>
                </m:r>
              </m:den>
            </m:f>
          </m:e>
        </m:d>
        <m:r>
          <w:rPr>
            <w:rFonts w:ascii="Cambria Math" w:eastAsia="Times New Roman" w:hAnsi="Cambria Math"/>
            <w:sz w:val="20"/>
            <w:szCs w:val="20"/>
          </w:rPr>
          <m:t>+k</m:t>
        </m:r>
      </m:oMath>
      <w:r w:rsidRPr="00BA55BB"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br/>
      </w:r>
      <w:r w:rsidRPr="00BA55BB">
        <w:rPr>
          <w:rFonts w:eastAsia="Times New Roman"/>
          <w:sz w:val="20"/>
          <w:szCs w:val="20"/>
        </w:rPr>
        <w:t>If there is a turning point</w:t>
      </w:r>
      <w:r w:rsidRPr="00BA55BB">
        <w:rPr>
          <w:sz w:val="20"/>
          <w:szCs w:val="20"/>
        </w:rPr>
        <w:t xml:space="preserve"> at (2, 3), find all possible values of </w:t>
      </w:r>
      <w:r w:rsidRPr="001339E7">
        <w:rPr>
          <w:rFonts w:ascii="Times New Roman" w:hAnsi="Times New Roman"/>
          <w:i/>
        </w:rPr>
        <w:t>n</w:t>
      </w:r>
      <w:r w:rsidRPr="00BA55BB">
        <w:rPr>
          <w:sz w:val="20"/>
          <w:szCs w:val="20"/>
        </w:rPr>
        <w:t xml:space="preserve"> and </w:t>
      </w:r>
      <w:r w:rsidRPr="001339E7">
        <w:rPr>
          <w:rFonts w:ascii="Times New Roman" w:hAnsi="Times New Roman"/>
          <w:i/>
        </w:rPr>
        <w:t>k</w:t>
      </w:r>
      <w:r w:rsidRPr="00BA55BB">
        <w:rPr>
          <w:sz w:val="20"/>
          <w:szCs w:val="20"/>
        </w:rPr>
        <w:t>. Sketch the corresponding graphs.</w:t>
      </w:r>
    </w:p>
    <w:p w14:paraId="5B26B689" w14:textId="0FB289EE" w:rsidR="00BA55BB" w:rsidRPr="00BA55BB" w:rsidRDefault="00BA55BB" w:rsidP="00BA55BB">
      <w:pPr>
        <w:pStyle w:val="NoSpacing"/>
        <w:numPr>
          <w:ilvl w:val="0"/>
          <w:numId w:val="11"/>
        </w:numPr>
        <w:spacing w:before="120"/>
        <w:ind w:left="426" w:hanging="426"/>
        <w:rPr>
          <w:rFonts w:eastAsia="Times New Roman"/>
          <w:sz w:val="20"/>
          <w:szCs w:val="20"/>
        </w:rPr>
      </w:pPr>
      <w:r w:rsidRPr="00BA55BB">
        <w:rPr>
          <w:rFonts w:eastAsia="Times New Roman"/>
          <w:sz w:val="20"/>
          <w:szCs w:val="20"/>
        </w:rPr>
        <w:t xml:space="preserve">State the transformations required to map the graph of </w:t>
      </w:r>
      <m:oMath>
        <m:r>
          <w:rPr>
            <w:rFonts w:ascii="Cambria Math" w:eastAsia="Times New Roman" w:hAnsi="Cambria Math"/>
            <w:sz w:val="20"/>
            <w:szCs w:val="20"/>
          </w:rPr>
          <m:t>y=f(x)</m:t>
        </m:r>
      </m:oMath>
      <w:r w:rsidRPr="00BA55BB">
        <w:rPr>
          <w:rFonts w:eastAsia="Times New Roman"/>
          <w:sz w:val="20"/>
          <w:szCs w:val="20"/>
        </w:rPr>
        <w:t xml:space="preserve"> onto the graph of </w:t>
      </w:r>
      <w:r w:rsidRPr="00BA55BB">
        <w:rPr>
          <w:rFonts w:eastAsia="Times New Roman"/>
          <w:sz w:val="20"/>
          <w:szCs w:val="20"/>
        </w:rPr>
        <w:br/>
      </w:r>
      <m:oMath>
        <m:r>
          <w:rPr>
            <w:rFonts w:ascii="Cambria Math" w:eastAsia="Times New Roman" w:hAnsi="Cambria Math"/>
            <w:sz w:val="20"/>
            <w:szCs w:val="20"/>
          </w:rPr>
          <m:t>y=Af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x-h</m:t>
            </m:r>
          </m:e>
        </m:d>
      </m:oMath>
      <w:r w:rsidRPr="00BA55BB">
        <w:rPr>
          <w:rFonts w:eastAsia="Times New Roman"/>
          <w:sz w:val="20"/>
          <w:szCs w:val="20"/>
        </w:rPr>
        <w:t>. If there is a turning point</w:t>
      </w:r>
      <w:r w:rsidRPr="00BA55BB">
        <w:rPr>
          <w:sz w:val="20"/>
          <w:szCs w:val="20"/>
        </w:rPr>
        <w:t xml:space="preserve"> at </w:t>
      </w:r>
      <w:r w:rsidRPr="001339E7">
        <w:rPr>
          <w:rFonts w:ascii="Times New Roman" w:hAnsi="Times New Roman"/>
        </w:rPr>
        <w:t>(–1, 4)</w:t>
      </w:r>
      <w:r w:rsidRPr="00BA55BB">
        <w:rPr>
          <w:sz w:val="20"/>
          <w:szCs w:val="20"/>
        </w:rPr>
        <w:t xml:space="preserve">, find all possible values of </w:t>
      </w:r>
      <w:r w:rsidRPr="001339E7">
        <w:rPr>
          <w:rFonts w:ascii="Times New Roman" w:hAnsi="Times New Roman"/>
          <w:i/>
        </w:rPr>
        <w:t>A</w:t>
      </w:r>
      <w:r w:rsidRPr="00BA55BB">
        <w:rPr>
          <w:sz w:val="20"/>
          <w:szCs w:val="20"/>
        </w:rPr>
        <w:t xml:space="preserve"> and </w:t>
      </w:r>
      <w:r w:rsidRPr="001339E7">
        <w:rPr>
          <w:rFonts w:ascii="Times New Roman" w:hAnsi="Times New Roman"/>
          <w:i/>
        </w:rPr>
        <w:t>h</w:t>
      </w:r>
      <w:r w:rsidRPr="00BA55BB">
        <w:rPr>
          <w:sz w:val="20"/>
          <w:szCs w:val="20"/>
        </w:rPr>
        <w:t>. Sketch the corresponding graphs.</w:t>
      </w:r>
    </w:p>
    <w:p w14:paraId="5E5E47F3" w14:textId="1D297489" w:rsidR="00BA55BB" w:rsidRPr="00BA55BB" w:rsidRDefault="00BA55BB" w:rsidP="00BA55BB">
      <w:pPr>
        <w:pStyle w:val="NoSpacing"/>
        <w:numPr>
          <w:ilvl w:val="0"/>
          <w:numId w:val="11"/>
        </w:numPr>
        <w:spacing w:before="120"/>
        <w:ind w:left="426" w:hanging="426"/>
        <w:rPr>
          <w:sz w:val="20"/>
          <w:szCs w:val="20"/>
        </w:rPr>
      </w:pPr>
      <w:r w:rsidRPr="00BA55BB">
        <w:rPr>
          <w:rFonts w:eastAsia="Times New Roman"/>
          <w:sz w:val="20"/>
          <w:szCs w:val="20"/>
        </w:rPr>
        <w:t xml:space="preserve">The graph of </w:t>
      </w:r>
      <m:oMath>
        <m:r>
          <w:rPr>
            <w:rFonts w:ascii="Cambria Math" w:eastAsia="Times New Roman" w:hAnsi="Cambria Math"/>
            <w:sz w:val="20"/>
            <w:szCs w:val="20"/>
          </w:rPr>
          <m:t>y=f(x)</m:t>
        </m:r>
      </m:oMath>
      <w:r w:rsidRPr="00BA55BB">
        <w:rPr>
          <w:rFonts w:eastAsia="Times New Roman"/>
          <w:sz w:val="20"/>
          <w:szCs w:val="20"/>
        </w:rPr>
        <w:t xml:space="preserve"> is mapped onto graph of </w:t>
      </w:r>
      <m:oMath>
        <m:r>
          <w:rPr>
            <w:rFonts w:ascii="Cambria Math" w:eastAsia="Times New Roman" w:hAnsi="Cambria Math"/>
            <w:sz w:val="20"/>
            <w:szCs w:val="20"/>
          </w:rPr>
          <m:t>y=Af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n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x-h</m:t>
                </m:r>
              </m:e>
            </m:d>
          </m:e>
        </m:d>
        <m:r>
          <w:rPr>
            <w:rFonts w:ascii="Cambria Math" w:eastAsia="Times New Roman" w:hAnsi="Cambria Math"/>
            <w:sz w:val="20"/>
            <w:szCs w:val="20"/>
          </w:rPr>
          <m:t>+k</m:t>
        </m:r>
      </m:oMath>
      <w:r w:rsidRPr="00BA55BB">
        <w:rPr>
          <w:rFonts w:eastAsia="Times New Roman"/>
          <w:sz w:val="20"/>
          <w:szCs w:val="20"/>
        </w:rPr>
        <w:t xml:space="preserve">. Discuss how the values of </w:t>
      </w:r>
      <w:r>
        <w:rPr>
          <w:rFonts w:eastAsia="Times New Roman"/>
          <w:sz w:val="20"/>
          <w:szCs w:val="20"/>
        </w:rPr>
        <w:br/>
      </w:r>
      <w:r w:rsidRPr="001339E7">
        <w:rPr>
          <w:rFonts w:ascii="Times New Roman" w:eastAsia="Times New Roman" w:hAnsi="Times New Roman"/>
          <w:i/>
        </w:rPr>
        <w:t>A</w:t>
      </w:r>
      <w:r w:rsidRPr="001339E7">
        <w:rPr>
          <w:rFonts w:ascii="Times New Roman" w:eastAsia="Times New Roman" w:hAnsi="Times New Roman"/>
        </w:rPr>
        <w:t xml:space="preserve">, </w:t>
      </w:r>
      <w:r w:rsidRPr="001339E7">
        <w:rPr>
          <w:rFonts w:ascii="Times New Roman" w:eastAsia="Times New Roman" w:hAnsi="Times New Roman"/>
          <w:i/>
        </w:rPr>
        <w:t>n</w:t>
      </w:r>
      <w:r w:rsidRPr="001339E7">
        <w:rPr>
          <w:rFonts w:ascii="Times New Roman" w:eastAsia="Times New Roman" w:hAnsi="Times New Roman"/>
        </w:rPr>
        <w:t xml:space="preserve">, </w:t>
      </w:r>
      <w:r w:rsidRPr="001339E7">
        <w:rPr>
          <w:rFonts w:ascii="Times New Roman" w:eastAsia="Times New Roman" w:hAnsi="Times New Roman"/>
          <w:i/>
        </w:rPr>
        <w:t>h</w:t>
      </w:r>
      <w:r w:rsidRPr="00BA55BB">
        <w:rPr>
          <w:rFonts w:eastAsia="Times New Roman"/>
          <w:sz w:val="20"/>
          <w:szCs w:val="20"/>
        </w:rPr>
        <w:t xml:space="preserve"> and </w:t>
      </w:r>
      <w:r w:rsidRPr="001339E7">
        <w:rPr>
          <w:rFonts w:ascii="Times New Roman" w:eastAsia="Times New Roman" w:hAnsi="Times New Roman"/>
          <w:i/>
        </w:rPr>
        <w:t>k</w:t>
      </w:r>
      <w:r w:rsidRPr="00BA55BB">
        <w:rPr>
          <w:rFonts w:eastAsia="Times New Roman"/>
          <w:sz w:val="20"/>
          <w:szCs w:val="20"/>
        </w:rPr>
        <w:t xml:space="preserve"> change the graph of the original function under various transformations.</w:t>
      </w:r>
    </w:p>
    <w:p w14:paraId="61FB1A0E" w14:textId="77777777" w:rsidR="00BA55BB" w:rsidRDefault="00BA55BB" w:rsidP="00BA55BB">
      <w:pPr>
        <w:pStyle w:val="VCAAHeading4"/>
      </w:pPr>
      <w:r w:rsidRPr="00BA3888">
        <w:t>Component 2</w:t>
      </w:r>
    </w:p>
    <w:p w14:paraId="792370AF" w14:textId="77777777" w:rsidR="00BA55BB" w:rsidRPr="00BA55BB" w:rsidRDefault="00BA55BB" w:rsidP="00BA55BB">
      <w:pPr>
        <w:pStyle w:val="VCAAbody"/>
        <w:rPr>
          <w:i/>
          <w:iCs/>
        </w:rPr>
      </w:pPr>
      <w:r w:rsidRPr="00BA55BB">
        <w:rPr>
          <w:i/>
          <w:iCs/>
        </w:rPr>
        <w:t>Consideration of general features of the context. Students should</w:t>
      </w:r>
    </w:p>
    <w:p w14:paraId="5FA6F577" w14:textId="09812D24" w:rsidR="00BA55BB" w:rsidRPr="00BA55BB" w:rsidRDefault="00BA55BB" w:rsidP="00BA55BB">
      <w:pPr>
        <w:pStyle w:val="NoSpacing"/>
        <w:numPr>
          <w:ilvl w:val="0"/>
          <w:numId w:val="12"/>
        </w:numPr>
        <w:ind w:left="426" w:hanging="426"/>
        <w:rPr>
          <w:rFonts w:eastAsia="Times New Roman"/>
          <w:color w:val="000000"/>
          <w:sz w:val="20"/>
          <w:szCs w:val="20"/>
        </w:rPr>
      </w:pPr>
      <w:r w:rsidRPr="00BA55BB">
        <w:rPr>
          <w:color w:val="000000"/>
          <w:sz w:val="20"/>
          <w:szCs w:val="20"/>
        </w:rPr>
        <w:t xml:space="preserve">Now consider the function </w:t>
      </w:r>
      <m:oMath>
        <m:r>
          <w:rPr>
            <w:rFonts w:ascii="Cambria Math" w:hAnsi="Cambria Math"/>
            <w:color w:val="000000"/>
            <w:sz w:val="20"/>
            <w:szCs w:val="20"/>
          </w:rPr>
          <m:t>f:R→R,f</m:t>
        </m:r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color w:val="00000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x-b</m:t>
            </m:r>
          </m:e>
        </m:d>
      </m:oMath>
      <w:r w:rsidRPr="00BA55BB">
        <w:rPr>
          <w:rFonts w:eastAsia="Times New Roman"/>
          <w:color w:val="000000"/>
          <w:sz w:val="20"/>
          <w:szCs w:val="20"/>
        </w:rPr>
        <w:t xml:space="preserve"> where </w:t>
      </w:r>
      <m:oMath>
        <m:r>
          <w:rPr>
            <w:rFonts w:ascii="Cambria Math" w:eastAsia="Times New Roman" w:hAnsi="Cambria Math"/>
            <w:color w:val="000000"/>
            <w:sz w:val="20"/>
            <w:szCs w:val="20"/>
          </w:rPr>
          <m:t>m,a,b∈R.</m:t>
        </m:r>
      </m:oMath>
      <w:r w:rsidRPr="00BA55BB">
        <w:rPr>
          <w:rFonts w:eastAsia="Times New Roman"/>
          <w:color w:val="000000"/>
          <w:sz w:val="20"/>
          <w:szCs w:val="20"/>
        </w:rPr>
        <w:br/>
        <w:t xml:space="preserve">Investigate the graphs of </w:t>
      </w:r>
      <m:oMath>
        <m:r>
          <w:rPr>
            <w:rFonts w:ascii="Cambria Math" w:eastAsia="Times New Roman" w:hAnsi="Cambria Math"/>
            <w:color w:val="000000"/>
            <w:sz w:val="20"/>
            <w:szCs w:val="20"/>
          </w:rPr>
          <m:t>y=f(x)</m:t>
        </m:r>
      </m:oMath>
      <w:r w:rsidRPr="00BA55BB">
        <w:rPr>
          <w:rFonts w:eastAsia="Times New Roman"/>
          <w:color w:val="000000"/>
          <w:sz w:val="20"/>
          <w:szCs w:val="20"/>
        </w:rPr>
        <w:t xml:space="preserve"> for combinations and ranges of values of the parameters </w:t>
      </w:r>
      <w:r w:rsidRPr="001339E7">
        <w:rPr>
          <w:rFonts w:ascii="Times New Roman" w:eastAsia="Times New Roman" w:hAnsi="Times New Roman"/>
          <w:i/>
          <w:color w:val="000000"/>
        </w:rPr>
        <w:t>a</w:t>
      </w:r>
      <w:r w:rsidRPr="001339E7">
        <w:rPr>
          <w:rFonts w:ascii="Times New Roman" w:eastAsia="Times New Roman" w:hAnsi="Times New Roman"/>
          <w:color w:val="000000"/>
        </w:rPr>
        <w:t xml:space="preserve">, </w:t>
      </w:r>
      <w:r w:rsidRPr="001339E7">
        <w:rPr>
          <w:rFonts w:ascii="Times New Roman" w:eastAsia="Times New Roman" w:hAnsi="Times New Roman"/>
          <w:i/>
          <w:color w:val="000000"/>
        </w:rPr>
        <w:t>b</w:t>
      </w:r>
      <w:r w:rsidRPr="00BA55BB">
        <w:rPr>
          <w:rFonts w:eastAsia="Times New Roman"/>
          <w:i/>
          <w:color w:val="000000"/>
          <w:sz w:val="20"/>
          <w:szCs w:val="20"/>
        </w:rPr>
        <w:t xml:space="preserve"> </w:t>
      </w:r>
      <w:r w:rsidRPr="00BA55BB">
        <w:rPr>
          <w:rFonts w:eastAsia="Times New Roman"/>
          <w:color w:val="000000"/>
          <w:sz w:val="20"/>
          <w:szCs w:val="20"/>
        </w:rPr>
        <w:t xml:space="preserve">and </w:t>
      </w:r>
      <w:r w:rsidRPr="001339E7">
        <w:rPr>
          <w:rFonts w:ascii="Times New Roman" w:eastAsia="Times New Roman" w:hAnsi="Times New Roman"/>
          <w:i/>
          <w:color w:val="000000"/>
        </w:rPr>
        <w:t>m</w:t>
      </w:r>
      <w:r w:rsidRPr="00BA55BB">
        <w:rPr>
          <w:rFonts w:eastAsia="Times New Roman"/>
          <w:color w:val="000000"/>
          <w:sz w:val="20"/>
          <w:szCs w:val="20"/>
        </w:rPr>
        <w:t>.</w:t>
      </w:r>
    </w:p>
    <w:p w14:paraId="2BDE6BF0" w14:textId="77777777" w:rsidR="00BA55BB" w:rsidRPr="00BA55BB" w:rsidRDefault="00BA55BB" w:rsidP="00BA55BB">
      <w:pPr>
        <w:pStyle w:val="NoSpacing"/>
        <w:numPr>
          <w:ilvl w:val="0"/>
          <w:numId w:val="12"/>
        </w:numPr>
        <w:spacing w:before="120"/>
        <w:ind w:left="426" w:hanging="426"/>
        <w:rPr>
          <w:rFonts w:eastAsia="Times New Roman"/>
          <w:sz w:val="20"/>
          <w:szCs w:val="20"/>
        </w:rPr>
      </w:pPr>
      <w:r w:rsidRPr="00BA55BB">
        <w:rPr>
          <w:rFonts w:eastAsia="Times New Roman"/>
          <w:sz w:val="20"/>
          <w:szCs w:val="20"/>
        </w:rPr>
        <w:t xml:space="preserve">In each of the cases in step a., find the values of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p∈R </m:t>
        </m:r>
      </m:oMath>
      <w:r w:rsidRPr="00BA55BB">
        <w:rPr>
          <w:rFonts w:eastAsia="Times New Roman"/>
          <w:sz w:val="20"/>
          <w:szCs w:val="20"/>
        </w:rPr>
        <w:t xml:space="preserve">for which </w:t>
      </w:r>
      <m:oMath>
        <m:r>
          <w:rPr>
            <w:rFonts w:ascii="Cambria Math" w:eastAsia="Times New Roman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="Times New Roman" w:hAnsi="Cambria Math"/>
            <w:sz w:val="20"/>
            <w:szCs w:val="20"/>
          </w:rPr>
          <m:t>=p</m:t>
        </m:r>
      </m:oMath>
      <w:r w:rsidRPr="00BA55BB">
        <w:rPr>
          <w:rFonts w:eastAsia="Times New Roman"/>
          <w:sz w:val="20"/>
          <w:szCs w:val="20"/>
        </w:rPr>
        <w:t xml:space="preserve"> has one, two or three solutions.</w:t>
      </w:r>
    </w:p>
    <w:p w14:paraId="3157C8EE" w14:textId="7FD6B525" w:rsidR="00BA55BB" w:rsidRPr="00BA55BB" w:rsidRDefault="00BA55BB" w:rsidP="00BA55BB">
      <w:pPr>
        <w:pStyle w:val="NoSpacing"/>
        <w:numPr>
          <w:ilvl w:val="0"/>
          <w:numId w:val="12"/>
        </w:numPr>
        <w:spacing w:before="120"/>
        <w:ind w:left="426" w:hanging="426"/>
        <w:rPr>
          <w:rFonts w:eastAsia="Times New Roman"/>
          <w:sz w:val="20"/>
          <w:szCs w:val="20"/>
        </w:rPr>
      </w:pPr>
      <w:r w:rsidRPr="00BA55BB">
        <w:rPr>
          <w:rFonts w:eastAsia="Times New Roman"/>
          <w:sz w:val="20"/>
          <w:szCs w:val="20"/>
        </w:rPr>
        <w:t xml:space="preserve">State the transformations required to map the graph of </w:t>
      </w:r>
      <m:oMath>
        <m:r>
          <w:rPr>
            <w:rFonts w:ascii="Cambria Math" w:eastAsia="Times New Roman" w:hAnsi="Cambria Math"/>
            <w:sz w:val="20"/>
            <w:szCs w:val="20"/>
          </w:rPr>
          <m:t>y=f(x)</m:t>
        </m:r>
      </m:oMath>
      <w:r w:rsidRPr="00BA55BB">
        <w:rPr>
          <w:rFonts w:eastAsia="Times New Roman"/>
          <w:sz w:val="20"/>
          <w:szCs w:val="20"/>
        </w:rPr>
        <w:t xml:space="preserve"> onto the graph of</w:t>
      </w:r>
      <w:r w:rsidRPr="00BA55BB">
        <w:rPr>
          <w:rFonts w:eastAsia="Times New Roman"/>
          <w:sz w:val="20"/>
          <w:szCs w:val="20"/>
        </w:rPr>
        <w:br/>
      </w:r>
      <m:oMath>
        <m:r>
          <w:rPr>
            <w:rFonts w:ascii="Cambria Math" w:eastAsia="Times New Roman" w:hAnsi="Cambria Math"/>
            <w:sz w:val="20"/>
            <w:szCs w:val="20"/>
          </w:rPr>
          <m:t>y=Af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nx</m:t>
            </m:r>
          </m:e>
        </m:d>
        <m:r>
          <w:rPr>
            <w:rFonts w:ascii="Cambria Math" w:eastAsia="Times New Roman" w:hAnsi="Cambria Math"/>
            <w:sz w:val="20"/>
            <w:szCs w:val="20"/>
          </w:rPr>
          <m:t>+k</m:t>
        </m:r>
      </m:oMath>
      <w:r w:rsidRPr="00BA55BB">
        <w:rPr>
          <w:rFonts w:eastAsia="Times New Roman"/>
          <w:sz w:val="20"/>
          <w:szCs w:val="20"/>
        </w:rPr>
        <w:t xml:space="preserve">, where </w:t>
      </w:r>
      <w:r w:rsidRPr="001339E7">
        <w:rPr>
          <w:rFonts w:ascii="Times New Roman" w:eastAsia="Times New Roman" w:hAnsi="Times New Roman"/>
          <w:i/>
        </w:rPr>
        <w:t>A,</w:t>
      </w:r>
      <w:r w:rsidRPr="001339E7">
        <w:rPr>
          <w:rFonts w:ascii="Times New Roman" w:eastAsia="Times New Roman" w:hAnsi="Times New Roman"/>
        </w:rPr>
        <w:t xml:space="preserve"> </w:t>
      </w:r>
      <w:r w:rsidRPr="001339E7">
        <w:rPr>
          <w:rFonts w:ascii="Times New Roman" w:eastAsia="Times New Roman" w:hAnsi="Times New Roman"/>
          <w:i/>
        </w:rPr>
        <w:t>n</w:t>
      </w:r>
      <w:r w:rsidRPr="00BA55BB">
        <w:rPr>
          <w:rFonts w:eastAsia="Times New Roman"/>
          <w:sz w:val="20"/>
          <w:szCs w:val="20"/>
        </w:rPr>
        <w:t xml:space="preserve"> and </w:t>
      </w:r>
      <w:r w:rsidRPr="001339E7">
        <w:rPr>
          <w:rFonts w:ascii="Times New Roman" w:eastAsia="Times New Roman" w:hAnsi="Times New Roman"/>
          <w:i/>
        </w:rPr>
        <w:t>k</w:t>
      </w:r>
      <w:r w:rsidRPr="00BA55BB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∈R</m:t>
        </m:r>
      </m:oMath>
      <w:r w:rsidRPr="00BA55BB">
        <w:rPr>
          <w:rFonts w:eastAsia="Times New Roman"/>
          <w:sz w:val="20"/>
          <w:szCs w:val="20"/>
        </w:rPr>
        <w:t xml:space="preserve">. Investigate how </w:t>
      </w:r>
      <w:r w:rsidRPr="001339E7">
        <w:rPr>
          <w:rFonts w:ascii="Times New Roman" w:eastAsia="Times New Roman" w:hAnsi="Times New Roman"/>
          <w:i/>
        </w:rPr>
        <w:t>A,</w:t>
      </w:r>
      <w:r w:rsidRPr="001339E7">
        <w:rPr>
          <w:rFonts w:ascii="Times New Roman" w:eastAsia="Times New Roman" w:hAnsi="Times New Roman"/>
        </w:rPr>
        <w:t xml:space="preserve"> </w:t>
      </w:r>
      <w:r w:rsidRPr="001339E7">
        <w:rPr>
          <w:rFonts w:ascii="Times New Roman" w:eastAsia="Times New Roman" w:hAnsi="Times New Roman"/>
          <w:i/>
        </w:rPr>
        <w:t>n</w:t>
      </w:r>
      <w:r w:rsidRPr="00BA55BB">
        <w:rPr>
          <w:rFonts w:eastAsia="Times New Roman"/>
          <w:sz w:val="20"/>
          <w:szCs w:val="20"/>
        </w:rPr>
        <w:t xml:space="preserve"> and </w:t>
      </w:r>
      <w:r w:rsidRPr="001339E7">
        <w:rPr>
          <w:rFonts w:ascii="Times New Roman" w:eastAsia="Times New Roman" w:hAnsi="Times New Roman"/>
          <w:i/>
        </w:rPr>
        <w:t>k</w:t>
      </w:r>
      <w:r w:rsidRPr="00BA55BB">
        <w:rPr>
          <w:rFonts w:eastAsia="Times New Roman"/>
          <w:i/>
          <w:sz w:val="20"/>
          <w:szCs w:val="20"/>
        </w:rPr>
        <w:t xml:space="preserve">, </w:t>
      </w:r>
      <w:r w:rsidRPr="00BA55BB">
        <w:rPr>
          <w:rFonts w:eastAsia="Times New Roman"/>
          <w:sz w:val="20"/>
          <w:szCs w:val="20"/>
        </w:rPr>
        <w:t>and</w:t>
      </w:r>
      <w:r w:rsidRPr="001339E7">
        <w:rPr>
          <w:rFonts w:ascii="Times New Roman" w:eastAsia="Times New Roman" w:hAnsi="Times New Roman"/>
          <w:i/>
        </w:rPr>
        <w:t xml:space="preserve"> a, b</w:t>
      </w:r>
      <w:r w:rsidRPr="00BA55BB">
        <w:rPr>
          <w:rFonts w:eastAsia="Times New Roman"/>
          <w:i/>
          <w:sz w:val="20"/>
          <w:szCs w:val="20"/>
        </w:rPr>
        <w:t xml:space="preserve"> </w:t>
      </w:r>
      <w:r w:rsidRPr="00BA55BB">
        <w:rPr>
          <w:rFonts w:eastAsia="Times New Roman"/>
          <w:sz w:val="20"/>
          <w:szCs w:val="20"/>
        </w:rPr>
        <w:t>and</w:t>
      </w:r>
      <w:r w:rsidRPr="00BA55BB">
        <w:rPr>
          <w:rFonts w:eastAsia="Times New Roman"/>
          <w:i/>
          <w:sz w:val="20"/>
          <w:szCs w:val="20"/>
        </w:rPr>
        <w:t xml:space="preserve"> </w:t>
      </w:r>
      <w:r w:rsidRPr="001339E7">
        <w:rPr>
          <w:rFonts w:ascii="Times New Roman" w:eastAsia="Times New Roman" w:hAnsi="Times New Roman"/>
          <w:i/>
        </w:rPr>
        <w:t>m</w:t>
      </w:r>
      <w:r w:rsidRPr="00BA55BB">
        <w:rPr>
          <w:rFonts w:eastAsia="Times New Roman"/>
          <w:i/>
          <w:sz w:val="20"/>
          <w:szCs w:val="20"/>
        </w:rPr>
        <w:t xml:space="preserve"> </w:t>
      </w:r>
      <w:r w:rsidRPr="00BA55BB">
        <w:rPr>
          <w:rFonts w:eastAsia="Times New Roman"/>
          <w:sz w:val="20"/>
          <w:szCs w:val="20"/>
        </w:rPr>
        <w:t xml:space="preserve">relate to the location and nature of the stationary points of the graph of </w:t>
      </w:r>
      <m:oMath>
        <m:r>
          <w:rPr>
            <w:rFonts w:ascii="Cambria Math" w:eastAsia="Times New Roman" w:hAnsi="Cambria Math"/>
            <w:sz w:val="20"/>
            <w:szCs w:val="20"/>
          </w:rPr>
          <m:t>y=Af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nx</m:t>
            </m:r>
          </m:e>
        </m:d>
        <m:r>
          <w:rPr>
            <w:rFonts w:ascii="Cambria Math" w:eastAsia="Times New Roman" w:hAnsi="Cambria Math"/>
            <w:sz w:val="20"/>
            <w:szCs w:val="20"/>
          </w:rPr>
          <m:t>+k</m:t>
        </m:r>
      </m:oMath>
      <w:r w:rsidRPr="00BA55BB">
        <w:rPr>
          <w:rFonts w:eastAsia="Times New Roman"/>
          <w:sz w:val="20"/>
          <w:szCs w:val="20"/>
        </w:rPr>
        <w:t xml:space="preserve">. </w:t>
      </w:r>
    </w:p>
    <w:p w14:paraId="6FA04ED9" w14:textId="77777777" w:rsidR="00BA55BB" w:rsidRPr="00BA55BB" w:rsidRDefault="00BA55BB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2FE7E3E4" w14:textId="637737B0" w:rsidR="00BA55BB" w:rsidRDefault="00BA55BB" w:rsidP="00BA55BB">
      <w:pPr>
        <w:pStyle w:val="VCAAHeading4"/>
      </w:pPr>
      <w:r w:rsidRPr="00BA3888">
        <w:lastRenderedPageBreak/>
        <w:t>Component 3</w:t>
      </w:r>
    </w:p>
    <w:p w14:paraId="6E1E6809" w14:textId="77777777" w:rsidR="00BA55BB" w:rsidRPr="00BA55BB" w:rsidRDefault="00BA55BB" w:rsidP="00BA55BB">
      <w:pPr>
        <w:pStyle w:val="VCAAbody"/>
        <w:rPr>
          <w:i/>
          <w:iCs/>
        </w:rPr>
      </w:pPr>
      <w:r w:rsidRPr="00BA55BB">
        <w:rPr>
          <w:i/>
          <w:iCs/>
        </w:rPr>
        <w:t>Variation or further specification of assumption or conditions involved in the context to focus on a particular feature or aspect related to the context. Students should</w:t>
      </w:r>
    </w:p>
    <w:p w14:paraId="1F8A02AE" w14:textId="77777777" w:rsidR="00BA55BB" w:rsidRPr="00BA55BB" w:rsidRDefault="00BA55BB" w:rsidP="00BA55BB">
      <w:pPr>
        <w:pStyle w:val="NoSpacing"/>
        <w:numPr>
          <w:ilvl w:val="0"/>
          <w:numId w:val="13"/>
        </w:numPr>
        <w:ind w:left="426" w:hanging="426"/>
        <w:rPr>
          <w:sz w:val="20"/>
          <w:szCs w:val="20"/>
        </w:rPr>
      </w:pPr>
      <w:r w:rsidRPr="00BA55BB">
        <w:rPr>
          <w:sz w:val="20"/>
          <w:szCs w:val="20"/>
        </w:rPr>
        <w:t xml:space="preserve">Consider the function </w:t>
      </w:r>
      <m:oMath>
        <m:r>
          <w:rPr>
            <w:rFonts w:ascii="Cambria Math" w:hAnsi="Cambria Math"/>
            <w:sz w:val="20"/>
            <w:szCs w:val="20"/>
          </w:rPr>
          <m:t>f:R→R,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s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x-b</m:t>
            </m:r>
          </m:e>
        </m:d>
      </m:oMath>
      <w:r w:rsidRPr="00BA55BB">
        <w:rPr>
          <w:sz w:val="20"/>
          <w:szCs w:val="20"/>
        </w:rPr>
        <w:t xml:space="preserve">, where </w:t>
      </w:r>
      <m:oMath>
        <m:r>
          <w:rPr>
            <w:rFonts w:ascii="Cambria Math" w:hAnsi="Cambria Math"/>
            <w:sz w:val="20"/>
            <w:szCs w:val="20"/>
          </w:rPr>
          <m:t xml:space="preserve">m,a,b∈R </m:t>
        </m:r>
      </m:oMath>
      <w:r w:rsidRPr="00BA55BB">
        <w:rPr>
          <w:sz w:val="20"/>
          <w:szCs w:val="20"/>
        </w:rPr>
        <w:t xml:space="preserve">and </w:t>
      </w:r>
      <m:oMath>
        <m:r>
          <w:rPr>
            <w:rFonts w:ascii="Cambria Math" w:hAnsi="Cambria Math"/>
            <w:sz w:val="20"/>
            <w:szCs w:val="20"/>
          </w:rPr>
          <m:t>s∈N.</m:t>
        </m:r>
      </m:oMath>
      <w:r w:rsidRPr="00BA55BB">
        <w:rPr>
          <w:sz w:val="20"/>
          <w:szCs w:val="20"/>
        </w:rPr>
        <w:t xml:space="preserve"> Investigate the graphs of </w:t>
      </w:r>
      <m:oMath>
        <m:r>
          <w:rPr>
            <w:rFonts w:ascii="Cambria Math" w:hAnsi="Cambria Math"/>
            <w:sz w:val="20"/>
            <w:szCs w:val="20"/>
          </w:rPr>
          <m:t>y=f(x)</m:t>
        </m:r>
      </m:oMath>
      <w:r w:rsidRPr="00BA55BB">
        <w:rPr>
          <w:sz w:val="20"/>
          <w:szCs w:val="20"/>
        </w:rPr>
        <w:t xml:space="preserve"> for cases where </w:t>
      </w:r>
      <m:oMath>
        <m:r>
          <w:rPr>
            <w:rFonts w:ascii="Cambria Math" w:hAnsi="Cambria Math"/>
            <w:sz w:val="20"/>
            <w:szCs w:val="20"/>
          </w:rPr>
          <m:t>a&lt;b,m&gt;0</m:t>
        </m:r>
      </m:oMath>
      <w:r w:rsidRPr="00BA55BB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s∈N.</m:t>
        </m:r>
      </m:oMath>
      <w:r w:rsidRPr="00BA55BB">
        <w:rPr>
          <w:sz w:val="20"/>
          <w:szCs w:val="20"/>
        </w:rPr>
        <w:t xml:space="preserve"> What generalisations can be made?</w:t>
      </w:r>
    </w:p>
    <w:p w14:paraId="5F3A28D0" w14:textId="77777777" w:rsidR="00BA55BB" w:rsidRPr="00BA55BB" w:rsidRDefault="00BA55BB" w:rsidP="00BA55BB">
      <w:pPr>
        <w:pStyle w:val="NoSpacing"/>
        <w:numPr>
          <w:ilvl w:val="0"/>
          <w:numId w:val="13"/>
        </w:numPr>
        <w:spacing w:before="120"/>
        <w:ind w:left="426" w:hanging="426"/>
        <w:rPr>
          <w:sz w:val="20"/>
          <w:szCs w:val="20"/>
        </w:rPr>
      </w:pPr>
      <w:r w:rsidRPr="00BA55BB">
        <w:rPr>
          <w:sz w:val="20"/>
          <w:szCs w:val="20"/>
        </w:rPr>
        <w:t xml:space="preserve">Let </w:t>
      </w:r>
      <m:oMath>
        <m:r>
          <w:rPr>
            <w:rFonts w:ascii="Cambria Math" w:hAnsi="Cambria Math"/>
            <w:sz w:val="20"/>
            <w:szCs w:val="20"/>
          </w:rPr>
          <m:t>f:R→R,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s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x-b</m:t>
            </m:r>
          </m:e>
        </m:d>
      </m:oMath>
      <w:r w:rsidRPr="00BA55BB">
        <w:rPr>
          <w:sz w:val="20"/>
          <w:szCs w:val="20"/>
        </w:rPr>
        <w:t xml:space="preserve"> where </w:t>
      </w:r>
      <m:oMath>
        <m:r>
          <w:rPr>
            <w:rFonts w:ascii="Cambria Math" w:hAnsi="Cambria Math"/>
            <w:sz w:val="20"/>
            <w:szCs w:val="20"/>
          </w:rPr>
          <m:t>a,b∈R,</m:t>
        </m:r>
      </m:oMath>
      <w:r w:rsidRPr="00BA55BB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a&lt;b</m:t>
        </m:r>
      </m:oMath>
      <w:r w:rsidRPr="00BA55BB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s∈N</m:t>
        </m:r>
      </m:oMath>
      <w:r w:rsidRPr="00BA55BB">
        <w:rPr>
          <w:sz w:val="20"/>
          <w:szCs w:val="20"/>
        </w:rPr>
        <w:t xml:space="preserve">. Find the values of </w:t>
      </w:r>
      <w:r w:rsidRPr="001339E7">
        <w:rPr>
          <w:rFonts w:ascii="Times New Roman" w:hAnsi="Times New Roman"/>
          <w:i/>
        </w:rPr>
        <w:t>p</w:t>
      </w:r>
      <w:r w:rsidRPr="00BA55BB">
        <w:rPr>
          <w:sz w:val="20"/>
          <w:szCs w:val="20"/>
        </w:rPr>
        <w:t xml:space="preserve"> for which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=p</m:t>
        </m:r>
      </m:oMath>
      <w:r w:rsidRPr="00BA55BB">
        <w:rPr>
          <w:sz w:val="20"/>
          <w:szCs w:val="20"/>
        </w:rPr>
        <w:t xml:space="preserve"> has zero, one, two or three solutions when </w:t>
      </w:r>
      <w:r w:rsidRPr="00BA55BB">
        <w:rPr>
          <w:i/>
          <w:sz w:val="20"/>
          <w:szCs w:val="20"/>
        </w:rPr>
        <w:t>s</w:t>
      </w:r>
      <w:r w:rsidRPr="00BA55BB">
        <w:rPr>
          <w:sz w:val="20"/>
          <w:szCs w:val="20"/>
        </w:rPr>
        <w:t xml:space="preserve"> = </w:t>
      </w:r>
      <w:r w:rsidRPr="001339E7">
        <w:rPr>
          <w:rFonts w:ascii="Times New Roman" w:hAnsi="Times New Roman"/>
        </w:rPr>
        <w:t>1, 2, 3, 4</w:t>
      </w:r>
      <w:r w:rsidRPr="00BA55BB">
        <w:rPr>
          <w:sz w:val="20"/>
          <w:szCs w:val="20"/>
        </w:rPr>
        <w:t xml:space="preserve"> and </w:t>
      </w:r>
      <w:r w:rsidRPr="001339E7">
        <w:rPr>
          <w:rFonts w:ascii="Times New Roman" w:hAnsi="Times New Roman"/>
        </w:rPr>
        <w:t>5</w:t>
      </w:r>
      <w:r w:rsidRPr="00BA55BB">
        <w:rPr>
          <w:sz w:val="20"/>
          <w:szCs w:val="20"/>
        </w:rPr>
        <w:t>. What generalisations can be made?</w:t>
      </w:r>
    </w:p>
    <w:p w14:paraId="553CA7A0" w14:textId="77777777" w:rsidR="00BA55BB" w:rsidRPr="00BA3888" w:rsidRDefault="00BA55BB" w:rsidP="00462845">
      <w:pPr>
        <w:pStyle w:val="VCAAHeading3"/>
      </w:pPr>
      <w:r w:rsidRPr="00BA3888">
        <w:t>Areas of study</w:t>
      </w:r>
    </w:p>
    <w:p w14:paraId="12F78CD4" w14:textId="2FFE5675" w:rsidR="00BA55BB" w:rsidRDefault="00BA55BB" w:rsidP="00BA55BB">
      <w:pPr>
        <w:pStyle w:val="VCAAbody"/>
      </w:pPr>
      <w:r w:rsidRPr="00BA3888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BA55BB" w:rsidRPr="00485F20" w14:paraId="7967EBFA" w14:textId="77777777" w:rsidTr="001F450B">
        <w:tc>
          <w:tcPr>
            <w:tcW w:w="3209" w:type="dxa"/>
            <w:shd w:val="clear" w:color="auto" w:fill="0F7EB4"/>
          </w:tcPr>
          <w:p w14:paraId="3B2CB811" w14:textId="77777777" w:rsidR="00BA55BB" w:rsidRPr="00485F20" w:rsidRDefault="00BA55BB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3D9E351A" w14:textId="77777777" w:rsidR="00BA55BB" w:rsidRPr="00485F20" w:rsidRDefault="00BA55BB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462845" w14:paraId="1FD33DF3" w14:textId="77777777" w:rsidTr="001F450B">
        <w:tc>
          <w:tcPr>
            <w:tcW w:w="3209" w:type="dxa"/>
          </w:tcPr>
          <w:p w14:paraId="22D4C53E" w14:textId="34809BE3" w:rsidR="00462845" w:rsidRDefault="00462845" w:rsidP="00462845">
            <w:pPr>
              <w:pStyle w:val="VCAAtablecondensed"/>
            </w:pPr>
            <w:r w:rsidRPr="00EC3FDA">
              <w:t>Functions</w:t>
            </w:r>
            <w:r>
              <w:t xml:space="preserve">, relations </w:t>
            </w:r>
            <w:r w:rsidRPr="00EC3FDA">
              <w:t>and graphs</w:t>
            </w:r>
          </w:p>
        </w:tc>
        <w:tc>
          <w:tcPr>
            <w:tcW w:w="3210" w:type="dxa"/>
          </w:tcPr>
          <w:p w14:paraId="579F92E5" w14:textId="412CA30E" w:rsidR="00462845" w:rsidRDefault="00462845" w:rsidP="00462845">
            <w:pPr>
              <w:pStyle w:val="VCAAtablecondensed"/>
              <w:rPr>
                <w:lang w:val="en-AU"/>
              </w:rPr>
            </w:pPr>
            <w:r>
              <w:t>1, 3</w:t>
            </w:r>
            <w:r w:rsidRPr="00EC3FDA">
              <w:t>, 4, 5</w:t>
            </w:r>
          </w:p>
        </w:tc>
      </w:tr>
      <w:tr w:rsidR="00462845" w14:paraId="14CCCCE3" w14:textId="77777777" w:rsidTr="001F450B">
        <w:tc>
          <w:tcPr>
            <w:tcW w:w="3209" w:type="dxa"/>
          </w:tcPr>
          <w:p w14:paraId="05FC5631" w14:textId="643DE2A8" w:rsidR="00462845" w:rsidRDefault="00462845" w:rsidP="00462845">
            <w:pPr>
              <w:pStyle w:val="VCAAtablecondensed"/>
              <w:rPr>
                <w:lang w:val="en-AU"/>
              </w:rPr>
            </w:pPr>
            <w:r w:rsidRPr="00EC3FDA">
              <w:t>Algebra</w:t>
            </w:r>
            <w:r>
              <w:t>, number and structure</w:t>
            </w:r>
          </w:p>
        </w:tc>
        <w:tc>
          <w:tcPr>
            <w:tcW w:w="3210" w:type="dxa"/>
          </w:tcPr>
          <w:p w14:paraId="3C835125" w14:textId="226F18DD" w:rsidR="00462845" w:rsidRDefault="00462845" w:rsidP="00462845">
            <w:pPr>
              <w:pStyle w:val="VCAAtablecondensed"/>
              <w:rPr>
                <w:lang w:val="en-AU"/>
              </w:rPr>
            </w:pPr>
            <w:r w:rsidRPr="00EC3FDA">
              <w:t>1,</w:t>
            </w:r>
            <w:r>
              <w:t xml:space="preserve"> 4,</w:t>
            </w:r>
            <w:r w:rsidRPr="00EC3FDA">
              <w:t xml:space="preserve"> 5</w:t>
            </w:r>
          </w:p>
        </w:tc>
      </w:tr>
      <w:tr w:rsidR="00462845" w14:paraId="06570869" w14:textId="77777777" w:rsidTr="001F450B">
        <w:tc>
          <w:tcPr>
            <w:tcW w:w="3209" w:type="dxa"/>
          </w:tcPr>
          <w:p w14:paraId="0FDCEF25" w14:textId="3F1CE01F" w:rsidR="00462845" w:rsidRDefault="00462845" w:rsidP="00462845">
            <w:pPr>
              <w:pStyle w:val="VCAAtablecondensed"/>
              <w:rPr>
                <w:lang w:val="en-AU"/>
              </w:rPr>
            </w:pPr>
            <w:r w:rsidRPr="00EC3FDA">
              <w:t>Calculus</w:t>
            </w:r>
          </w:p>
        </w:tc>
        <w:tc>
          <w:tcPr>
            <w:tcW w:w="3210" w:type="dxa"/>
          </w:tcPr>
          <w:p w14:paraId="29CF0747" w14:textId="097F8C8B" w:rsidR="00462845" w:rsidRDefault="00462845" w:rsidP="00462845">
            <w:pPr>
              <w:pStyle w:val="VCAAtablecondensed"/>
              <w:rPr>
                <w:lang w:val="en-AU"/>
              </w:rPr>
            </w:pPr>
            <w:r>
              <w:t xml:space="preserve">3, </w:t>
            </w:r>
            <w:r w:rsidRPr="00EC3FDA">
              <w:t>4, 5</w:t>
            </w:r>
          </w:p>
        </w:tc>
      </w:tr>
      <w:tr w:rsidR="00462845" w14:paraId="20400628" w14:textId="77777777" w:rsidTr="001F450B">
        <w:tc>
          <w:tcPr>
            <w:tcW w:w="3209" w:type="dxa"/>
          </w:tcPr>
          <w:p w14:paraId="53EA60E9" w14:textId="023ECC67" w:rsidR="00462845" w:rsidRDefault="00462845" w:rsidP="00462845">
            <w:pPr>
              <w:pStyle w:val="VCAAtablecondensed"/>
            </w:pPr>
            <w:r>
              <w:t>Data analysis, p</w:t>
            </w:r>
            <w:r w:rsidRPr="00EC3FDA">
              <w:t>robability and statistics</w:t>
            </w:r>
          </w:p>
        </w:tc>
        <w:tc>
          <w:tcPr>
            <w:tcW w:w="3210" w:type="dxa"/>
          </w:tcPr>
          <w:p w14:paraId="6194B065" w14:textId="7557E91F" w:rsidR="00462845" w:rsidRDefault="00462845" w:rsidP="00462845">
            <w:pPr>
              <w:pStyle w:val="VCAAtablecondensed"/>
            </w:pPr>
            <w:r>
              <w:t>–</w:t>
            </w:r>
          </w:p>
        </w:tc>
      </w:tr>
    </w:tbl>
    <w:p w14:paraId="5349B584" w14:textId="77777777" w:rsidR="00BA55BB" w:rsidRPr="00BA3888" w:rsidRDefault="00BA55BB" w:rsidP="00462845">
      <w:pPr>
        <w:pStyle w:val="VCAAHeading3"/>
      </w:pPr>
      <w:r w:rsidRPr="00BA3888">
        <w:t>Outcomes</w:t>
      </w:r>
    </w:p>
    <w:p w14:paraId="4DC571A1" w14:textId="6847A115" w:rsidR="00BA55BB" w:rsidRDefault="00BA55BB" w:rsidP="00462845">
      <w:pPr>
        <w:pStyle w:val="VCAAbody"/>
      </w:pPr>
      <w:r w:rsidRPr="00BA3888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62845" w:rsidRPr="00FA2380" w14:paraId="3F20F7C6" w14:textId="77777777" w:rsidTr="001F450B">
        <w:tc>
          <w:tcPr>
            <w:tcW w:w="3209" w:type="dxa"/>
            <w:shd w:val="clear" w:color="auto" w:fill="0F7EB4"/>
          </w:tcPr>
          <w:p w14:paraId="2C729988" w14:textId="77777777" w:rsidR="00462845" w:rsidRPr="00FA2380" w:rsidRDefault="00462845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4378C65B" w14:textId="77777777" w:rsidR="00462845" w:rsidRPr="00FA2380" w:rsidRDefault="00462845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Key knowledge dot point</w:t>
            </w:r>
            <w:r>
              <w:rPr>
                <w:b/>
                <w:lang w:val="en-AU"/>
              </w:rPr>
              <w:t>s</w:t>
            </w:r>
          </w:p>
        </w:tc>
        <w:tc>
          <w:tcPr>
            <w:tcW w:w="3210" w:type="dxa"/>
            <w:shd w:val="clear" w:color="auto" w:fill="0F7EB4"/>
          </w:tcPr>
          <w:p w14:paraId="0B5E63A2" w14:textId="77777777" w:rsidR="00462845" w:rsidRPr="00FA2380" w:rsidRDefault="00462845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Key skill</w:t>
            </w:r>
            <w:r>
              <w:rPr>
                <w:b/>
                <w:lang w:val="en-AU"/>
              </w:rPr>
              <w:t>s</w:t>
            </w:r>
            <w:r w:rsidRPr="006D6BCF">
              <w:rPr>
                <w:b/>
                <w:lang w:val="en-AU"/>
              </w:rPr>
              <w:t xml:space="preserve"> dot point</w:t>
            </w:r>
            <w:r>
              <w:rPr>
                <w:b/>
                <w:lang w:val="en-AU"/>
              </w:rPr>
              <w:t>s</w:t>
            </w:r>
          </w:p>
        </w:tc>
      </w:tr>
      <w:tr w:rsidR="00462845" w14:paraId="59DD59F4" w14:textId="77777777" w:rsidTr="001F450B">
        <w:tc>
          <w:tcPr>
            <w:tcW w:w="3209" w:type="dxa"/>
          </w:tcPr>
          <w:p w14:paraId="6ECE2A10" w14:textId="7E933581" w:rsidR="00462845" w:rsidRPr="000E2B81" w:rsidRDefault="00462845" w:rsidP="00462845">
            <w:pPr>
              <w:pStyle w:val="VCAAtablecondensed"/>
              <w:rPr>
                <w:bCs/>
              </w:rPr>
            </w:pPr>
            <w:r w:rsidRPr="00EC3FDA">
              <w:t>1</w:t>
            </w:r>
          </w:p>
        </w:tc>
        <w:tc>
          <w:tcPr>
            <w:tcW w:w="3210" w:type="dxa"/>
          </w:tcPr>
          <w:p w14:paraId="76309E6C" w14:textId="5E1BF0BF" w:rsidR="00462845" w:rsidRDefault="00462845" w:rsidP="00462845">
            <w:pPr>
              <w:pStyle w:val="VCAAtablecondensed"/>
            </w:pPr>
            <w:r w:rsidRPr="00EC3FDA">
              <w:t xml:space="preserve">1, </w:t>
            </w:r>
            <w:r>
              <w:t xml:space="preserve">2, 3, 9, </w:t>
            </w:r>
            <w:r w:rsidRPr="00EC3FDA">
              <w:t>10, 1</w:t>
            </w:r>
            <w:r>
              <w:t>1</w:t>
            </w:r>
          </w:p>
        </w:tc>
        <w:tc>
          <w:tcPr>
            <w:tcW w:w="3210" w:type="dxa"/>
          </w:tcPr>
          <w:p w14:paraId="423A83C1" w14:textId="3547673A" w:rsidR="00462845" w:rsidRDefault="00462845" w:rsidP="00462845">
            <w:pPr>
              <w:pStyle w:val="VCAAtablecondensed"/>
            </w:pPr>
            <w:r>
              <w:t>1, 2, 6,</w:t>
            </w:r>
            <w:r w:rsidRPr="00EC3FDA">
              <w:t xml:space="preserve"> </w:t>
            </w:r>
            <w:r>
              <w:t xml:space="preserve">9, </w:t>
            </w:r>
            <w:r w:rsidRPr="00EC3FDA">
              <w:t>10, 11, 12</w:t>
            </w:r>
          </w:p>
        </w:tc>
      </w:tr>
      <w:tr w:rsidR="00462845" w14:paraId="7DD1B723" w14:textId="77777777" w:rsidTr="001F450B">
        <w:tc>
          <w:tcPr>
            <w:tcW w:w="3209" w:type="dxa"/>
          </w:tcPr>
          <w:p w14:paraId="1BD0D37D" w14:textId="0715DA4A" w:rsidR="00462845" w:rsidRPr="000E2B81" w:rsidRDefault="00462845" w:rsidP="00462845">
            <w:pPr>
              <w:pStyle w:val="VCAAtablecondensed"/>
              <w:rPr>
                <w:bCs/>
              </w:rPr>
            </w:pPr>
            <w:r w:rsidRPr="00EC3FDA">
              <w:t>2</w:t>
            </w:r>
          </w:p>
        </w:tc>
        <w:tc>
          <w:tcPr>
            <w:tcW w:w="3210" w:type="dxa"/>
          </w:tcPr>
          <w:p w14:paraId="354E20D4" w14:textId="531FE3BB" w:rsidR="00462845" w:rsidRDefault="00462845" w:rsidP="00462845">
            <w:pPr>
              <w:pStyle w:val="VCAAtablecondensed"/>
            </w:pPr>
            <w:r w:rsidRPr="00EC3FDA">
              <w:t xml:space="preserve">1, 2, 3, </w:t>
            </w:r>
            <w:r>
              <w:t>5</w:t>
            </w:r>
          </w:p>
        </w:tc>
        <w:tc>
          <w:tcPr>
            <w:tcW w:w="3210" w:type="dxa"/>
          </w:tcPr>
          <w:p w14:paraId="114E2442" w14:textId="36DD2EAB" w:rsidR="00462845" w:rsidRDefault="00462845" w:rsidP="00462845">
            <w:pPr>
              <w:pStyle w:val="VCAAtablecondensed"/>
            </w:pPr>
            <w:r w:rsidRPr="00EC3FDA">
              <w:t>1, 2, 4, 5</w:t>
            </w:r>
            <w:r>
              <w:t>, 6, 7</w:t>
            </w:r>
          </w:p>
        </w:tc>
      </w:tr>
      <w:tr w:rsidR="00462845" w14:paraId="238FE59E" w14:textId="77777777" w:rsidTr="001F450B">
        <w:tc>
          <w:tcPr>
            <w:tcW w:w="3209" w:type="dxa"/>
          </w:tcPr>
          <w:p w14:paraId="716BBEA3" w14:textId="602AF1BE" w:rsidR="00462845" w:rsidRPr="000E2B81" w:rsidRDefault="00462845" w:rsidP="00462845">
            <w:pPr>
              <w:pStyle w:val="VCAAtablecondensed"/>
              <w:rPr>
                <w:bCs/>
              </w:rPr>
            </w:pPr>
            <w:r w:rsidRPr="00EC3FDA">
              <w:t>3</w:t>
            </w:r>
          </w:p>
        </w:tc>
        <w:tc>
          <w:tcPr>
            <w:tcW w:w="3210" w:type="dxa"/>
          </w:tcPr>
          <w:p w14:paraId="4D7D560B" w14:textId="229BD4F5" w:rsidR="00462845" w:rsidRDefault="00462845" w:rsidP="00462845">
            <w:pPr>
              <w:pStyle w:val="VCAAtablecondensed"/>
            </w:pPr>
            <w:r w:rsidRPr="00EC3FDA">
              <w:t xml:space="preserve">1, 2, 3, 4, </w:t>
            </w:r>
            <w:r>
              <w:t>5, 8</w:t>
            </w:r>
          </w:p>
        </w:tc>
        <w:tc>
          <w:tcPr>
            <w:tcW w:w="3210" w:type="dxa"/>
          </w:tcPr>
          <w:p w14:paraId="5C5AD450" w14:textId="360DF1F6" w:rsidR="00462845" w:rsidRDefault="00462845" w:rsidP="00462845">
            <w:pPr>
              <w:pStyle w:val="VCAAtablecondensed"/>
            </w:pPr>
            <w:r>
              <w:t xml:space="preserve">1, </w:t>
            </w:r>
            <w:r w:rsidRPr="00EC3FDA">
              <w:t xml:space="preserve">2, 3, 4, 5, 6, </w:t>
            </w:r>
            <w:r>
              <w:t>7</w:t>
            </w:r>
            <w:r w:rsidRPr="00EC3FDA">
              <w:t>, 9, 11</w:t>
            </w:r>
            <w:r>
              <w:t>, 12</w:t>
            </w:r>
          </w:p>
        </w:tc>
      </w:tr>
    </w:tbl>
    <w:p w14:paraId="6268AF18" w14:textId="77777777" w:rsidR="00462845" w:rsidRDefault="00462845" w:rsidP="00462845">
      <w:pPr>
        <w:pStyle w:val="VCAAbody"/>
      </w:pPr>
    </w:p>
    <w:sectPr w:rsidR="00462845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BFCE8E7" w:rsidR="00FD29D3" w:rsidRPr="00D86DE4" w:rsidRDefault="001339E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2B81">
          <w:rPr>
            <w:color w:val="999999" w:themeColor="accent2"/>
          </w:rPr>
          <w:t>VCE Mathematical Methods Unit 3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E2B81"/>
    <w:rsid w:val="000F09E4"/>
    <w:rsid w:val="000F16FD"/>
    <w:rsid w:val="000F5AAF"/>
    <w:rsid w:val="001339E7"/>
    <w:rsid w:val="00143520"/>
    <w:rsid w:val="00153AD2"/>
    <w:rsid w:val="001779EA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3962"/>
    <w:rsid w:val="00827233"/>
    <w:rsid w:val="00850410"/>
    <w:rsid w:val="00852719"/>
    <w:rsid w:val="00852BD0"/>
    <w:rsid w:val="00860115"/>
    <w:rsid w:val="0088783C"/>
    <w:rsid w:val="009370BC"/>
    <w:rsid w:val="00970580"/>
    <w:rsid w:val="00984E15"/>
    <w:rsid w:val="0098739B"/>
    <w:rsid w:val="009A0DA4"/>
    <w:rsid w:val="009A192D"/>
    <w:rsid w:val="009B61E5"/>
    <w:rsid w:val="009D1E89"/>
    <w:rsid w:val="009E5707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55BB"/>
    <w:rsid w:val="00BB3BAB"/>
    <w:rsid w:val="00BD0724"/>
    <w:rsid w:val="00BD2B91"/>
    <w:rsid w:val="00BE5521"/>
    <w:rsid w:val="00BF41AE"/>
    <w:rsid w:val="00BF6C23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EC70E6"/>
    <w:rsid w:val="00F17FDE"/>
    <w:rsid w:val="00F40D53"/>
    <w:rsid w:val="00F4525C"/>
    <w:rsid w:val="00F50D86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A729F"/>
    <w:rsid w:val="007F01C9"/>
    <w:rsid w:val="00834D62"/>
    <w:rsid w:val="009325D2"/>
    <w:rsid w:val="00DA5894"/>
    <w:rsid w:val="00E14341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2B75B9-2572-4DDC-8B85-08486D613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3</vt:lpstr>
    </vt:vector>
  </TitlesOfParts>
  <Company>Victorian Curriculum and Assessment Authority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3</dc:title>
  <dc:subject>VCE Mathematical Methods</dc:subject>
  <dc:creator>vcaa@education.vic.gov.au</dc:creator>
  <cp:keywords>mathematical methods, VCE, sample, application, task, investigating, polynomial, functions unit 3</cp:keywords>
  <cp:lastModifiedBy>Julie Coleman</cp:lastModifiedBy>
  <cp:revision>4</cp:revision>
  <cp:lastPrinted>2015-05-15T02:36:00Z</cp:lastPrinted>
  <dcterms:created xsi:type="dcterms:W3CDTF">2022-12-20T02:12:00Z</dcterms:created>
  <dcterms:modified xsi:type="dcterms:W3CDTF">2023-01-23T22:19:00Z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