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A5A8948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</w:t>
      </w:r>
      <w:r w:rsidR="0077468E">
        <w:br/>
      </w:r>
      <w:r>
        <w:t>Unit</w:t>
      </w:r>
      <w:r w:rsidR="0077468E">
        <w:t>s</w:t>
      </w:r>
      <w:r>
        <w:t xml:space="preserve"> </w:t>
      </w:r>
      <w:r w:rsidR="0077468E">
        <w:t>3 and 4</w:t>
      </w:r>
    </w:p>
    <w:p w14:paraId="74E62D52" w14:textId="66E5A3BD" w:rsidR="00243F0D" w:rsidRPr="00624919" w:rsidRDefault="00962404" w:rsidP="00624919">
      <w:pPr>
        <w:pStyle w:val="VCAAHeading1"/>
      </w:pPr>
      <w:bookmarkStart w:id="0" w:name="TemplateOverview"/>
      <w:bookmarkEnd w:id="0"/>
      <w:r w:rsidRPr="00624919">
        <w:t>Area</w:t>
      </w:r>
      <w:r w:rsidR="0077468E">
        <w:t>s</w:t>
      </w:r>
      <w:r w:rsidRPr="00624919">
        <w:t xml:space="preserve"> of Study</w:t>
      </w:r>
      <w:r w:rsidR="0077468E">
        <w:t xml:space="preserve"> 1 and</w:t>
      </w:r>
      <w:r w:rsidR="00AA6397" w:rsidRPr="00624919">
        <w:t xml:space="preserve"> </w:t>
      </w:r>
      <w:r w:rsidR="00801881">
        <w:t>3</w:t>
      </w:r>
    </w:p>
    <w:p w14:paraId="5A798B74" w14:textId="6E97C044" w:rsidR="00962404" w:rsidRPr="00624919" w:rsidRDefault="00962404" w:rsidP="00801881">
      <w:pPr>
        <w:pStyle w:val="VCAAHeading2"/>
        <w:ind w:right="-142"/>
      </w:pPr>
      <w:r w:rsidRPr="00624919">
        <w:t xml:space="preserve">Example of learning activity: </w:t>
      </w:r>
      <w:r w:rsidR="009D6BBE">
        <w:t>Antiderivatives from derivatives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125CB28B" w14:textId="4EBFF43C" w:rsidR="00D12E5B" w:rsidRDefault="00D12E5B" w:rsidP="00D12E5B">
      <w:pPr>
        <w:pStyle w:val="VCAAbody"/>
      </w:pPr>
      <w:r w:rsidRPr="008E3D93">
        <w:t xml:space="preserve">This </w:t>
      </w:r>
      <w:r>
        <w:t xml:space="preserve">learning activity looks at how differentiation of particular functions with rules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×f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,</w:t>
      </w:r>
      <w:r w:rsidRPr="00F32792">
        <w:rPr>
          <w:rFonts w:eastAsia="Times New Roman"/>
        </w:rPr>
        <w:t xml:space="preserve"> where </w:t>
      </w:r>
      <w:r w:rsidRPr="00011F01">
        <w:rPr>
          <w:rFonts w:ascii="Times New Roman" w:eastAsia="Times New Roman" w:hAnsi="Times New Roman" w:cs="Times New Roman"/>
          <w:i/>
          <w:sz w:val="22"/>
        </w:rPr>
        <w:t>n</w:t>
      </w:r>
      <w:r w:rsidRPr="00F32792">
        <w:rPr>
          <w:rFonts w:eastAsia="Times New Roman"/>
          <w:i/>
        </w:rPr>
        <w:t xml:space="preserve"> </w:t>
      </w:r>
      <w:r w:rsidRPr="00F32792">
        <w:rPr>
          <w:rFonts w:eastAsia="Times New Roman"/>
        </w:rPr>
        <w:t xml:space="preserve">is a positive integer, </w:t>
      </w:r>
      <w:r>
        <w:t xml:space="preserve">leads to finding an antiderivative of a closely related function. This technique </w:t>
      </w:r>
      <w:r>
        <w:br/>
        <w:t>is sometimes known as integration by recognition.</w:t>
      </w:r>
    </w:p>
    <w:p w14:paraId="093A3400" w14:textId="77777777" w:rsidR="00D12E5B" w:rsidRPr="008E3D93" w:rsidRDefault="00D12E5B" w:rsidP="00D12E5B">
      <w:pPr>
        <w:pStyle w:val="VCAAHeading4"/>
      </w:pPr>
      <w:r>
        <w:t>Part 1</w:t>
      </w:r>
    </w:p>
    <w:p w14:paraId="18E98BA4" w14:textId="77777777" w:rsidR="00D12E5B" w:rsidRDefault="00D12E5B" w:rsidP="00D12E5B">
      <w:pPr>
        <w:pStyle w:val="VCAAbody"/>
      </w:pPr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F32792">
        <w:t xml:space="preserve"> and consider derivatives of functions of the form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n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x</m:t>
            </m:r>
          </m:sup>
        </m:sSup>
      </m:oMath>
      <w:r>
        <w:t>.</w:t>
      </w:r>
    </w:p>
    <w:p w14:paraId="529EC96D" w14:textId="77777777" w:rsidR="00D12E5B" w:rsidRDefault="00D12E5B" w:rsidP="00D12E5B">
      <w:pPr>
        <w:pStyle w:val="VCAAnumbers"/>
        <w:numPr>
          <w:ilvl w:val="0"/>
          <w:numId w:val="47"/>
        </w:numPr>
        <w:tabs>
          <w:tab w:val="left" w:pos="425"/>
        </w:tabs>
        <w:spacing w:before="120" w:after="120" w:line="280" w:lineRule="exact"/>
        <w:contextualSpacing/>
      </w:pPr>
      <w:r>
        <w:t xml:space="preserve">Differentiate </w:t>
      </w:r>
      <m:oMath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F32792">
        <w:t xml:space="preserve"> and hence find an antiderivative for </w:t>
      </w:r>
      <m:oMath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.</w:t>
      </w:r>
    </w:p>
    <w:p w14:paraId="30A232F0" w14:textId="77777777" w:rsidR="00D12E5B" w:rsidRDefault="00D12E5B" w:rsidP="00D12E5B">
      <w:pPr>
        <w:pStyle w:val="VCAAnumbers"/>
        <w:numPr>
          <w:ilvl w:val="0"/>
          <w:numId w:val="47"/>
        </w:numPr>
        <w:tabs>
          <w:tab w:val="left" w:pos="425"/>
        </w:tabs>
        <w:spacing w:before="120" w:after="120" w:line="280" w:lineRule="exact"/>
        <w:contextualSpacing/>
      </w:pPr>
      <w:r>
        <w:t xml:space="preserve">Differentiate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F32792">
        <w:t xml:space="preserve"> and hence find an antiderivative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.</w:t>
      </w:r>
    </w:p>
    <w:p w14:paraId="598900F2" w14:textId="77777777" w:rsidR="00D12E5B" w:rsidRDefault="00D12E5B" w:rsidP="00D12E5B">
      <w:pPr>
        <w:pStyle w:val="VCAAnumbers"/>
        <w:numPr>
          <w:ilvl w:val="0"/>
          <w:numId w:val="47"/>
        </w:numPr>
        <w:tabs>
          <w:tab w:val="left" w:pos="425"/>
        </w:tabs>
        <w:spacing w:before="120" w:after="120" w:line="280" w:lineRule="exact"/>
        <w:contextualSpacing/>
      </w:pPr>
      <w:r>
        <w:t xml:space="preserve">Differentiate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F32792">
        <w:t xml:space="preserve"> and hence find an antiderivative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.</w:t>
      </w:r>
    </w:p>
    <w:p w14:paraId="77F622FF" w14:textId="77777777" w:rsidR="00D12E5B" w:rsidRDefault="00D12E5B" w:rsidP="00D12E5B">
      <w:pPr>
        <w:pStyle w:val="VCAAbody"/>
      </w:pPr>
      <w:r w:rsidRPr="006954D4">
        <w:t xml:space="preserve">Describe a general process for finding an antiderivative for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n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x</m:t>
            </m:r>
          </m:sup>
        </m:sSup>
      </m:oMath>
      <w:r>
        <w:t>.</w:t>
      </w:r>
    </w:p>
    <w:p w14:paraId="38A97DBC" w14:textId="77777777" w:rsidR="00D12E5B" w:rsidRPr="0001026E" w:rsidRDefault="00D12E5B" w:rsidP="00D12E5B">
      <w:pPr>
        <w:pStyle w:val="VCAAHeading4"/>
      </w:pPr>
      <w:r w:rsidRPr="0001026E">
        <w:t>Part 2</w:t>
      </w:r>
    </w:p>
    <w:p w14:paraId="59495AC1" w14:textId="77777777" w:rsidR="00D12E5B" w:rsidRDefault="00D12E5B" w:rsidP="00D12E5B">
      <w:pPr>
        <w:pStyle w:val="VCAAbody"/>
      </w:pPr>
      <w:r>
        <w:t>Repeat this analysis for:</w:t>
      </w:r>
    </w:p>
    <w:p w14:paraId="6E2B8690" w14:textId="77777777" w:rsidR="00D12E5B" w:rsidRPr="00933F9C" w:rsidRDefault="00D12E5B" w:rsidP="00D12E5B">
      <w:pPr>
        <w:pStyle w:val="VCAAnumbers"/>
        <w:numPr>
          <w:ilvl w:val="0"/>
          <w:numId w:val="48"/>
        </w:numPr>
        <w:tabs>
          <w:tab w:val="left" w:pos="425"/>
        </w:tabs>
        <w:spacing w:before="120" w:after="120" w:line="280" w:lineRule="exact"/>
        <w:contextualSpacing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</w:p>
    <w:p w14:paraId="16D62419" w14:textId="77777777" w:rsidR="00D12E5B" w:rsidRPr="008130D7" w:rsidRDefault="00D12E5B" w:rsidP="00D12E5B">
      <w:pPr>
        <w:pStyle w:val="VCAAnumbers"/>
        <w:numPr>
          <w:ilvl w:val="0"/>
          <w:numId w:val="48"/>
        </w:numPr>
        <w:tabs>
          <w:tab w:val="left" w:pos="425"/>
        </w:tabs>
        <w:spacing w:before="120" w:after="120" w:line="280" w:lineRule="exact"/>
        <w:contextualSpacing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(x)</m:t>
        </m:r>
      </m:oMath>
      <w:r>
        <w:t>.</w:t>
      </w:r>
    </w:p>
    <w:p w14:paraId="30338835" w14:textId="77777777" w:rsidR="00D12E5B" w:rsidRPr="0001026E" w:rsidRDefault="00D12E5B" w:rsidP="00D12E5B">
      <w:pPr>
        <w:pStyle w:val="VCAAHeading3"/>
      </w:pPr>
      <w:r w:rsidRPr="0001026E">
        <w:t>Areas of study</w:t>
      </w:r>
    </w:p>
    <w:p w14:paraId="43FD2AC7" w14:textId="48B4BE7A" w:rsidR="00D12E5B" w:rsidRDefault="00D12E5B" w:rsidP="00D12E5B">
      <w:pPr>
        <w:pStyle w:val="VCAAbody"/>
      </w:pPr>
      <w:r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D12E5B" w:rsidRPr="00485F20" w14:paraId="643EC34C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36BF4ECC" w14:textId="77777777" w:rsidR="00D12E5B" w:rsidRPr="00485F20" w:rsidRDefault="00D12E5B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Units 3 and 4</w:t>
            </w:r>
          </w:p>
        </w:tc>
      </w:tr>
      <w:tr w:rsidR="00D12E5B" w:rsidRPr="00485F20" w14:paraId="4D9380FF" w14:textId="77777777" w:rsidTr="00F06AD1">
        <w:tc>
          <w:tcPr>
            <w:tcW w:w="4463" w:type="dxa"/>
            <w:shd w:val="clear" w:color="auto" w:fill="auto"/>
          </w:tcPr>
          <w:p w14:paraId="56D7169F" w14:textId="77777777" w:rsidR="00D12E5B" w:rsidRPr="00485F20" w:rsidRDefault="00D12E5B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148BADB4" w14:textId="144B0CBC" w:rsidR="00D12E5B" w:rsidRPr="00485F20" w:rsidRDefault="00D12E5B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D12E5B" w14:paraId="023DEBC3" w14:textId="77777777" w:rsidTr="00F06AD1">
        <w:tc>
          <w:tcPr>
            <w:tcW w:w="4463" w:type="dxa"/>
          </w:tcPr>
          <w:p w14:paraId="2EC88FBA" w14:textId="53205127" w:rsidR="00D12E5B" w:rsidRDefault="00D12E5B" w:rsidP="00D12E5B">
            <w:pPr>
              <w:pStyle w:val="VCAAtablecondensed"/>
            </w:pPr>
            <w:r w:rsidRPr="00F32792">
              <w:t>Functions</w:t>
            </w:r>
            <w:r w:rsidRPr="002C732C">
              <w:t>, relations and graphs</w:t>
            </w:r>
          </w:p>
        </w:tc>
        <w:tc>
          <w:tcPr>
            <w:tcW w:w="4463" w:type="dxa"/>
          </w:tcPr>
          <w:p w14:paraId="5F3EAB49" w14:textId="49953D30" w:rsidR="00D12E5B" w:rsidRDefault="00D12E5B" w:rsidP="00D12E5B">
            <w:pPr>
              <w:pStyle w:val="VCAAtablecondensed"/>
              <w:rPr>
                <w:lang w:val="en-AU"/>
              </w:rPr>
            </w:pPr>
            <w:r w:rsidRPr="00F32792">
              <w:t>2, 5</w:t>
            </w:r>
          </w:p>
        </w:tc>
      </w:tr>
      <w:tr w:rsidR="00D12E5B" w14:paraId="5010C7E3" w14:textId="77777777" w:rsidTr="00F06AD1">
        <w:tc>
          <w:tcPr>
            <w:tcW w:w="4463" w:type="dxa"/>
          </w:tcPr>
          <w:p w14:paraId="1C8A3BF5" w14:textId="61B31F69" w:rsidR="00D12E5B" w:rsidRDefault="00D12E5B" w:rsidP="00D12E5B">
            <w:pPr>
              <w:pStyle w:val="VCAAtablecondensed"/>
              <w:rPr>
                <w:lang w:val="en-AU"/>
              </w:rPr>
            </w:pPr>
            <w:r w:rsidRPr="00F32792">
              <w:t>Algebra</w:t>
            </w:r>
            <w:r w:rsidRPr="002C732C">
              <w:t xml:space="preserve">, number and structure </w:t>
            </w:r>
          </w:p>
        </w:tc>
        <w:tc>
          <w:tcPr>
            <w:tcW w:w="4463" w:type="dxa"/>
          </w:tcPr>
          <w:p w14:paraId="7E2AEE9C" w14:textId="4C914FA9" w:rsidR="00D12E5B" w:rsidRDefault="00D12E5B" w:rsidP="00D12E5B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D12E5B" w14:paraId="03A82F51" w14:textId="77777777" w:rsidTr="00F06AD1">
        <w:tc>
          <w:tcPr>
            <w:tcW w:w="4463" w:type="dxa"/>
          </w:tcPr>
          <w:p w14:paraId="2ED13AFD" w14:textId="78377909" w:rsidR="00D12E5B" w:rsidRDefault="00D12E5B" w:rsidP="00D12E5B">
            <w:pPr>
              <w:pStyle w:val="VCAAtablecondensed"/>
              <w:rPr>
                <w:lang w:val="en-AU"/>
              </w:rPr>
            </w:pPr>
            <w:r w:rsidRPr="00F32792">
              <w:t>Calculus</w:t>
            </w:r>
          </w:p>
        </w:tc>
        <w:tc>
          <w:tcPr>
            <w:tcW w:w="4463" w:type="dxa"/>
          </w:tcPr>
          <w:p w14:paraId="2BD0C87D" w14:textId="2F124DD8" w:rsidR="00D12E5B" w:rsidRDefault="00D12E5B" w:rsidP="00D12E5B">
            <w:pPr>
              <w:pStyle w:val="VCAAtablecondensed"/>
              <w:rPr>
                <w:lang w:val="en-AU"/>
              </w:rPr>
            </w:pPr>
            <w:r w:rsidRPr="00F32792">
              <w:t>3, 5</w:t>
            </w:r>
          </w:p>
        </w:tc>
      </w:tr>
      <w:tr w:rsidR="00D12E5B" w14:paraId="6E9E2822" w14:textId="77777777" w:rsidTr="00F06AD1">
        <w:tc>
          <w:tcPr>
            <w:tcW w:w="4463" w:type="dxa"/>
          </w:tcPr>
          <w:p w14:paraId="662BE9F9" w14:textId="19CBC65F" w:rsidR="00D12E5B" w:rsidRDefault="00D12E5B" w:rsidP="00D12E5B">
            <w:pPr>
              <w:pStyle w:val="VCAAtablecondensed"/>
            </w:pPr>
            <w:r w:rsidRPr="002C732C">
              <w:t xml:space="preserve">Data analysis, </w:t>
            </w:r>
            <w:r>
              <w:t>p</w:t>
            </w:r>
            <w:r w:rsidRPr="00F32792">
              <w:t>robability and statistics</w:t>
            </w:r>
          </w:p>
        </w:tc>
        <w:tc>
          <w:tcPr>
            <w:tcW w:w="4463" w:type="dxa"/>
          </w:tcPr>
          <w:p w14:paraId="3DBBF476" w14:textId="619BEDD2" w:rsidR="00D12E5B" w:rsidRDefault="00D12E5B" w:rsidP="00D12E5B">
            <w:pPr>
              <w:pStyle w:val="VCAAtablecondensed"/>
            </w:pPr>
            <w:r>
              <w:t>–</w:t>
            </w:r>
          </w:p>
        </w:tc>
      </w:tr>
    </w:tbl>
    <w:p w14:paraId="7509E789" w14:textId="77777777" w:rsidR="00D12E5B" w:rsidRPr="0001026E" w:rsidRDefault="00D12E5B" w:rsidP="00D12E5B">
      <w:pPr>
        <w:pStyle w:val="VCAAHeading3"/>
      </w:pPr>
      <w:r w:rsidRPr="0001026E">
        <w:lastRenderedPageBreak/>
        <w:t>Outcomes</w:t>
      </w:r>
    </w:p>
    <w:p w14:paraId="1804772C" w14:textId="7DCA6947" w:rsidR="00D12E5B" w:rsidRDefault="00D12E5B" w:rsidP="00D12E5B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D12E5B" w:rsidRPr="00FA2380" w14:paraId="609E4F97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062550ED" w14:textId="77777777" w:rsidR="00D12E5B" w:rsidRPr="00FA2380" w:rsidRDefault="00D12E5B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Units 3 and 4</w:t>
            </w:r>
          </w:p>
        </w:tc>
      </w:tr>
      <w:tr w:rsidR="00D12E5B" w:rsidRPr="00FA2380" w14:paraId="7972E730" w14:textId="77777777" w:rsidTr="00F06AD1">
        <w:tc>
          <w:tcPr>
            <w:tcW w:w="2975" w:type="dxa"/>
            <w:shd w:val="clear" w:color="auto" w:fill="auto"/>
          </w:tcPr>
          <w:p w14:paraId="3460363D" w14:textId="77777777" w:rsidR="00D12E5B" w:rsidRPr="00E850AC" w:rsidRDefault="00D12E5B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6A0D8897" w14:textId="77777777" w:rsidR="00D12E5B" w:rsidRPr="00E850AC" w:rsidRDefault="00D12E5B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s</w:t>
            </w:r>
          </w:p>
        </w:tc>
        <w:tc>
          <w:tcPr>
            <w:tcW w:w="2976" w:type="dxa"/>
            <w:shd w:val="clear" w:color="auto" w:fill="auto"/>
          </w:tcPr>
          <w:p w14:paraId="243DFF2B" w14:textId="0E9D5B47" w:rsidR="00D12E5B" w:rsidRPr="00E850AC" w:rsidRDefault="00D12E5B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ts</w:t>
            </w:r>
          </w:p>
        </w:tc>
      </w:tr>
      <w:tr w:rsidR="00D12E5B" w14:paraId="0A2F4623" w14:textId="77777777" w:rsidTr="00F06AD1">
        <w:tc>
          <w:tcPr>
            <w:tcW w:w="2975" w:type="dxa"/>
          </w:tcPr>
          <w:p w14:paraId="481C2315" w14:textId="34614E5E" w:rsidR="00D12E5B" w:rsidRPr="000E2B81" w:rsidRDefault="00D12E5B" w:rsidP="00D12E5B">
            <w:pPr>
              <w:pStyle w:val="VCAAtablecondensed"/>
              <w:rPr>
                <w:bCs/>
              </w:rPr>
            </w:pPr>
            <w:r w:rsidRPr="00F32792">
              <w:t>1</w:t>
            </w:r>
          </w:p>
        </w:tc>
        <w:tc>
          <w:tcPr>
            <w:tcW w:w="2975" w:type="dxa"/>
          </w:tcPr>
          <w:p w14:paraId="7A7AC633" w14:textId="1C2FAF8F" w:rsidR="00D12E5B" w:rsidRDefault="00D12E5B" w:rsidP="00D12E5B">
            <w:pPr>
              <w:pStyle w:val="VCAAtablecondensed"/>
            </w:pPr>
            <w:r w:rsidRPr="00F32792">
              <w:t>1, 4, 7</w:t>
            </w:r>
            <w:r>
              <w:t>, 10</w:t>
            </w:r>
          </w:p>
        </w:tc>
        <w:tc>
          <w:tcPr>
            <w:tcW w:w="2976" w:type="dxa"/>
          </w:tcPr>
          <w:p w14:paraId="5312901B" w14:textId="70B00CE0" w:rsidR="00D12E5B" w:rsidRDefault="00D12E5B" w:rsidP="00D12E5B">
            <w:pPr>
              <w:pStyle w:val="VCAAtablecondensed"/>
            </w:pPr>
            <w:r w:rsidRPr="00F32792">
              <w:t>1, 11, 13</w:t>
            </w:r>
          </w:p>
        </w:tc>
      </w:tr>
      <w:tr w:rsidR="00D12E5B" w14:paraId="396DFA67" w14:textId="77777777" w:rsidTr="00F06AD1">
        <w:tc>
          <w:tcPr>
            <w:tcW w:w="2975" w:type="dxa"/>
          </w:tcPr>
          <w:p w14:paraId="52A25686" w14:textId="4A336953" w:rsidR="00D12E5B" w:rsidRPr="000E2B81" w:rsidRDefault="00D12E5B" w:rsidP="00D12E5B">
            <w:pPr>
              <w:pStyle w:val="VCAAtablecondensed"/>
              <w:rPr>
                <w:bCs/>
              </w:rPr>
            </w:pPr>
            <w:r w:rsidRPr="00F32792">
              <w:t>2</w:t>
            </w:r>
          </w:p>
        </w:tc>
        <w:tc>
          <w:tcPr>
            <w:tcW w:w="2975" w:type="dxa"/>
          </w:tcPr>
          <w:p w14:paraId="38DE3A28" w14:textId="42E12F06" w:rsidR="00D12E5B" w:rsidRDefault="00D12E5B" w:rsidP="00D12E5B">
            <w:pPr>
              <w:pStyle w:val="VCAAtablecondensed"/>
            </w:pPr>
            <w:r w:rsidRPr="00F32792">
              <w:t xml:space="preserve">1, 2, </w:t>
            </w:r>
            <w:r>
              <w:t>5</w:t>
            </w:r>
          </w:p>
        </w:tc>
        <w:tc>
          <w:tcPr>
            <w:tcW w:w="2976" w:type="dxa"/>
          </w:tcPr>
          <w:p w14:paraId="4069E474" w14:textId="4A9D748D" w:rsidR="00D12E5B" w:rsidRDefault="00D12E5B" w:rsidP="00D12E5B">
            <w:pPr>
              <w:pStyle w:val="VCAAtablecondensed"/>
            </w:pPr>
            <w:r w:rsidRPr="00F32792">
              <w:t xml:space="preserve">1, 2, 3, </w:t>
            </w:r>
            <w:r>
              <w:t>6</w:t>
            </w:r>
          </w:p>
        </w:tc>
      </w:tr>
      <w:tr w:rsidR="00D12E5B" w14:paraId="5B8B0D58" w14:textId="77777777" w:rsidTr="00F06AD1">
        <w:tc>
          <w:tcPr>
            <w:tcW w:w="2975" w:type="dxa"/>
          </w:tcPr>
          <w:p w14:paraId="4B2C071A" w14:textId="63A546B2" w:rsidR="00D12E5B" w:rsidRPr="000E2B81" w:rsidRDefault="00D12E5B" w:rsidP="00D12E5B">
            <w:pPr>
              <w:pStyle w:val="VCAAtablecondensed"/>
              <w:rPr>
                <w:bCs/>
              </w:rPr>
            </w:pPr>
            <w:r w:rsidRPr="00F32792">
              <w:t>3</w:t>
            </w:r>
          </w:p>
        </w:tc>
        <w:tc>
          <w:tcPr>
            <w:tcW w:w="2975" w:type="dxa"/>
          </w:tcPr>
          <w:p w14:paraId="7319476F" w14:textId="54FF45EF" w:rsidR="00D12E5B" w:rsidRDefault="00D12E5B" w:rsidP="00D12E5B">
            <w:pPr>
              <w:pStyle w:val="VCAAtablecondensed"/>
            </w:pPr>
            <w:r>
              <w:t>3</w:t>
            </w:r>
            <w:r w:rsidRPr="00F32792">
              <w:t>, 4</w:t>
            </w:r>
          </w:p>
        </w:tc>
        <w:tc>
          <w:tcPr>
            <w:tcW w:w="2976" w:type="dxa"/>
          </w:tcPr>
          <w:p w14:paraId="2BD6691B" w14:textId="65CF7380" w:rsidR="00D12E5B" w:rsidRDefault="00D12E5B" w:rsidP="00D12E5B">
            <w:pPr>
              <w:pStyle w:val="VCAAtablecondensed"/>
            </w:pPr>
            <w:r w:rsidRPr="00F32792">
              <w:t xml:space="preserve">3, </w:t>
            </w:r>
            <w:r>
              <w:t xml:space="preserve">5, </w:t>
            </w:r>
            <w:r w:rsidRPr="00F32792">
              <w:t>6</w:t>
            </w:r>
          </w:p>
        </w:tc>
      </w:tr>
    </w:tbl>
    <w:p w14:paraId="5935BF8E" w14:textId="7E0280AD" w:rsidR="00D12E5B" w:rsidRDefault="00D12E5B" w:rsidP="00D12E5B">
      <w:pPr>
        <w:pStyle w:val="VCAAbody"/>
        <w:spacing w:after="0"/>
      </w:pPr>
    </w:p>
    <w:sectPr w:rsidR="00D12E5B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A385CBB" w:rsidR="00FD29D3" w:rsidRPr="00D86DE4" w:rsidRDefault="00011F0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5270">
          <w:rPr>
            <w:color w:val="999999" w:themeColor="accent2"/>
          </w:rPr>
          <w:t>VCE Mathematical Methods Unit</w:t>
        </w:r>
        <w:r w:rsidR="00B01B8A">
          <w:rPr>
            <w:color w:val="999999" w:themeColor="accent2"/>
          </w:rPr>
          <w:t>s</w:t>
        </w:r>
        <w:r w:rsidR="00805270">
          <w:rPr>
            <w:color w:val="999999" w:themeColor="accent2"/>
          </w:rPr>
          <w:t xml:space="preserve">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C5"/>
    <w:multiLevelType w:val="hybridMultilevel"/>
    <w:tmpl w:val="EB18988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24C5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4599"/>
    <w:multiLevelType w:val="hybridMultilevel"/>
    <w:tmpl w:val="7A74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A3B9F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070A5"/>
    <w:multiLevelType w:val="hybridMultilevel"/>
    <w:tmpl w:val="1276A8C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F7E2C"/>
    <w:multiLevelType w:val="hybridMultilevel"/>
    <w:tmpl w:val="658658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7885"/>
    <w:multiLevelType w:val="hybridMultilevel"/>
    <w:tmpl w:val="C5FCED9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5" w15:restartNumberingAfterBreak="0">
    <w:nsid w:val="63421CAE"/>
    <w:multiLevelType w:val="hybridMultilevel"/>
    <w:tmpl w:val="1158AB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8438C"/>
    <w:multiLevelType w:val="hybridMultilevel"/>
    <w:tmpl w:val="1158ABE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055A1"/>
    <w:multiLevelType w:val="hybridMultilevel"/>
    <w:tmpl w:val="AD64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32"/>
  </w:num>
  <w:num w:numId="5">
    <w:abstractNumId w:val="43"/>
  </w:num>
  <w:num w:numId="6">
    <w:abstractNumId w:val="4"/>
  </w:num>
  <w:num w:numId="7">
    <w:abstractNumId w:val="29"/>
  </w:num>
  <w:num w:numId="8">
    <w:abstractNumId w:val="20"/>
  </w:num>
  <w:num w:numId="9">
    <w:abstractNumId w:val="33"/>
  </w:num>
  <w:num w:numId="10">
    <w:abstractNumId w:val="11"/>
  </w:num>
  <w:num w:numId="11">
    <w:abstractNumId w:val="24"/>
  </w:num>
  <w:num w:numId="12">
    <w:abstractNumId w:val="31"/>
  </w:num>
  <w:num w:numId="13">
    <w:abstractNumId w:val="17"/>
  </w:num>
  <w:num w:numId="14">
    <w:abstractNumId w:val="21"/>
  </w:num>
  <w:num w:numId="15">
    <w:abstractNumId w:val="22"/>
  </w:num>
  <w:num w:numId="16">
    <w:abstractNumId w:val="15"/>
  </w:num>
  <w:num w:numId="17">
    <w:abstractNumId w:val="27"/>
  </w:num>
  <w:num w:numId="18">
    <w:abstractNumId w:val="42"/>
  </w:num>
  <w:num w:numId="19">
    <w:abstractNumId w:val="5"/>
  </w:num>
  <w:num w:numId="20">
    <w:abstractNumId w:val="23"/>
  </w:num>
  <w:num w:numId="21">
    <w:abstractNumId w:val="38"/>
  </w:num>
  <w:num w:numId="22">
    <w:abstractNumId w:val="40"/>
  </w:num>
  <w:num w:numId="23">
    <w:abstractNumId w:val="44"/>
  </w:num>
  <w:num w:numId="24">
    <w:abstractNumId w:val="1"/>
  </w:num>
  <w:num w:numId="25">
    <w:abstractNumId w:val="14"/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45"/>
  </w:num>
  <w:num w:numId="29">
    <w:abstractNumId w:val="16"/>
  </w:num>
  <w:num w:numId="30">
    <w:abstractNumId w:val="0"/>
  </w:num>
  <w:num w:numId="31">
    <w:abstractNumId w:val="10"/>
  </w:num>
  <w:num w:numId="32">
    <w:abstractNumId w:val="2"/>
  </w:num>
  <w:num w:numId="33">
    <w:abstractNumId w:val="9"/>
  </w:num>
  <w:num w:numId="34">
    <w:abstractNumId w:val="39"/>
  </w:num>
  <w:num w:numId="35">
    <w:abstractNumId w:val="28"/>
  </w:num>
  <w:num w:numId="36">
    <w:abstractNumId w:val="25"/>
  </w:num>
  <w:num w:numId="37">
    <w:abstractNumId w:val="36"/>
  </w:num>
  <w:num w:numId="38">
    <w:abstractNumId w:val="41"/>
  </w:num>
  <w:num w:numId="39">
    <w:abstractNumId w:val="3"/>
  </w:num>
  <w:num w:numId="40">
    <w:abstractNumId w:val="34"/>
  </w:num>
  <w:num w:numId="41">
    <w:abstractNumId w:val="7"/>
  </w:num>
  <w:num w:numId="42">
    <w:abstractNumId w:val="12"/>
  </w:num>
  <w:num w:numId="43">
    <w:abstractNumId w:val="6"/>
  </w:num>
  <w:num w:numId="44">
    <w:abstractNumId w:val="13"/>
  </w:num>
  <w:num w:numId="45">
    <w:abstractNumId w:val="37"/>
  </w:num>
  <w:num w:numId="46">
    <w:abstractNumId w:val="35"/>
  </w:num>
  <w:num w:numId="47">
    <w:abstractNumId w:val="18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11F01"/>
    <w:rsid w:val="0005780E"/>
    <w:rsid w:val="00065CC6"/>
    <w:rsid w:val="00093749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468E"/>
    <w:rsid w:val="00777727"/>
    <w:rsid w:val="007807F1"/>
    <w:rsid w:val="00781FB1"/>
    <w:rsid w:val="007C4ED7"/>
    <w:rsid w:val="007D1B6D"/>
    <w:rsid w:val="007E7F95"/>
    <w:rsid w:val="00801881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D6BBE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1B8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12E5B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D4FB2"/>
    <w:rsid w:val="00DE1909"/>
    <w:rsid w:val="00DE51DB"/>
    <w:rsid w:val="00E11872"/>
    <w:rsid w:val="00E148EE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3170F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42368-F664-44E1-8B59-60142FC701F5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Unit3 3 and 4</vt:lpstr>
    </vt:vector>
  </TitlesOfParts>
  <Company>Victorian Curriculum and Assessment Authority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Units 3 and 4</dc:title>
  <dc:subject>VCE Mathematical Methods</dc:subject>
  <dc:creator>vcaa@education.vic.gov.au</dc:creator>
  <cp:keywords>mathematical methods, VCE, product, function, units 3 and 4, AoS 1, 2, 3</cp:keywords>
  <cp:lastModifiedBy>Julie Coleman</cp:lastModifiedBy>
  <cp:revision>4</cp:revision>
  <cp:lastPrinted>2015-05-15T02:36:00Z</cp:lastPrinted>
  <dcterms:created xsi:type="dcterms:W3CDTF">2022-12-20T23:41:00Z</dcterms:created>
  <dcterms:modified xsi:type="dcterms:W3CDTF">2023-01-23T23:23:00Z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