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2615C75" w:rsidR="00F4525C" w:rsidRDefault="00C904AB" w:rsidP="009B61E5">
      <w:pPr>
        <w:pStyle w:val="VCAADocumenttitle"/>
      </w:pPr>
      <w:r>
        <w:t>VCE Mathematic</w:t>
      </w:r>
      <w:r w:rsidR="0041382E">
        <w:t>al Methods</w:t>
      </w:r>
      <w:r>
        <w:t xml:space="preserve"> Unit </w:t>
      </w:r>
      <w:r w:rsidR="00D219A2">
        <w:t>4</w:t>
      </w:r>
    </w:p>
    <w:p w14:paraId="74E62D52" w14:textId="2FFF0C74" w:rsidR="00243F0D" w:rsidRPr="009A192D" w:rsidRDefault="0041382E" w:rsidP="00827233">
      <w:pPr>
        <w:pStyle w:val="VCAAHeading2"/>
      </w:pPr>
      <w:bookmarkStart w:id="0" w:name="TemplateOverview"/>
      <w:bookmarkEnd w:id="0"/>
      <w:r w:rsidRPr="00852BD0">
        <w:t xml:space="preserve">Sample </w:t>
      </w:r>
      <w:r w:rsidR="00D219A2">
        <w:t>m</w:t>
      </w:r>
      <w:r w:rsidR="00D219A2" w:rsidRPr="009B09E8">
        <w:t>odelling or problem-solving task</w:t>
      </w:r>
      <w:r w:rsidR="00D219A2">
        <w:t>:</w:t>
      </w:r>
      <w:r w:rsidR="00D219A2" w:rsidRPr="009B09E8">
        <w:t xml:space="preserve"> </w:t>
      </w:r>
      <w:r w:rsidR="009B2060">
        <w:t>C</w:t>
      </w:r>
      <w:r w:rsidR="009B2060" w:rsidRPr="00F048B6">
        <w:t>lose to normal</w:t>
      </w:r>
    </w:p>
    <w:p w14:paraId="71457137" w14:textId="2E909F1A" w:rsidR="002B4C4E" w:rsidRPr="0084646A" w:rsidRDefault="00D219A2" w:rsidP="002B4C4E">
      <w:pPr>
        <w:pStyle w:val="VCAAbody"/>
        <w:rPr>
          <w:lang w:val="en-AU"/>
        </w:rPr>
      </w:pPr>
      <w:r w:rsidRPr="00EA475D">
        <w:t xml:space="preserve">The </w:t>
      </w:r>
      <w:r>
        <w:t>modelling or problem-solving task is to be of 2–3</w:t>
      </w:r>
      <w:r w:rsidRPr="00EA475D">
        <w:t xml:space="preserve"> hou</w:t>
      </w:r>
      <w:r>
        <w:t>rs’ duration over a period of 1 week</w:t>
      </w:r>
      <w:r w:rsidRPr="00EA475D">
        <w:t>.</w:t>
      </w:r>
    </w:p>
    <w:p w14:paraId="10153BC0" w14:textId="77777777" w:rsidR="002B4C4E" w:rsidRPr="0084646A" w:rsidRDefault="002B4C4E" w:rsidP="002B4C4E">
      <w:pPr>
        <w:pStyle w:val="VCAAHeading3"/>
      </w:pPr>
      <w:r w:rsidRPr="0084646A">
        <w:t>Introduction</w:t>
      </w:r>
    </w:p>
    <w:p w14:paraId="0CE63D7D" w14:textId="77777777" w:rsidR="00654A3F" w:rsidRPr="00F048B6" w:rsidRDefault="00654A3F" w:rsidP="00654A3F">
      <w:pPr>
        <w:pStyle w:val="VCAAbody"/>
        <w:rPr>
          <w:lang w:val="en-AU"/>
        </w:rPr>
      </w:pPr>
      <w:r w:rsidRPr="00F048B6">
        <w:rPr>
          <w:lang w:val="en-AU"/>
        </w:rPr>
        <w:t xml:space="preserve">A context such as the following could be used to develop a two-part problem-solving task </w:t>
      </w:r>
      <w:r>
        <w:rPr>
          <w:lang w:val="en-AU"/>
        </w:rPr>
        <w:t>that</w:t>
      </w:r>
      <w:r w:rsidRPr="00F048B6">
        <w:rPr>
          <w:lang w:val="en-AU"/>
        </w:rPr>
        <w:t xml:space="preserve"> involves a composition of functions leading to the standard normal distribution, and the use of simulations to investigate the distribution of proportions in probability experiments.</w:t>
      </w:r>
    </w:p>
    <w:p w14:paraId="77D19D94" w14:textId="77777777" w:rsidR="00654A3F" w:rsidRPr="00F048B6" w:rsidRDefault="00654A3F" w:rsidP="00654A3F">
      <w:pPr>
        <w:autoSpaceDE w:val="0"/>
        <w:autoSpaceDN w:val="0"/>
        <w:adjustRightInd w:val="0"/>
        <w:spacing w:after="0"/>
        <w:rPr>
          <w:rFonts w:ascii="Calibri" w:eastAsia="Calibri" w:hAnsi="Calibri" w:cs="HelveticaNeueLT-Roman"/>
          <w:lang w:val="en-AU"/>
        </w:rPr>
      </w:pPr>
    </w:p>
    <w:p w14:paraId="3F97274F" w14:textId="77777777" w:rsidR="00654A3F" w:rsidRPr="00F048B6" w:rsidRDefault="00654A3F" w:rsidP="00654A3F">
      <w:pPr>
        <w:autoSpaceDE w:val="0"/>
        <w:autoSpaceDN w:val="0"/>
        <w:adjustRightInd w:val="0"/>
        <w:spacing w:after="0"/>
        <w:jc w:val="center"/>
        <w:rPr>
          <w:rFonts w:ascii="Calibri" w:eastAsia="Calibri" w:hAnsi="Calibri" w:cs="HelveticaNeueLT-Roman"/>
          <w:lang w:val="en-AU"/>
        </w:rPr>
      </w:pPr>
      <w:r>
        <w:rPr>
          <w:rFonts w:ascii="Courier" w:eastAsia="Calibri" w:hAnsi="Courier" w:cs="Courier"/>
          <w:noProof/>
          <w:lang w:val="en-AU" w:eastAsia="en-AU"/>
        </w:rPr>
        <w:drawing>
          <wp:inline distT="0" distB="0" distL="0" distR="0" wp14:anchorId="076A72C7" wp14:editId="19C1E07C">
            <wp:extent cx="4000500" cy="2527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527300"/>
                    </a:xfrm>
                    <a:prstGeom prst="rect">
                      <a:avLst/>
                    </a:prstGeom>
                    <a:noFill/>
                    <a:ln>
                      <a:noFill/>
                    </a:ln>
                  </pic:spPr>
                </pic:pic>
              </a:graphicData>
            </a:graphic>
          </wp:inline>
        </w:drawing>
      </w:r>
    </w:p>
    <w:p w14:paraId="3AB51A30" w14:textId="77777777" w:rsidR="00654A3F" w:rsidRPr="00F048B6" w:rsidRDefault="00654A3F" w:rsidP="00654A3F">
      <w:pPr>
        <w:pStyle w:val="VCAAHeading4"/>
      </w:pPr>
      <w:r w:rsidRPr="00F048B6">
        <w:t>Part 1</w:t>
      </w:r>
    </w:p>
    <w:p w14:paraId="50BA67D9" w14:textId="77777777" w:rsidR="00654A3F" w:rsidRPr="00F048B6" w:rsidRDefault="00654A3F" w:rsidP="00654A3F">
      <w:pPr>
        <w:autoSpaceDE w:val="0"/>
        <w:autoSpaceDN w:val="0"/>
        <w:adjustRightInd w:val="0"/>
        <w:spacing w:after="0"/>
        <w:rPr>
          <w:rFonts w:ascii="Calibri" w:eastAsia="Calibri" w:hAnsi="Calibri" w:cs="HelveticaNeueLT-Roman"/>
          <w:lang w:val="en-AU"/>
        </w:rPr>
      </w:pPr>
      <w:r w:rsidRPr="00F048B6">
        <w:rPr>
          <w:rFonts w:ascii="Calibri" w:eastAsia="Calibri" w:hAnsi="Calibri" w:cs="HelveticaNeueLT-Roman"/>
          <w:lang w:val="en-AU"/>
        </w:rPr>
        <w:t xml:space="preserve">Let </w:t>
      </w:r>
      <m:oMath>
        <m:r>
          <w:rPr>
            <w:rFonts w:ascii="Cambria Math" w:eastAsia="Calibri" w:hAnsi="Cambria Math" w:cs="HelveticaNeueLT-Roman"/>
            <w:lang w:val="en-AU"/>
          </w:rPr>
          <m:t>f:R→R, f</m:t>
        </m:r>
        <m:d>
          <m:dPr>
            <m:ctrlPr>
              <w:rPr>
                <w:rFonts w:ascii="Cambria Math" w:eastAsia="Calibri" w:hAnsi="Cambria Math" w:cs="HelveticaNeueLT-Roman"/>
                <w:i/>
                <w:lang w:val="en-AU"/>
              </w:rPr>
            </m:ctrlPr>
          </m:dPr>
          <m:e>
            <m:r>
              <w:rPr>
                <w:rFonts w:ascii="Cambria Math" w:eastAsia="Calibri" w:hAnsi="Cambria Math" w:cs="HelveticaNeueLT-Roman"/>
                <w:lang w:val="en-AU"/>
              </w:rPr>
              <m:t>x</m:t>
            </m:r>
          </m:e>
        </m:d>
        <m:r>
          <w:rPr>
            <w:rFonts w:ascii="Cambria Math" w:eastAsia="Calibri" w:hAnsi="Cambria Math" w:cs="HelveticaNeueLT-Roman"/>
            <w:lang w:val="en-AU"/>
          </w:rPr>
          <m:t>=</m:t>
        </m:r>
        <m:sSup>
          <m:sSupPr>
            <m:ctrlPr>
              <w:rPr>
                <w:rFonts w:ascii="Cambria Math" w:eastAsia="Calibri" w:hAnsi="Cambria Math" w:cs="HelveticaNeueLT-Roman"/>
                <w:i/>
                <w:lang w:val="en-AU"/>
              </w:rPr>
            </m:ctrlPr>
          </m:sSupPr>
          <m:e>
            <m:r>
              <w:rPr>
                <w:rFonts w:ascii="Cambria Math" w:eastAsia="Calibri" w:hAnsi="Cambria Math" w:cs="HelveticaNeueLT-Roman"/>
                <w:lang w:val="en-AU"/>
              </w:rPr>
              <m:t>e</m:t>
            </m:r>
          </m:e>
          <m:sup>
            <m:r>
              <w:rPr>
                <w:rFonts w:ascii="Cambria Math" w:eastAsia="Calibri" w:hAnsi="Cambria Math" w:cs="HelveticaNeueLT-Roman"/>
                <w:lang w:val="en-AU"/>
              </w:rPr>
              <m:t>x</m:t>
            </m:r>
          </m:sup>
        </m:sSup>
      </m:oMath>
      <w:r w:rsidRPr="00F048B6">
        <w:rPr>
          <w:rFonts w:ascii="Calibri" w:eastAsia="Times New Roman" w:hAnsi="Calibri" w:cs="HelveticaNeueLT-Roman"/>
          <w:lang w:val="en-AU"/>
        </w:rPr>
        <w:t xml:space="preserve"> and</w:t>
      </w:r>
      <m:oMath>
        <m:r>
          <w:rPr>
            <w:rFonts w:ascii="Cambria Math" w:eastAsia="Times New Roman" w:hAnsi="Cambria Math" w:cs="HelveticaNeueLT-Roman"/>
            <w:lang w:val="en-AU"/>
          </w:rPr>
          <m:t xml:space="preserve"> g:R→R, g</m:t>
        </m:r>
        <m:d>
          <m:dPr>
            <m:ctrlPr>
              <w:rPr>
                <w:rFonts w:ascii="Cambria Math" w:eastAsia="Times New Roman" w:hAnsi="Cambria Math" w:cs="HelveticaNeueLT-Roman"/>
                <w:i/>
                <w:lang w:val="en-AU"/>
              </w:rPr>
            </m:ctrlPr>
          </m:dPr>
          <m:e>
            <m:r>
              <w:rPr>
                <w:rFonts w:ascii="Cambria Math" w:eastAsia="Times New Roman" w:hAnsi="Cambria Math" w:cs="HelveticaNeueLT-Roman"/>
                <w:lang w:val="en-AU"/>
              </w:rPr>
              <m:t>x</m:t>
            </m:r>
          </m:e>
        </m:d>
        <m:r>
          <w:rPr>
            <w:rFonts w:ascii="Cambria Math" w:eastAsia="Times New Roman" w:hAnsi="Cambria Math" w:cs="HelveticaNeueLT-Roman"/>
            <w:lang w:val="en-AU"/>
          </w:rPr>
          <m:t>= -</m:t>
        </m:r>
        <m:sSup>
          <m:sSupPr>
            <m:ctrlPr>
              <w:rPr>
                <w:rFonts w:ascii="Cambria Math" w:eastAsia="Times New Roman" w:hAnsi="Cambria Math" w:cs="HelveticaNeueLT-Roman"/>
                <w:i/>
                <w:lang w:val="en-AU"/>
              </w:rPr>
            </m:ctrlPr>
          </m:sSupPr>
          <m:e>
            <m:r>
              <w:rPr>
                <w:rFonts w:ascii="Cambria Math" w:eastAsia="Times New Roman" w:hAnsi="Cambria Math" w:cs="HelveticaNeueLT-Roman"/>
                <w:lang w:val="en-AU"/>
              </w:rPr>
              <m:t>x</m:t>
            </m:r>
          </m:e>
          <m:sup>
            <m:r>
              <w:rPr>
                <w:rFonts w:ascii="Cambria Math" w:eastAsia="Times New Roman" w:hAnsi="Cambria Math" w:cs="HelveticaNeueLT-Roman"/>
                <w:lang w:val="en-AU"/>
              </w:rPr>
              <m:t>2</m:t>
            </m:r>
          </m:sup>
        </m:sSup>
      </m:oMath>
      <w:r w:rsidRPr="00F048B6">
        <w:rPr>
          <w:rFonts w:ascii="Calibri" w:eastAsia="Times New Roman" w:hAnsi="Calibri" w:cs="HelveticaNeueLT-Roman"/>
          <w:lang w:val="en-AU"/>
        </w:rPr>
        <w:t>.</w:t>
      </w:r>
    </w:p>
    <w:p w14:paraId="1A2EC374" w14:textId="77777777" w:rsidR="00654A3F" w:rsidRPr="00F048B6" w:rsidRDefault="00654A3F" w:rsidP="00654A3F">
      <w:pPr>
        <w:pStyle w:val="VCAAnumbers"/>
        <w:numPr>
          <w:ilvl w:val="0"/>
          <w:numId w:val="20"/>
        </w:numPr>
        <w:tabs>
          <w:tab w:val="left" w:pos="425"/>
        </w:tabs>
        <w:spacing w:before="120" w:after="120" w:line="280" w:lineRule="exact"/>
        <w:contextualSpacing/>
        <w:rPr>
          <w:rFonts w:eastAsia="Calibri"/>
          <w:lang w:val="en-AU"/>
        </w:rPr>
      </w:pPr>
      <w:r w:rsidRPr="00F048B6">
        <w:rPr>
          <w:rFonts w:eastAsia="Calibri"/>
          <w:lang w:val="en-AU"/>
        </w:rPr>
        <w:t>Plot the graphs of</w:t>
      </w:r>
      <w:r w:rsidRPr="00F0166B">
        <w:rPr>
          <w:rFonts w:ascii="Times New Roman" w:eastAsia="Calibri" w:hAnsi="Times New Roman" w:cs="Times New Roman"/>
          <w:sz w:val="22"/>
          <w:lang w:val="en-AU"/>
        </w:rPr>
        <w:t xml:space="preserve"> </w:t>
      </w:r>
      <w:r w:rsidRPr="00F0166B">
        <w:rPr>
          <w:rFonts w:ascii="Times New Roman" w:eastAsia="Calibri" w:hAnsi="Times New Roman" w:cs="Times New Roman"/>
          <w:i/>
          <w:sz w:val="22"/>
          <w:lang w:val="en-AU"/>
        </w:rPr>
        <w:t>f</w:t>
      </w:r>
      <w:r w:rsidRPr="00F0166B">
        <w:rPr>
          <w:rFonts w:ascii="Times New Roman" w:eastAsia="Calibri" w:hAnsi="Times New Roman" w:cs="Times New Roman"/>
          <w:sz w:val="22"/>
          <w:lang w:val="en-AU"/>
        </w:rPr>
        <w:t xml:space="preserve">(x) </w:t>
      </w:r>
      <w:r w:rsidRPr="00F048B6">
        <w:rPr>
          <w:rFonts w:eastAsia="Calibri"/>
          <w:lang w:val="en-AU"/>
        </w:rPr>
        <w:t xml:space="preserve">and </w:t>
      </w:r>
      <w:r w:rsidRPr="00F0166B">
        <w:rPr>
          <w:rFonts w:ascii="Times New Roman" w:eastAsia="Calibri" w:hAnsi="Times New Roman" w:cs="Times New Roman"/>
          <w:i/>
          <w:sz w:val="22"/>
          <w:lang w:val="en-AU"/>
        </w:rPr>
        <w:t>g(x)</w:t>
      </w:r>
      <w:r w:rsidRPr="00F048B6">
        <w:rPr>
          <w:rFonts w:eastAsia="Calibri"/>
          <w:lang w:val="en-AU"/>
        </w:rPr>
        <w:t xml:space="preserve"> and explain how the shape of the graph of </w:t>
      </w:r>
      <w:r w:rsidRPr="00F0166B">
        <w:rPr>
          <w:rFonts w:ascii="Times New Roman" w:eastAsia="Calibri" w:hAnsi="Times New Roman" w:cs="Times New Roman"/>
          <w:i/>
          <w:sz w:val="22"/>
          <w:lang w:val="en-AU"/>
        </w:rPr>
        <w:t>f</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g</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x</w:t>
      </w:r>
      <w:r w:rsidRPr="00F0166B">
        <w:rPr>
          <w:rFonts w:ascii="Times New Roman" w:eastAsia="Calibri" w:hAnsi="Times New Roman" w:cs="Times New Roman"/>
          <w:sz w:val="22"/>
          <w:lang w:val="en-AU"/>
        </w:rPr>
        <w:t>)</w:t>
      </w:r>
      <w:r w:rsidRPr="00F048B6">
        <w:rPr>
          <w:rFonts w:eastAsia="Calibri"/>
          <w:lang w:val="en-AU"/>
        </w:rPr>
        <w:t>) can be deduced from these.</w:t>
      </w:r>
    </w:p>
    <w:p w14:paraId="0F0D07E5" w14:textId="77777777" w:rsidR="00654A3F" w:rsidRPr="00F048B6" w:rsidRDefault="00654A3F" w:rsidP="00654A3F">
      <w:pPr>
        <w:pStyle w:val="VCAAnumbers"/>
        <w:numPr>
          <w:ilvl w:val="0"/>
          <w:numId w:val="20"/>
        </w:numPr>
        <w:tabs>
          <w:tab w:val="left" w:pos="425"/>
        </w:tabs>
        <w:spacing w:before="120" w:after="120" w:line="280" w:lineRule="exact"/>
        <w:contextualSpacing/>
        <w:rPr>
          <w:rFonts w:eastAsia="Calibri"/>
          <w:lang w:val="en-AU"/>
        </w:rPr>
      </w:pPr>
      <w:r w:rsidRPr="00F048B6">
        <w:rPr>
          <w:rFonts w:eastAsia="Calibri"/>
          <w:lang w:val="en-AU"/>
        </w:rPr>
        <w:t xml:space="preserve">Plot the graph of </w:t>
      </w:r>
      <w:r w:rsidRPr="00F0166B">
        <w:rPr>
          <w:rFonts w:ascii="Times New Roman" w:eastAsia="Calibri" w:hAnsi="Times New Roman" w:cs="Times New Roman"/>
          <w:i/>
          <w:sz w:val="22"/>
          <w:lang w:val="en-AU"/>
        </w:rPr>
        <w:t>f</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g</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x</w:t>
      </w:r>
      <w:r w:rsidRPr="00F0166B">
        <w:rPr>
          <w:rFonts w:ascii="Times New Roman" w:eastAsia="Calibri" w:hAnsi="Times New Roman" w:cs="Times New Roman"/>
          <w:sz w:val="22"/>
          <w:lang w:val="en-AU"/>
        </w:rPr>
        <w:t>))</w:t>
      </w:r>
      <w:r w:rsidRPr="00F048B6">
        <w:rPr>
          <w:rFonts w:eastAsia="Calibri"/>
          <w:lang w:val="en-AU"/>
        </w:rPr>
        <w:t xml:space="preserve"> and clearly identify its key features.</w:t>
      </w:r>
    </w:p>
    <w:p w14:paraId="01F48C00" w14:textId="77777777" w:rsidR="00654A3F" w:rsidRPr="00F048B6" w:rsidRDefault="00654A3F" w:rsidP="00654A3F">
      <w:pPr>
        <w:pStyle w:val="VCAAnumbers"/>
        <w:numPr>
          <w:ilvl w:val="0"/>
          <w:numId w:val="20"/>
        </w:numPr>
        <w:tabs>
          <w:tab w:val="left" w:pos="425"/>
        </w:tabs>
        <w:spacing w:before="120" w:after="120" w:line="280" w:lineRule="exact"/>
        <w:contextualSpacing/>
        <w:rPr>
          <w:rFonts w:eastAsia="Calibri"/>
          <w:lang w:val="en-AU"/>
        </w:rPr>
      </w:pPr>
      <w:r w:rsidRPr="00F048B6">
        <w:rPr>
          <w:rFonts w:eastAsia="Calibri"/>
          <w:lang w:val="en-AU"/>
        </w:rPr>
        <w:t xml:space="preserve">Use sets of rectangles to form a sequence of under-estimates and over-estimates for the area bounded by the graph of </w:t>
      </w:r>
      <w:r w:rsidRPr="00F0166B">
        <w:rPr>
          <w:rFonts w:ascii="Times New Roman" w:eastAsia="Calibri" w:hAnsi="Times New Roman" w:cs="Times New Roman"/>
          <w:i/>
          <w:sz w:val="22"/>
          <w:lang w:val="en-AU"/>
        </w:rPr>
        <w:t>f</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g</w:t>
      </w:r>
      <w:r w:rsidRPr="00F0166B">
        <w:rPr>
          <w:rFonts w:ascii="Times New Roman" w:eastAsia="Calibri" w:hAnsi="Times New Roman" w:cs="Times New Roman"/>
          <w:sz w:val="22"/>
          <w:lang w:val="en-AU"/>
        </w:rPr>
        <w:t>(</w:t>
      </w:r>
      <w:r w:rsidRPr="00F0166B">
        <w:rPr>
          <w:rFonts w:ascii="Times New Roman" w:eastAsia="Calibri" w:hAnsi="Times New Roman" w:cs="Times New Roman"/>
          <w:i/>
          <w:sz w:val="22"/>
          <w:lang w:val="en-AU"/>
        </w:rPr>
        <w:t>x</w:t>
      </w:r>
      <w:r w:rsidRPr="00F0166B">
        <w:rPr>
          <w:rFonts w:ascii="Times New Roman" w:eastAsia="Calibri" w:hAnsi="Times New Roman" w:cs="Times New Roman"/>
          <w:sz w:val="22"/>
          <w:lang w:val="en-AU"/>
        </w:rPr>
        <w:t>))</w:t>
      </w:r>
      <w:r w:rsidRPr="00F048B6">
        <w:rPr>
          <w:rFonts w:eastAsia="Calibri"/>
          <w:lang w:val="en-AU"/>
        </w:rPr>
        <w:t xml:space="preserve"> and the horizontal axis between </w:t>
      </w:r>
      <w:r w:rsidRPr="00F0166B">
        <w:rPr>
          <w:rFonts w:ascii="Times New Roman" w:eastAsia="Calibri" w:hAnsi="Times New Roman" w:cs="Times New Roman"/>
          <w:i/>
          <w:sz w:val="22"/>
          <w:lang w:val="en-AU"/>
        </w:rPr>
        <w:t>x</w:t>
      </w:r>
      <w:r w:rsidRPr="00F0166B">
        <w:rPr>
          <w:rFonts w:ascii="Times New Roman" w:eastAsia="Calibri" w:hAnsi="Times New Roman" w:cs="Times New Roman"/>
          <w:sz w:val="22"/>
          <w:lang w:val="en-AU"/>
        </w:rPr>
        <w:t xml:space="preserve"> = –10</w:t>
      </w:r>
      <w:r w:rsidRPr="00F048B6">
        <w:rPr>
          <w:rFonts w:eastAsia="Calibri"/>
          <w:lang w:val="en-AU"/>
        </w:rPr>
        <w:t xml:space="preserve"> and </w:t>
      </w:r>
      <w:r w:rsidRPr="00F0166B">
        <w:rPr>
          <w:rFonts w:ascii="Times New Roman" w:eastAsia="Calibri" w:hAnsi="Times New Roman" w:cs="Times New Roman"/>
          <w:i/>
          <w:sz w:val="22"/>
          <w:lang w:val="en-AU"/>
        </w:rPr>
        <w:t>x</w:t>
      </w:r>
      <w:r w:rsidRPr="00F0166B">
        <w:rPr>
          <w:rFonts w:ascii="Times New Roman" w:eastAsia="Calibri" w:hAnsi="Times New Roman" w:cs="Times New Roman"/>
          <w:sz w:val="22"/>
          <w:lang w:val="en-AU"/>
        </w:rPr>
        <w:t xml:space="preserve"> = 10</w:t>
      </w:r>
      <w:r>
        <w:rPr>
          <w:rFonts w:eastAsia="Calibri"/>
          <w:lang w:val="en-AU"/>
        </w:rPr>
        <w:t>.</w:t>
      </w:r>
    </w:p>
    <w:p w14:paraId="1DAB8B22" w14:textId="77777777" w:rsidR="00654A3F" w:rsidRPr="00F048B6" w:rsidRDefault="00654A3F" w:rsidP="00654A3F">
      <w:pPr>
        <w:pStyle w:val="VCAAnumbers"/>
        <w:numPr>
          <w:ilvl w:val="0"/>
          <w:numId w:val="20"/>
        </w:numPr>
        <w:tabs>
          <w:tab w:val="left" w:pos="425"/>
        </w:tabs>
        <w:spacing w:before="120" w:after="120" w:line="280" w:lineRule="exact"/>
        <w:contextualSpacing/>
        <w:rPr>
          <w:rFonts w:eastAsia="Calibri"/>
          <w:lang w:val="en-AU"/>
        </w:rPr>
      </w:pPr>
      <w:r w:rsidRPr="00F048B6">
        <w:rPr>
          <w:rFonts w:eastAsia="Calibri"/>
          <w:lang w:val="en-AU"/>
        </w:rPr>
        <w:t xml:space="preserve">Use the results from </w:t>
      </w:r>
      <w:r>
        <w:rPr>
          <w:rFonts w:eastAsia="Calibri"/>
          <w:lang w:val="en-AU"/>
        </w:rPr>
        <w:t xml:space="preserve">step </w:t>
      </w:r>
      <w:r w:rsidRPr="00F0166B">
        <w:rPr>
          <w:rFonts w:ascii="Times New Roman" w:eastAsia="Calibri" w:hAnsi="Times New Roman" w:cs="Times New Roman"/>
          <w:sz w:val="22"/>
          <w:lang w:val="en-AU"/>
        </w:rPr>
        <w:t>c</w:t>
      </w:r>
      <w:r w:rsidRPr="00F048B6">
        <w:rPr>
          <w:rFonts w:eastAsia="Calibri"/>
          <w:lang w:val="en-AU"/>
        </w:rPr>
        <w:t>. to find approximate values for</w:t>
      </w:r>
      <w:r w:rsidRPr="00F048B6">
        <w:rPr>
          <w:rFonts w:eastAsia="Calibri"/>
          <w:i/>
          <w:lang w:val="en-AU"/>
        </w:rPr>
        <w:t xml:space="preserve"> </w:t>
      </w:r>
      <w:r w:rsidRPr="00F0166B">
        <w:rPr>
          <w:rFonts w:ascii="Times New Roman" w:eastAsia="Calibri" w:hAnsi="Times New Roman" w:cs="Times New Roman"/>
          <w:i/>
          <w:sz w:val="22"/>
          <w:lang w:val="en-AU"/>
        </w:rPr>
        <w:t>a</w:t>
      </w:r>
      <w:r w:rsidRPr="00F048B6">
        <w:rPr>
          <w:rFonts w:eastAsia="Calibri"/>
          <w:lang w:val="en-AU"/>
        </w:rPr>
        <w:t xml:space="preserve"> and </w:t>
      </w:r>
      <w:r w:rsidRPr="00F0166B">
        <w:rPr>
          <w:rFonts w:ascii="Times New Roman" w:eastAsia="Calibri" w:hAnsi="Times New Roman" w:cs="Times New Roman"/>
          <w:i/>
          <w:sz w:val="22"/>
          <w:lang w:val="en-AU"/>
        </w:rPr>
        <w:t>b</w:t>
      </w:r>
      <w:r w:rsidRPr="00F048B6">
        <w:rPr>
          <w:rFonts w:eastAsia="Calibri"/>
          <w:lang w:val="en-AU"/>
        </w:rPr>
        <w:t xml:space="preserve"> such that</w:t>
      </w:r>
    </w:p>
    <w:p w14:paraId="5905547F" w14:textId="77777777" w:rsidR="00654A3F" w:rsidRPr="00F048B6" w:rsidRDefault="00654A3F" w:rsidP="00654A3F">
      <w:pPr>
        <w:pStyle w:val="VCAAnumbers"/>
        <w:numPr>
          <w:ilvl w:val="0"/>
          <w:numId w:val="0"/>
        </w:numPr>
        <w:ind w:left="360"/>
        <w:rPr>
          <w:lang w:val="en-AU"/>
        </w:rPr>
      </w:pPr>
      <w:r>
        <w:rPr>
          <w:rFonts w:eastAsia="Calibri"/>
          <w:lang w:val="en-AU"/>
        </w:rPr>
        <w:tab/>
      </w:r>
      <w:r w:rsidRPr="00F048B6">
        <w:rPr>
          <w:rFonts w:eastAsia="Calibri"/>
          <w:lang w:val="en-AU"/>
        </w:rPr>
        <w:t xml:space="preserve"> </w:t>
      </w:r>
      <m:oMath>
        <m:r>
          <w:rPr>
            <w:rFonts w:ascii="Cambria Math" w:eastAsia="Calibri" w:hAnsi="Cambria Math"/>
            <w:lang w:val="en-AU"/>
          </w:rPr>
          <m:t>h:R →R, h</m:t>
        </m:r>
        <m:d>
          <m:dPr>
            <m:ctrlPr>
              <w:rPr>
                <w:rFonts w:ascii="Cambria Math" w:eastAsia="Calibri" w:hAnsi="Cambria Math"/>
                <w:i/>
                <w:lang w:val="en-AU"/>
              </w:rPr>
            </m:ctrlPr>
          </m:dPr>
          <m:e>
            <m:r>
              <w:rPr>
                <w:rFonts w:ascii="Cambria Math" w:eastAsia="Calibri" w:hAnsi="Cambria Math"/>
                <w:lang w:val="en-AU"/>
              </w:rPr>
              <m:t>x</m:t>
            </m:r>
          </m:e>
        </m:d>
        <m:r>
          <w:rPr>
            <w:rFonts w:ascii="Cambria Math" w:eastAsia="Calibri" w:hAnsi="Cambria Math"/>
            <w:lang w:val="en-AU"/>
          </w:rPr>
          <m:t>=a</m:t>
        </m:r>
        <m:sSup>
          <m:sSupPr>
            <m:ctrlPr>
              <w:rPr>
                <w:rFonts w:ascii="Cambria Math" w:eastAsia="Calibri" w:hAnsi="Cambria Math"/>
                <w:i/>
                <w:lang w:val="en-AU"/>
              </w:rPr>
            </m:ctrlPr>
          </m:sSupPr>
          <m:e>
            <m:r>
              <w:rPr>
                <w:rFonts w:ascii="Cambria Math" w:eastAsia="Calibri" w:hAnsi="Cambria Math"/>
                <w:lang w:val="en-AU"/>
              </w:rPr>
              <m:t>e</m:t>
            </m:r>
          </m:e>
          <m:sup>
            <m:r>
              <w:rPr>
                <w:rFonts w:ascii="Cambria Math" w:eastAsia="Calibri" w:hAnsi="Cambria Math"/>
                <w:lang w:val="en-AU"/>
              </w:rPr>
              <m:t>-b</m:t>
            </m:r>
            <m:sSup>
              <m:sSupPr>
                <m:ctrlPr>
                  <w:rPr>
                    <w:rFonts w:ascii="Cambria Math" w:eastAsia="Calibri" w:hAnsi="Cambria Math"/>
                    <w:i/>
                    <w:lang w:val="en-AU"/>
                  </w:rPr>
                </m:ctrlPr>
              </m:sSupPr>
              <m:e>
                <m:r>
                  <w:rPr>
                    <w:rFonts w:ascii="Cambria Math" w:eastAsia="Calibri" w:hAnsi="Cambria Math"/>
                    <w:lang w:val="en-AU"/>
                  </w:rPr>
                  <m:t>x</m:t>
                </m:r>
              </m:e>
              <m:sup>
                <m:r>
                  <w:rPr>
                    <w:rFonts w:ascii="Cambria Math" w:eastAsia="Calibri" w:hAnsi="Cambria Math"/>
                    <w:lang w:val="en-AU"/>
                  </w:rPr>
                  <m:t>2</m:t>
                </m:r>
              </m:sup>
            </m:sSup>
          </m:sup>
        </m:sSup>
      </m:oMath>
      <w:r w:rsidRPr="00F048B6">
        <w:rPr>
          <w:lang w:val="en-AU"/>
        </w:rPr>
        <w:t xml:space="preserve"> forms a probability density function, with mean 0 and standard deviation 1</w:t>
      </w:r>
      <w:r>
        <w:rPr>
          <w:lang w:val="en-AU"/>
        </w:rPr>
        <w:t>.</w:t>
      </w:r>
    </w:p>
    <w:p w14:paraId="3C875F02" w14:textId="77777777" w:rsidR="00654A3F" w:rsidRPr="00F048B6" w:rsidRDefault="00654A3F" w:rsidP="00654A3F">
      <w:pPr>
        <w:pStyle w:val="VCAAnumbers"/>
        <w:numPr>
          <w:ilvl w:val="0"/>
          <w:numId w:val="20"/>
        </w:numPr>
        <w:tabs>
          <w:tab w:val="left" w:pos="425"/>
        </w:tabs>
        <w:spacing w:before="120" w:after="120" w:line="280" w:lineRule="exact"/>
        <w:contextualSpacing/>
        <w:rPr>
          <w:lang w:val="en-AU"/>
        </w:rPr>
      </w:pPr>
      <w:r w:rsidRPr="00F048B6">
        <w:rPr>
          <w:lang w:val="en-AU"/>
        </w:rPr>
        <w:t xml:space="preserve">Plot the graph from </w:t>
      </w:r>
      <w:r>
        <w:rPr>
          <w:lang w:val="en-AU"/>
        </w:rPr>
        <w:t xml:space="preserve">step </w:t>
      </w:r>
      <w:r w:rsidRPr="00F048B6">
        <w:rPr>
          <w:lang w:val="en-AU"/>
        </w:rPr>
        <w:t>d. on the same set of axes as the standard normal distribution and comment on similarities and differences.</w:t>
      </w:r>
    </w:p>
    <w:p w14:paraId="7F63D874" w14:textId="77777777" w:rsidR="00654A3F" w:rsidRPr="00654A3F" w:rsidRDefault="00654A3F">
      <w:pPr>
        <w:rPr>
          <w:rFonts w:ascii="Arial" w:hAnsi="Arial" w:cs="Arial"/>
          <w:sz w:val="20"/>
          <w:szCs w:val="20"/>
          <w:lang w:val="en" w:eastAsia="en-AU"/>
        </w:rPr>
      </w:pPr>
      <w:r>
        <w:br w:type="page"/>
      </w:r>
    </w:p>
    <w:p w14:paraId="48B7E87C" w14:textId="49E55E6A" w:rsidR="00654A3F" w:rsidRPr="00F048B6" w:rsidRDefault="00654A3F" w:rsidP="00654A3F">
      <w:pPr>
        <w:pStyle w:val="VCAAHeading4"/>
      </w:pPr>
      <w:r w:rsidRPr="00F048B6">
        <w:lastRenderedPageBreak/>
        <w:t>Part 2</w:t>
      </w:r>
    </w:p>
    <w:p w14:paraId="525EA726" w14:textId="77777777" w:rsidR="00654A3F" w:rsidRPr="00F048B6" w:rsidRDefault="00654A3F" w:rsidP="00654A3F">
      <w:pPr>
        <w:pStyle w:val="VCAAnumbers"/>
        <w:numPr>
          <w:ilvl w:val="0"/>
          <w:numId w:val="21"/>
        </w:numPr>
        <w:tabs>
          <w:tab w:val="left" w:pos="425"/>
        </w:tabs>
        <w:spacing w:before="120" w:after="120" w:line="280" w:lineRule="exact"/>
        <w:contextualSpacing/>
        <w:rPr>
          <w:rFonts w:eastAsia="Calibri"/>
          <w:lang w:val="en-AU"/>
        </w:rPr>
      </w:pPr>
      <w:r w:rsidRPr="00F048B6">
        <w:rPr>
          <w:rFonts w:eastAsia="Calibri"/>
          <w:lang w:val="en-AU"/>
        </w:rPr>
        <w:t>A pair of standard dice are rolled simultaneously. Use technology to simulate this experiment for 60 rolls of the dice and record the set of outcomes. What is the proportion of rolls for which the two dice had the same value?</w:t>
      </w:r>
    </w:p>
    <w:p w14:paraId="143F4F4C" w14:textId="77777777" w:rsidR="00654A3F" w:rsidRPr="00F048B6" w:rsidRDefault="00654A3F" w:rsidP="00654A3F">
      <w:pPr>
        <w:pStyle w:val="VCAAnumbers"/>
        <w:numPr>
          <w:ilvl w:val="0"/>
          <w:numId w:val="21"/>
        </w:numPr>
        <w:tabs>
          <w:tab w:val="left" w:pos="425"/>
        </w:tabs>
        <w:spacing w:before="120" w:after="120" w:line="280" w:lineRule="exact"/>
        <w:contextualSpacing/>
        <w:rPr>
          <w:rFonts w:eastAsia="Calibri"/>
          <w:lang w:val="en-AU"/>
        </w:rPr>
      </w:pPr>
      <w:r w:rsidRPr="00F048B6">
        <w:rPr>
          <w:rFonts w:eastAsia="Calibri"/>
          <w:lang w:val="en-AU"/>
        </w:rPr>
        <w:t>Run the simulation 100 times and plot the distribution of this proportion. Describe the distribution.</w:t>
      </w:r>
    </w:p>
    <w:p w14:paraId="5BD1DF10" w14:textId="77777777" w:rsidR="00654A3F" w:rsidRPr="00F048B6" w:rsidRDefault="00654A3F" w:rsidP="00654A3F">
      <w:pPr>
        <w:pStyle w:val="VCAAnumbers"/>
        <w:numPr>
          <w:ilvl w:val="0"/>
          <w:numId w:val="21"/>
        </w:numPr>
        <w:tabs>
          <w:tab w:val="left" w:pos="425"/>
        </w:tabs>
        <w:spacing w:before="120" w:after="120" w:line="280" w:lineRule="exact"/>
        <w:contextualSpacing/>
        <w:rPr>
          <w:rFonts w:eastAsia="Calibri"/>
          <w:lang w:val="en-AU"/>
        </w:rPr>
      </w:pPr>
      <w:r w:rsidRPr="00F048B6">
        <w:rPr>
          <w:rFonts w:eastAsia="Calibri"/>
          <w:lang w:val="en-AU"/>
        </w:rPr>
        <w:t xml:space="preserve">Now consider two identical packs of 10 cards numbered 1 to 10. Both packs are shuffled thoroughly. The first card is turned over from each pack and the result is recorded. This is then repeated for the second card from each pack, the third card from each pack and so on, through to the </w:t>
      </w:r>
      <w:r>
        <w:rPr>
          <w:rFonts w:eastAsia="Calibri"/>
          <w:lang w:val="en-AU"/>
        </w:rPr>
        <w:t>10</w:t>
      </w:r>
      <w:r w:rsidRPr="00F048B6">
        <w:rPr>
          <w:rFonts w:eastAsia="Calibri"/>
          <w:lang w:val="en-AU"/>
        </w:rPr>
        <w:t>th and final card of each pack. Use technology to simulate this experiment and record the set of outcomes. How many pairs of cards in the experiment had the same value?</w:t>
      </w:r>
    </w:p>
    <w:p w14:paraId="1D675B75" w14:textId="77777777" w:rsidR="00654A3F" w:rsidRPr="00F048B6" w:rsidRDefault="00654A3F" w:rsidP="00654A3F">
      <w:pPr>
        <w:pStyle w:val="VCAAnumbers"/>
        <w:numPr>
          <w:ilvl w:val="0"/>
          <w:numId w:val="21"/>
        </w:numPr>
        <w:tabs>
          <w:tab w:val="left" w:pos="425"/>
        </w:tabs>
        <w:spacing w:before="120" w:after="120" w:line="280" w:lineRule="exact"/>
        <w:contextualSpacing/>
        <w:rPr>
          <w:rFonts w:eastAsia="Calibri"/>
          <w:lang w:val="en-AU"/>
        </w:rPr>
      </w:pPr>
      <w:r w:rsidRPr="00F048B6">
        <w:rPr>
          <w:rFonts w:eastAsia="Calibri"/>
          <w:lang w:val="en-AU"/>
        </w:rPr>
        <w:t>Run this simulation 100 times and plot the distribution of proportions for the number of times when the pair of cards had the same value. Describe this distribution.</w:t>
      </w:r>
    </w:p>
    <w:p w14:paraId="212C4789" w14:textId="77777777" w:rsidR="00654A3F" w:rsidRPr="00F048B6" w:rsidRDefault="00654A3F" w:rsidP="00654A3F">
      <w:pPr>
        <w:pStyle w:val="VCAAnumbers"/>
        <w:numPr>
          <w:ilvl w:val="0"/>
          <w:numId w:val="21"/>
        </w:numPr>
        <w:tabs>
          <w:tab w:val="left" w:pos="425"/>
        </w:tabs>
        <w:spacing w:before="120" w:after="120" w:line="280" w:lineRule="exact"/>
        <w:contextualSpacing/>
        <w:rPr>
          <w:rFonts w:eastAsia="Calibri"/>
          <w:lang w:val="en-AU"/>
        </w:rPr>
      </w:pPr>
      <w:r w:rsidRPr="00F048B6">
        <w:rPr>
          <w:rFonts w:eastAsia="Calibri"/>
          <w:lang w:val="en-AU"/>
        </w:rPr>
        <w:t>Give an estimate for the probability that there is at least one pair of matching cards and explain how this estimate was obtained.</w:t>
      </w:r>
    </w:p>
    <w:p w14:paraId="3AC116CE" w14:textId="77777777" w:rsidR="00654A3F" w:rsidRPr="00F048B6" w:rsidRDefault="00654A3F" w:rsidP="00654A3F">
      <w:pPr>
        <w:pStyle w:val="VCAAHeading4"/>
      </w:pPr>
      <w:r w:rsidRPr="00F048B6">
        <w:t>Areas of study</w:t>
      </w:r>
    </w:p>
    <w:p w14:paraId="1C94B3FB" w14:textId="23527289" w:rsidR="00654A3F" w:rsidRDefault="00654A3F" w:rsidP="00654A3F">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654A3F" w:rsidRPr="00485F20" w14:paraId="6757A862" w14:textId="77777777" w:rsidTr="001F450B">
        <w:tc>
          <w:tcPr>
            <w:tcW w:w="3209" w:type="dxa"/>
            <w:shd w:val="clear" w:color="auto" w:fill="0F7EB4"/>
          </w:tcPr>
          <w:p w14:paraId="1A94517C" w14:textId="77777777" w:rsidR="00654A3F" w:rsidRPr="00485F20" w:rsidRDefault="00654A3F" w:rsidP="001F450B">
            <w:pPr>
              <w:pStyle w:val="VCAAtablecondensedheading"/>
              <w:rPr>
                <w:b/>
                <w:bCs/>
                <w:lang w:val="en-AU"/>
              </w:rPr>
            </w:pPr>
            <w:r w:rsidRPr="00485F20">
              <w:rPr>
                <w:b/>
                <w:bCs/>
              </w:rPr>
              <w:t>Area of study</w:t>
            </w:r>
          </w:p>
        </w:tc>
        <w:tc>
          <w:tcPr>
            <w:tcW w:w="3210" w:type="dxa"/>
            <w:shd w:val="clear" w:color="auto" w:fill="0F7EB4"/>
          </w:tcPr>
          <w:p w14:paraId="4706B4EC" w14:textId="77777777" w:rsidR="00654A3F" w:rsidRPr="00485F20" w:rsidRDefault="00654A3F" w:rsidP="001F450B">
            <w:pPr>
              <w:pStyle w:val="VCAAtablecondensedheading"/>
              <w:rPr>
                <w:b/>
                <w:bCs/>
                <w:lang w:val="en-AU"/>
              </w:rPr>
            </w:pPr>
            <w:r w:rsidRPr="00485F20">
              <w:rPr>
                <w:b/>
                <w:bCs/>
                <w:lang w:val="en-AU"/>
              </w:rPr>
              <w:t>Content dot point</w:t>
            </w:r>
            <w:r>
              <w:rPr>
                <w:b/>
                <w:bCs/>
                <w:lang w:val="en-AU"/>
              </w:rPr>
              <w:t>s</w:t>
            </w:r>
          </w:p>
        </w:tc>
      </w:tr>
      <w:tr w:rsidR="00654A3F" w14:paraId="1E90B026" w14:textId="77777777" w:rsidTr="001F450B">
        <w:tc>
          <w:tcPr>
            <w:tcW w:w="3209" w:type="dxa"/>
          </w:tcPr>
          <w:p w14:paraId="28E3B1F6" w14:textId="374659AE" w:rsidR="00654A3F" w:rsidRDefault="00654A3F" w:rsidP="00654A3F">
            <w:pPr>
              <w:pStyle w:val="VCAAtablecondensed"/>
            </w:pPr>
            <w:r w:rsidRPr="00E6479A">
              <w:rPr>
                <w:lang w:val="en-AU"/>
              </w:rPr>
              <w:t>Functions</w:t>
            </w:r>
            <w:r>
              <w:rPr>
                <w:lang w:val="en-AU"/>
              </w:rPr>
              <w:t>, relations</w:t>
            </w:r>
            <w:r w:rsidRPr="00E6479A">
              <w:rPr>
                <w:lang w:val="en-AU"/>
              </w:rPr>
              <w:t xml:space="preserve"> and graphs</w:t>
            </w:r>
          </w:p>
        </w:tc>
        <w:tc>
          <w:tcPr>
            <w:tcW w:w="3210" w:type="dxa"/>
          </w:tcPr>
          <w:p w14:paraId="422EF598" w14:textId="7ABC70A0" w:rsidR="00654A3F" w:rsidRDefault="00654A3F" w:rsidP="00654A3F">
            <w:pPr>
              <w:pStyle w:val="VCAAtablecondensed"/>
              <w:rPr>
                <w:lang w:val="en-AU"/>
              </w:rPr>
            </w:pPr>
            <w:r>
              <w:rPr>
                <w:lang w:val="en-AU"/>
              </w:rPr>
              <w:t xml:space="preserve">2, 3, 4, </w:t>
            </w:r>
            <w:r w:rsidRPr="00E6479A">
              <w:rPr>
                <w:lang w:val="en-AU"/>
              </w:rPr>
              <w:t>5</w:t>
            </w:r>
          </w:p>
        </w:tc>
      </w:tr>
      <w:tr w:rsidR="00654A3F" w14:paraId="20040404" w14:textId="77777777" w:rsidTr="001F450B">
        <w:tc>
          <w:tcPr>
            <w:tcW w:w="3209" w:type="dxa"/>
          </w:tcPr>
          <w:p w14:paraId="2FC252CF" w14:textId="020E8145" w:rsidR="00654A3F" w:rsidRDefault="00654A3F" w:rsidP="00654A3F">
            <w:pPr>
              <w:pStyle w:val="VCAAtablecondensed"/>
              <w:rPr>
                <w:lang w:val="en-AU"/>
              </w:rPr>
            </w:pPr>
            <w:r w:rsidRPr="00E6479A">
              <w:rPr>
                <w:lang w:val="en-AU"/>
              </w:rPr>
              <w:t>Algebra</w:t>
            </w:r>
            <w:r>
              <w:rPr>
                <w:lang w:val="en-AU"/>
              </w:rPr>
              <w:t>, number and structure</w:t>
            </w:r>
          </w:p>
        </w:tc>
        <w:tc>
          <w:tcPr>
            <w:tcW w:w="3210" w:type="dxa"/>
          </w:tcPr>
          <w:p w14:paraId="4CEFA118" w14:textId="6D2CCD3B" w:rsidR="00654A3F" w:rsidRDefault="00654A3F" w:rsidP="00654A3F">
            <w:pPr>
              <w:pStyle w:val="VCAAtablecondensed"/>
              <w:rPr>
                <w:lang w:val="en-AU"/>
              </w:rPr>
            </w:pPr>
            <w:r>
              <w:rPr>
                <w:lang w:val="en-AU"/>
              </w:rPr>
              <w:t>3, 5</w:t>
            </w:r>
          </w:p>
        </w:tc>
      </w:tr>
      <w:tr w:rsidR="00654A3F" w14:paraId="34A728C0" w14:textId="77777777" w:rsidTr="001F450B">
        <w:tc>
          <w:tcPr>
            <w:tcW w:w="3209" w:type="dxa"/>
          </w:tcPr>
          <w:p w14:paraId="551ACF50" w14:textId="6DEE9C24" w:rsidR="00654A3F" w:rsidRDefault="00654A3F" w:rsidP="00654A3F">
            <w:pPr>
              <w:pStyle w:val="VCAAtablecondensed"/>
              <w:rPr>
                <w:lang w:val="en-AU"/>
              </w:rPr>
            </w:pPr>
            <w:r w:rsidRPr="00E6479A">
              <w:rPr>
                <w:lang w:val="en-AU"/>
              </w:rPr>
              <w:t>Calculus</w:t>
            </w:r>
          </w:p>
        </w:tc>
        <w:tc>
          <w:tcPr>
            <w:tcW w:w="3210" w:type="dxa"/>
          </w:tcPr>
          <w:p w14:paraId="0090234E" w14:textId="05047A0D" w:rsidR="00654A3F" w:rsidRDefault="00654A3F" w:rsidP="00654A3F">
            <w:pPr>
              <w:pStyle w:val="VCAAtablecondensed"/>
              <w:rPr>
                <w:lang w:val="en-AU"/>
              </w:rPr>
            </w:pPr>
            <w:r>
              <w:rPr>
                <w:lang w:val="en-AU"/>
              </w:rPr>
              <w:t xml:space="preserve">3, 4, </w:t>
            </w:r>
            <w:r w:rsidRPr="00E6479A">
              <w:rPr>
                <w:lang w:val="en-AU"/>
              </w:rPr>
              <w:t>7</w:t>
            </w:r>
            <w:r>
              <w:rPr>
                <w:lang w:val="en-AU"/>
              </w:rPr>
              <w:t>, 9</w:t>
            </w:r>
          </w:p>
        </w:tc>
      </w:tr>
      <w:tr w:rsidR="00654A3F" w14:paraId="2AFEC387" w14:textId="77777777" w:rsidTr="001F450B">
        <w:tc>
          <w:tcPr>
            <w:tcW w:w="3209" w:type="dxa"/>
          </w:tcPr>
          <w:p w14:paraId="0BD3172F" w14:textId="60950EB7" w:rsidR="00654A3F" w:rsidRDefault="00654A3F" w:rsidP="00654A3F">
            <w:pPr>
              <w:pStyle w:val="VCAAtablecondensed"/>
            </w:pPr>
            <w:r>
              <w:rPr>
                <w:lang w:val="en-AU"/>
              </w:rPr>
              <w:t>Data analysis, p</w:t>
            </w:r>
            <w:r w:rsidRPr="00E6479A">
              <w:rPr>
                <w:lang w:val="en-AU"/>
              </w:rPr>
              <w:t>robability and statistics</w:t>
            </w:r>
          </w:p>
        </w:tc>
        <w:tc>
          <w:tcPr>
            <w:tcW w:w="3210" w:type="dxa"/>
          </w:tcPr>
          <w:p w14:paraId="3C2D255A" w14:textId="47E3ABC9" w:rsidR="00654A3F" w:rsidRDefault="00654A3F" w:rsidP="00654A3F">
            <w:pPr>
              <w:pStyle w:val="VCAAtablecondensed"/>
            </w:pPr>
            <w:r>
              <w:rPr>
                <w:lang w:val="en-AU"/>
              </w:rPr>
              <w:t xml:space="preserve">1, 2, </w:t>
            </w:r>
            <w:r w:rsidRPr="00E6479A">
              <w:rPr>
                <w:lang w:val="en-AU"/>
              </w:rPr>
              <w:t>3</w:t>
            </w:r>
          </w:p>
        </w:tc>
      </w:tr>
    </w:tbl>
    <w:p w14:paraId="705C9876" w14:textId="77777777" w:rsidR="00654A3F" w:rsidRPr="00F048B6" w:rsidRDefault="00654A3F" w:rsidP="00654A3F">
      <w:pPr>
        <w:pStyle w:val="VCAAHeading4"/>
      </w:pPr>
      <w:r w:rsidRPr="00F048B6">
        <w:t>Outcomes</w:t>
      </w:r>
    </w:p>
    <w:p w14:paraId="2B51DD1B" w14:textId="228F552F" w:rsidR="00654A3F" w:rsidRDefault="00654A3F" w:rsidP="00654A3F">
      <w:pPr>
        <w:pStyle w:val="VCAAbody"/>
        <w:rPr>
          <w:lang w:val="en-AU"/>
        </w:rPr>
      </w:pPr>
      <w:r w:rsidRPr="00F048B6">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654A3F" w:rsidRPr="00FA2380" w14:paraId="3153CEFA" w14:textId="77777777" w:rsidTr="001F450B">
        <w:tc>
          <w:tcPr>
            <w:tcW w:w="3209" w:type="dxa"/>
            <w:shd w:val="clear" w:color="auto" w:fill="0F7EB4"/>
          </w:tcPr>
          <w:p w14:paraId="403CA557" w14:textId="77777777" w:rsidR="00654A3F" w:rsidRPr="00FA2380" w:rsidRDefault="00654A3F" w:rsidP="001F450B">
            <w:pPr>
              <w:pStyle w:val="VCAAtablecondensedheading"/>
              <w:rPr>
                <w:b/>
                <w:bCs/>
              </w:rPr>
            </w:pPr>
            <w:r w:rsidRPr="006D6BCF">
              <w:rPr>
                <w:b/>
                <w:lang w:val="en-AU"/>
              </w:rPr>
              <w:t>Outcome</w:t>
            </w:r>
          </w:p>
        </w:tc>
        <w:tc>
          <w:tcPr>
            <w:tcW w:w="3210" w:type="dxa"/>
            <w:shd w:val="clear" w:color="auto" w:fill="0F7EB4"/>
          </w:tcPr>
          <w:p w14:paraId="719FDDBC" w14:textId="77777777" w:rsidR="00654A3F" w:rsidRPr="00FA2380" w:rsidRDefault="00654A3F" w:rsidP="001F450B">
            <w:pPr>
              <w:pStyle w:val="VCAAtablecondensedheading"/>
              <w:rPr>
                <w:b/>
                <w:bCs/>
              </w:rPr>
            </w:pPr>
            <w:r w:rsidRPr="006D6BCF">
              <w:rPr>
                <w:b/>
                <w:lang w:val="en-AU"/>
              </w:rPr>
              <w:t>Key knowledge dot point</w:t>
            </w:r>
            <w:r>
              <w:rPr>
                <w:b/>
                <w:lang w:val="en-AU"/>
              </w:rPr>
              <w:t>s</w:t>
            </w:r>
          </w:p>
        </w:tc>
        <w:tc>
          <w:tcPr>
            <w:tcW w:w="3210" w:type="dxa"/>
            <w:shd w:val="clear" w:color="auto" w:fill="0F7EB4"/>
          </w:tcPr>
          <w:p w14:paraId="1D0A5B0D" w14:textId="77777777" w:rsidR="00654A3F" w:rsidRPr="00FA2380" w:rsidRDefault="00654A3F" w:rsidP="001F450B">
            <w:pPr>
              <w:pStyle w:val="VCAAtablecondensedheading"/>
              <w:rPr>
                <w:b/>
                <w:bCs/>
              </w:rPr>
            </w:pPr>
            <w:r w:rsidRPr="006D6BCF">
              <w:rPr>
                <w:b/>
                <w:lang w:val="en-AU"/>
              </w:rPr>
              <w:t>Key skill</w:t>
            </w:r>
            <w:r>
              <w:rPr>
                <w:b/>
                <w:lang w:val="en-AU"/>
              </w:rPr>
              <w:t>s</w:t>
            </w:r>
            <w:r w:rsidRPr="006D6BCF">
              <w:rPr>
                <w:b/>
                <w:lang w:val="en-AU"/>
              </w:rPr>
              <w:t xml:space="preserve"> dot point</w:t>
            </w:r>
            <w:r>
              <w:rPr>
                <w:b/>
                <w:lang w:val="en-AU"/>
              </w:rPr>
              <w:t>s</w:t>
            </w:r>
          </w:p>
        </w:tc>
      </w:tr>
      <w:tr w:rsidR="00654A3F" w14:paraId="03970925" w14:textId="77777777" w:rsidTr="001F450B">
        <w:tc>
          <w:tcPr>
            <w:tcW w:w="3209" w:type="dxa"/>
          </w:tcPr>
          <w:p w14:paraId="77380AB5" w14:textId="3FC98108" w:rsidR="00654A3F" w:rsidRPr="000E2B81" w:rsidRDefault="00654A3F" w:rsidP="00654A3F">
            <w:pPr>
              <w:pStyle w:val="VCAAtablecondensed"/>
              <w:rPr>
                <w:bCs/>
              </w:rPr>
            </w:pPr>
            <w:r w:rsidRPr="00654A3F">
              <w:rPr>
                <w:bCs/>
                <w:lang w:val="en-AU"/>
              </w:rPr>
              <w:t>1</w:t>
            </w:r>
          </w:p>
        </w:tc>
        <w:tc>
          <w:tcPr>
            <w:tcW w:w="3210" w:type="dxa"/>
          </w:tcPr>
          <w:p w14:paraId="3BFFC34E" w14:textId="1DBB7358" w:rsidR="00654A3F" w:rsidRDefault="00654A3F" w:rsidP="00654A3F">
            <w:pPr>
              <w:pStyle w:val="VCAAtablecondensed"/>
            </w:pPr>
            <w:r>
              <w:rPr>
                <w:lang w:val="en-AU"/>
              </w:rPr>
              <w:t xml:space="preserve">1, 2, </w:t>
            </w:r>
            <w:r w:rsidRPr="00E6479A">
              <w:rPr>
                <w:lang w:val="en-AU"/>
              </w:rPr>
              <w:t xml:space="preserve">4, </w:t>
            </w:r>
            <w:r>
              <w:rPr>
                <w:lang w:val="en-AU"/>
              </w:rPr>
              <w:t xml:space="preserve">6, </w:t>
            </w:r>
            <w:r w:rsidRPr="00E6479A">
              <w:rPr>
                <w:lang w:val="en-AU"/>
              </w:rPr>
              <w:t xml:space="preserve">7, </w:t>
            </w:r>
            <w:r>
              <w:rPr>
                <w:lang w:val="en-AU"/>
              </w:rPr>
              <w:t xml:space="preserve">11, </w:t>
            </w:r>
            <w:r w:rsidRPr="00E6479A">
              <w:rPr>
                <w:lang w:val="en-AU"/>
              </w:rPr>
              <w:t xml:space="preserve">12, </w:t>
            </w:r>
            <w:r>
              <w:rPr>
                <w:lang w:val="en-AU"/>
              </w:rPr>
              <w:t xml:space="preserve">13, </w:t>
            </w:r>
            <w:r w:rsidRPr="00E6479A">
              <w:rPr>
                <w:lang w:val="en-AU"/>
              </w:rPr>
              <w:t>14, 17</w:t>
            </w:r>
          </w:p>
        </w:tc>
        <w:tc>
          <w:tcPr>
            <w:tcW w:w="3210" w:type="dxa"/>
          </w:tcPr>
          <w:p w14:paraId="5DF4636C" w14:textId="58819896" w:rsidR="00654A3F" w:rsidRDefault="00654A3F" w:rsidP="00654A3F">
            <w:pPr>
              <w:pStyle w:val="VCAAtablecondensed"/>
            </w:pPr>
            <w:r w:rsidRPr="00E6479A">
              <w:rPr>
                <w:lang w:val="en-AU"/>
              </w:rPr>
              <w:t xml:space="preserve">1, </w:t>
            </w:r>
            <w:r>
              <w:rPr>
                <w:lang w:val="en-AU"/>
              </w:rPr>
              <w:t xml:space="preserve">2, 4, </w:t>
            </w:r>
            <w:r w:rsidRPr="00E6479A">
              <w:rPr>
                <w:lang w:val="en-AU"/>
              </w:rPr>
              <w:t xml:space="preserve">5, 12, </w:t>
            </w:r>
            <w:r>
              <w:rPr>
                <w:lang w:val="en-AU"/>
              </w:rPr>
              <w:t xml:space="preserve">14, </w:t>
            </w:r>
            <w:r w:rsidRPr="00E6479A">
              <w:rPr>
                <w:lang w:val="en-AU"/>
              </w:rPr>
              <w:t xml:space="preserve">15, </w:t>
            </w:r>
            <w:r>
              <w:rPr>
                <w:lang w:val="en-AU"/>
              </w:rPr>
              <w:t xml:space="preserve">16, 17, 18, 19, </w:t>
            </w:r>
            <w:r w:rsidRPr="00E6479A">
              <w:rPr>
                <w:lang w:val="en-AU"/>
              </w:rPr>
              <w:t>20</w:t>
            </w:r>
          </w:p>
        </w:tc>
      </w:tr>
      <w:tr w:rsidR="00654A3F" w14:paraId="4588CEDC" w14:textId="77777777" w:rsidTr="001F450B">
        <w:tc>
          <w:tcPr>
            <w:tcW w:w="3209" w:type="dxa"/>
          </w:tcPr>
          <w:p w14:paraId="54467AED" w14:textId="4C6D1BDD" w:rsidR="00654A3F" w:rsidRPr="000E2B81" w:rsidRDefault="00654A3F" w:rsidP="00654A3F">
            <w:pPr>
              <w:pStyle w:val="VCAAtablecondensed"/>
              <w:rPr>
                <w:bCs/>
              </w:rPr>
            </w:pPr>
            <w:r w:rsidRPr="00654A3F">
              <w:rPr>
                <w:bCs/>
                <w:lang w:val="en-AU"/>
              </w:rPr>
              <w:t>2</w:t>
            </w:r>
          </w:p>
        </w:tc>
        <w:tc>
          <w:tcPr>
            <w:tcW w:w="3210" w:type="dxa"/>
          </w:tcPr>
          <w:p w14:paraId="2EE6AF90" w14:textId="02645A55" w:rsidR="00654A3F" w:rsidRDefault="00654A3F" w:rsidP="00654A3F">
            <w:pPr>
              <w:pStyle w:val="VCAAtablecondensed"/>
            </w:pPr>
            <w:r w:rsidRPr="00E6479A">
              <w:rPr>
                <w:lang w:val="en-AU"/>
              </w:rPr>
              <w:t>1, 2, 4</w:t>
            </w:r>
            <w:r>
              <w:rPr>
                <w:lang w:val="en-AU"/>
              </w:rPr>
              <w:t>, 5</w:t>
            </w:r>
          </w:p>
        </w:tc>
        <w:tc>
          <w:tcPr>
            <w:tcW w:w="3210" w:type="dxa"/>
          </w:tcPr>
          <w:p w14:paraId="62E9FC81" w14:textId="596DF520" w:rsidR="00654A3F" w:rsidRDefault="00654A3F" w:rsidP="00654A3F">
            <w:pPr>
              <w:pStyle w:val="VCAAtablecondensed"/>
            </w:pPr>
            <w:r w:rsidRPr="00E6479A">
              <w:rPr>
                <w:lang w:val="en-AU"/>
              </w:rPr>
              <w:t xml:space="preserve">1, 2, </w:t>
            </w:r>
            <w:r>
              <w:rPr>
                <w:lang w:val="en-AU"/>
              </w:rPr>
              <w:t xml:space="preserve">3, </w:t>
            </w:r>
            <w:r w:rsidRPr="00E6479A">
              <w:rPr>
                <w:lang w:val="en-AU"/>
              </w:rPr>
              <w:t>4, 5</w:t>
            </w:r>
            <w:r>
              <w:rPr>
                <w:lang w:val="en-AU"/>
              </w:rPr>
              <w:t>, 6, 7</w:t>
            </w:r>
          </w:p>
        </w:tc>
      </w:tr>
      <w:tr w:rsidR="00654A3F" w14:paraId="6F9575E8" w14:textId="77777777" w:rsidTr="001F450B">
        <w:tc>
          <w:tcPr>
            <w:tcW w:w="3209" w:type="dxa"/>
          </w:tcPr>
          <w:p w14:paraId="2C749A46" w14:textId="41107FD3" w:rsidR="00654A3F" w:rsidRPr="000E2B81" w:rsidRDefault="00654A3F" w:rsidP="00654A3F">
            <w:pPr>
              <w:pStyle w:val="VCAAtablecondensed"/>
              <w:rPr>
                <w:bCs/>
              </w:rPr>
            </w:pPr>
            <w:r w:rsidRPr="00654A3F">
              <w:rPr>
                <w:bCs/>
                <w:lang w:val="en-AU"/>
              </w:rPr>
              <w:t>3</w:t>
            </w:r>
          </w:p>
        </w:tc>
        <w:tc>
          <w:tcPr>
            <w:tcW w:w="3210" w:type="dxa"/>
          </w:tcPr>
          <w:p w14:paraId="104F4CCB" w14:textId="15CE84FA" w:rsidR="00654A3F" w:rsidRDefault="00654A3F" w:rsidP="00654A3F">
            <w:pPr>
              <w:pStyle w:val="VCAAtablecondensed"/>
            </w:pPr>
            <w:r w:rsidRPr="00E6479A">
              <w:rPr>
                <w:lang w:val="en-AU"/>
              </w:rPr>
              <w:t xml:space="preserve">1, 2, 3, 4, </w:t>
            </w:r>
            <w:r>
              <w:rPr>
                <w:lang w:val="en-AU"/>
              </w:rPr>
              <w:t>7, 8</w:t>
            </w:r>
          </w:p>
        </w:tc>
        <w:tc>
          <w:tcPr>
            <w:tcW w:w="3210" w:type="dxa"/>
          </w:tcPr>
          <w:p w14:paraId="4D41C7A9" w14:textId="05010EED" w:rsidR="00654A3F" w:rsidRDefault="00654A3F" w:rsidP="00654A3F">
            <w:pPr>
              <w:pStyle w:val="VCAAtablecondensed"/>
            </w:pPr>
            <w:r w:rsidRPr="00E6479A">
              <w:rPr>
                <w:lang w:val="en-AU"/>
              </w:rPr>
              <w:t>1, 2, 3, 4, 5, 6, 8, 9, 10, 11</w:t>
            </w:r>
            <w:r>
              <w:rPr>
                <w:lang w:val="en-AU"/>
              </w:rPr>
              <w:t>, 12, 13</w:t>
            </w:r>
          </w:p>
        </w:tc>
      </w:tr>
    </w:tbl>
    <w:p w14:paraId="6FC3A923" w14:textId="77777777" w:rsidR="00654A3F" w:rsidRPr="00F048B6" w:rsidRDefault="00654A3F" w:rsidP="00654A3F">
      <w:pPr>
        <w:pStyle w:val="VCAAbody"/>
        <w:rPr>
          <w:lang w:val="en-AU"/>
        </w:rPr>
      </w:pPr>
    </w:p>
    <w:sectPr w:rsidR="00654A3F" w:rsidRPr="00F048B6"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Roman">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E716CF" w:rsidR="00FD29D3" w:rsidRPr="00D86DE4" w:rsidRDefault="00F0166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219A2">
          <w:rPr>
            <w:color w:val="999999" w:themeColor="accent2"/>
          </w:rPr>
          <w:t>VCE Mathematical Methods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F34A9A"/>
    <w:multiLevelType w:val="hybridMultilevel"/>
    <w:tmpl w:val="58C6F6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67200D8"/>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8A7ED3"/>
    <w:multiLevelType w:val="hybridMultilevel"/>
    <w:tmpl w:val="3318B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A30F0"/>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0A255CB"/>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7425ED"/>
    <w:multiLevelType w:val="hybridMultilevel"/>
    <w:tmpl w:val="05B2D8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870CB3"/>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19780B"/>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D71FC7"/>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6"/>
  </w:num>
  <w:num w:numId="3">
    <w:abstractNumId w:val="2"/>
  </w:num>
  <w:num w:numId="4">
    <w:abstractNumId w:val="16"/>
  </w:num>
  <w:num w:numId="5">
    <w:abstractNumId w:val="20"/>
  </w:num>
  <w:num w:numId="6">
    <w:abstractNumId w:val="0"/>
  </w:num>
  <w:num w:numId="7">
    <w:abstractNumId w:val="13"/>
  </w:num>
  <w:num w:numId="8">
    <w:abstractNumId w:val="7"/>
  </w:num>
  <w:num w:numId="9">
    <w:abstractNumId w:val="17"/>
  </w:num>
  <w:num w:numId="10">
    <w:abstractNumId w:val="3"/>
  </w:num>
  <w:num w:numId="11">
    <w:abstractNumId w:val="11"/>
  </w:num>
  <w:num w:numId="12">
    <w:abstractNumId w:val="15"/>
  </w:num>
  <w:num w:numId="13">
    <w:abstractNumId w:val="5"/>
  </w:num>
  <w:num w:numId="14">
    <w:abstractNumId w:val="8"/>
  </w:num>
  <w:num w:numId="15">
    <w:abstractNumId w:val="9"/>
  </w:num>
  <w:num w:numId="16">
    <w:abstractNumId w:val="4"/>
  </w:num>
  <w:num w:numId="17">
    <w:abstractNumId w:val="12"/>
  </w:num>
  <w:num w:numId="18">
    <w:abstractNumId w:val="19"/>
  </w:num>
  <w:num w:numId="19">
    <w:abstractNumId w:val="1"/>
  </w:num>
  <w:num w:numId="20">
    <w:abstractNumId w:val="10"/>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2B81"/>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B4C4E"/>
    <w:rsid w:val="002C6F90"/>
    <w:rsid w:val="002E4FB5"/>
    <w:rsid w:val="00302FB8"/>
    <w:rsid w:val="00304EA1"/>
    <w:rsid w:val="00314D81"/>
    <w:rsid w:val="00322FC6"/>
    <w:rsid w:val="0035293F"/>
    <w:rsid w:val="00391986"/>
    <w:rsid w:val="003A00B4"/>
    <w:rsid w:val="003A19EB"/>
    <w:rsid w:val="003A635E"/>
    <w:rsid w:val="003C5E71"/>
    <w:rsid w:val="00402F7C"/>
    <w:rsid w:val="0040589B"/>
    <w:rsid w:val="0041382E"/>
    <w:rsid w:val="00417AA3"/>
    <w:rsid w:val="00425DFE"/>
    <w:rsid w:val="00434EDB"/>
    <w:rsid w:val="00440B32"/>
    <w:rsid w:val="0046078D"/>
    <w:rsid w:val="00462845"/>
    <w:rsid w:val="00485F20"/>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F0486"/>
    <w:rsid w:val="005F4092"/>
    <w:rsid w:val="006002F7"/>
    <w:rsid w:val="00607C26"/>
    <w:rsid w:val="00654A3F"/>
    <w:rsid w:val="0068471E"/>
    <w:rsid w:val="00684F98"/>
    <w:rsid w:val="00685818"/>
    <w:rsid w:val="00693FFD"/>
    <w:rsid w:val="006D2159"/>
    <w:rsid w:val="006F787C"/>
    <w:rsid w:val="00702636"/>
    <w:rsid w:val="00724507"/>
    <w:rsid w:val="00727716"/>
    <w:rsid w:val="00744BC4"/>
    <w:rsid w:val="0075391A"/>
    <w:rsid w:val="00773E6C"/>
    <w:rsid w:val="00777727"/>
    <w:rsid w:val="007807F1"/>
    <w:rsid w:val="00781FB1"/>
    <w:rsid w:val="007C4ED7"/>
    <w:rsid w:val="007D1B6D"/>
    <w:rsid w:val="007E7F9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A192D"/>
    <w:rsid w:val="009B2060"/>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A55BB"/>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19A2"/>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EC70E6"/>
    <w:rsid w:val="00F0166B"/>
    <w:rsid w:val="00F17FDE"/>
    <w:rsid w:val="00F40D53"/>
    <w:rsid w:val="00F4525C"/>
    <w:rsid w:val="00F50D86"/>
    <w:rsid w:val="00F73679"/>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Roman">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A729F"/>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5215E20-89C0-4869-96C4-9591CCFBA2D0}"/>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VCE Mathematical Methods Unit 4</vt:lpstr>
    </vt:vector>
  </TitlesOfParts>
  <Company>Victorian Curriculum and Assessment Authority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4</dc:title>
  <dc:subject>VCE Mathematical Methods</dc:subject>
  <dc:creator>vcaa@education.vic.gov.au</dc:creator>
  <cp:keywords>mathematical methods, VCE, sample, modelling, problem-solving, close to normal, unit 4</cp:keywords>
  <cp:lastModifiedBy>Julie Coleman</cp:lastModifiedBy>
  <cp:revision>4</cp:revision>
  <cp:lastPrinted>2015-05-15T02:36:00Z</cp:lastPrinted>
  <dcterms:created xsi:type="dcterms:W3CDTF">2022-12-20T03:58:00Z</dcterms:created>
  <dcterms:modified xsi:type="dcterms:W3CDTF">2023-01-23T22:31:00Z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