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2615C75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D219A2">
        <w:t>4</w:t>
      </w:r>
    </w:p>
    <w:p w14:paraId="74E62D52" w14:textId="2683E4FC" w:rsidR="00243F0D" w:rsidRPr="009A192D" w:rsidRDefault="0041382E" w:rsidP="00827233">
      <w:pPr>
        <w:pStyle w:val="VCAAHeading2"/>
      </w:pPr>
      <w:bookmarkStart w:id="0" w:name="TemplateOverview"/>
      <w:bookmarkEnd w:id="0"/>
      <w:r w:rsidRPr="00852BD0">
        <w:t xml:space="preserve">Sample </w:t>
      </w:r>
      <w:r w:rsidR="00D219A2">
        <w:t>m</w:t>
      </w:r>
      <w:r w:rsidR="00D219A2" w:rsidRPr="009B09E8">
        <w:t>odelling or problem-solving task</w:t>
      </w:r>
      <w:r w:rsidR="00D219A2">
        <w:t>:</w:t>
      </w:r>
      <w:r w:rsidR="00D219A2" w:rsidRPr="009B09E8">
        <w:t xml:space="preserve"> </w:t>
      </w:r>
      <w:r w:rsidR="00D219A2">
        <w:t>P</w:t>
      </w:r>
      <w:r w:rsidR="00D219A2" w:rsidRPr="009B09E8">
        <w:t>roportions of popularity</w:t>
      </w:r>
    </w:p>
    <w:p w14:paraId="71457137" w14:textId="2E909F1A" w:rsidR="002B4C4E" w:rsidRPr="0084646A" w:rsidRDefault="00D219A2" w:rsidP="002B4C4E">
      <w:pPr>
        <w:pStyle w:val="VCAAbody"/>
        <w:rPr>
          <w:lang w:val="en-AU"/>
        </w:rPr>
      </w:pPr>
      <w:r w:rsidRPr="00EA475D">
        <w:t xml:space="preserve">The </w:t>
      </w:r>
      <w:r>
        <w:t>modelling or problem-solving task is to be of 2–3</w:t>
      </w:r>
      <w:r w:rsidRPr="00EA475D">
        <w:t xml:space="preserve"> hou</w:t>
      </w:r>
      <w:r>
        <w:t>rs’ duration over a period of 1 week</w:t>
      </w:r>
      <w:r w:rsidRPr="00EA475D">
        <w:t>.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256C5443" w14:textId="77777777" w:rsidR="00607C26" w:rsidRDefault="00607C26" w:rsidP="00607C26">
      <w:pPr>
        <w:pStyle w:val="VCAAbody"/>
      </w:pPr>
      <w:r>
        <w:t xml:space="preserve">Polls provide a topical and regular insight into the relative popularity of political parties over time, in particular as events occur and are reported in the media and trends change. </w:t>
      </w:r>
    </w:p>
    <w:p w14:paraId="47E95A78" w14:textId="77777777" w:rsidR="00607C26" w:rsidRDefault="00607C26" w:rsidP="00607C26">
      <w:pPr>
        <w:pStyle w:val="VCAAbody"/>
      </w:pPr>
      <w:r>
        <w:t>Popularity on a two-party preferred basis as indicated by polls is a context for inference about proportions with respect to a population based on sampling.</w:t>
      </w:r>
      <w:r w:rsidRPr="002B173D">
        <w:t xml:space="preserve"> </w:t>
      </w:r>
      <w:r>
        <w:t>Consider a country that has a population of around 15 million voters on an electoral roll. Polls inform public consideration and debate on various matters of policy.</w:t>
      </w:r>
    </w:p>
    <w:p w14:paraId="5E40760C" w14:textId="77777777" w:rsidR="00607C26" w:rsidRDefault="00607C26" w:rsidP="00607C26">
      <w:pPr>
        <w:pStyle w:val="VCAAHeading4"/>
      </w:pPr>
      <w:r>
        <w:t>Part 1</w:t>
      </w:r>
    </w:p>
    <w:p w14:paraId="69FD9CFF" w14:textId="6404FB4A" w:rsidR="00607C26" w:rsidRDefault="00607C26" w:rsidP="00607C26">
      <w:pPr>
        <w:pStyle w:val="VCAAnumbers"/>
        <w:numPr>
          <w:ilvl w:val="0"/>
          <w:numId w:val="17"/>
        </w:numPr>
        <w:tabs>
          <w:tab w:val="left" w:pos="425"/>
        </w:tabs>
        <w:spacing w:before="120" w:after="120" w:line="280" w:lineRule="exact"/>
        <w:contextualSpacing/>
      </w:pPr>
      <w:r>
        <w:t>Plot graphs of the distribution of sample proportions for sample sizes of 50, 100 and 200 for</w:t>
      </w:r>
      <w:r>
        <w:br/>
      </w:r>
      <w:r w:rsidRPr="008E5290">
        <w:rPr>
          <w:rFonts w:ascii="Times New Roman" w:hAnsi="Times New Roman" w:cs="Times New Roman"/>
          <w:i/>
          <w:sz w:val="22"/>
        </w:rPr>
        <w:t>p</w:t>
      </w:r>
      <w:r>
        <w:t xml:space="preserve"> = 0.43, 0.52, 0.61</w:t>
      </w:r>
    </w:p>
    <w:p w14:paraId="417CDF64" w14:textId="77777777" w:rsidR="00607C26" w:rsidRDefault="00607C26" w:rsidP="00607C26">
      <w:pPr>
        <w:pStyle w:val="VCAAnumbers"/>
        <w:numPr>
          <w:ilvl w:val="0"/>
          <w:numId w:val="17"/>
        </w:numPr>
        <w:tabs>
          <w:tab w:val="left" w:pos="425"/>
        </w:tabs>
        <w:spacing w:before="120" w:after="120" w:line="280" w:lineRule="exact"/>
        <w:contextualSpacing/>
      </w:pPr>
      <w:r>
        <w:t>Explain what these graphs indicate.</w:t>
      </w:r>
    </w:p>
    <w:p w14:paraId="6E92E9B9" w14:textId="77777777" w:rsidR="00607C26" w:rsidRDefault="00607C26" w:rsidP="00607C26">
      <w:pPr>
        <w:pStyle w:val="VCAAHeading4"/>
      </w:pPr>
      <w:r>
        <w:t>Part 2</w:t>
      </w:r>
    </w:p>
    <w:p w14:paraId="151D5BB7" w14:textId="77777777" w:rsidR="00607C26" w:rsidRPr="009B09E8" w:rsidRDefault="00607C26" w:rsidP="00607C26">
      <w:pPr>
        <w:pStyle w:val="VCAAnumbers"/>
        <w:numPr>
          <w:ilvl w:val="0"/>
          <w:numId w:val="18"/>
        </w:numPr>
        <w:tabs>
          <w:tab w:val="left" w:pos="425"/>
        </w:tabs>
        <w:spacing w:before="120" w:after="120" w:line="280" w:lineRule="exact"/>
        <w:contextualSpacing/>
      </w:pPr>
      <w:r w:rsidRPr="009B09E8">
        <w:t>Randomly select an integer in the range [30, 60] and use this to generate a population of 1000 voters</w:t>
      </w:r>
      <w:r>
        <w:t>,</w:t>
      </w:r>
      <w:r w:rsidRPr="009B09E8">
        <w:t xml:space="preserve"> with that value as the percentage of the population who would vote for a given party on a two-party preferred basis.</w:t>
      </w:r>
    </w:p>
    <w:p w14:paraId="2254388D" w14:textId="77777777" w:rsidR="00607C26" w:rsidRPr="009B09E8" w:rsidRDefault="00607C26" w:rsidP="00607C26">
      <w:pPr>
        <w:pStyle w:val="VCAAnumbers"/>
        <w:numPr>
          <w:ilvl w:val="0"/>
          <w:numId w:val="18"/>
        </w:numPr>
        <w:tabs>
          <w:tab w:val="left" w:pos="425"/>
        </w:tabs>
        <w:spacing w:before="120" w:after="120" w:line="280" w:lineRule="exact"/>
        <w:contextualSpacing/>
      </w:pPr>
      <w:r w:rsidRPr="009B09E8">
        <w:t xml:space="preserve">Generate </w:t>
      </w:r>
      <w:r>
        <w:t>50</w:t>
      </w:r>
      <w:r w:rsidRPr="009B09E8">
        <w:t xml:space="preserve"> random samples of size </w:t>
      </w:r>
      <w:r w:rsidRPr="008E5290">
        <w:rPr>
          <w:rFonts w:ascii="Times New Roman" w:hAnsi="Times New Roman" w:cs="Times New Roman"/>
          <w:i/>
          <w:iCs/>
          <w:sz w:val="22"/>
        </w:rPr>
        <w:t>n</w:t>
      </w:r>
      <w:r w:rsidRPr="009B09E8">
        <w:t xml:space="preserve"> = 60 from this population and use each of these to find a point estimate for the true population proportion. Graph the distribution of the sample proportions and state its mean and standard deviation.</w:t>
      </w:r>
    </w:p>
    <w:p w14:paraId="140A2E20" w14:textId="77777777" w:rsidR="00607C26" w:rsidRPr="009B09E8" w:rsidRDefault="00607C26" w:rsidP="00607C26">
      <w:pPr>
        <w:pStyle w:val="VCAAnumbers"/>
        <w:numPr>
          <w:ilvl w:val="0"/>
          <w:numId w:val="18"/>
        </w:numPr>
        <w:tabs>
          <w:tab w:val="left" w:pos="425"/>
        </w:tabs>
        <w:spacing w:before="120" w:after="120" w:line="280" w:lineRule="exact"/>
        <w:contextualSpacing/>
      </w:pPr>
      <w:r w:rsidRPr="009B09E8">
        <w:t>Use each point estimate to construct a confidence interval for</w:t>
      </w:r>
      <w:r w:rsidRPr="000F68B8">
        <w:rPr>
          <w:i/>
          <w:iCs/>
        </w:rPr>
        <w:t xml:space="preserve"> </w:t>
      </w:r>
      <w:r w:rsidRPr="008E5290">
        <w:rPr>
          <w:rFonts w:ascii="Times New Roman" w:hAnsi="Times New Roman" w:cs="Times New Roman"/>
          <w:i/>
          <w:iCs/>
          <w:sz w:val="22"/>
        </w:rPr>
        <w:t>p</w:t>
      </w:r>
      <w:r w:rsidRPr="008E5290">
        <w:rPr>
          <w:rFonts w:ascii="Times New Roman" w:hAnsi="Times New Roman" w:cs="Times New Roman"/>
          <w:sz w:val="22"/>
        </w:rPr>
        <w:t xml:space="preserve"> </w:t>
      </w:r>
      <w:r w:rsidRPr="009B09E8">
        <w:t>at a 90% level of confidence. Graph all of these intervals together as a set of horizontal line segments</w:t>
      </w:r>
      <w:r>
        <w:t>,</w:t>
      </w:r>
      <w:r w:rsidRPr="009B09E8">
        <w:t xml:space="preserve"> one under the other</w:t>
      </w:r>
      <w:r>
        <w:t>,</w:t>
      </w:r>
      <w:r w:rsidRPr="009B09E8">
        <w:t xml:space="preserve"> and use them to explain the relationship between the true value of the population proportion, </w:t>
      </w:r>
      <w:r w:rsidRPr="008E5290">
        <w:rPr>
          <w:rFonts w:ascii="Times New Roman" w:hAnsi="Times New Roman" w:cs="Times New Roman"/>
          <w:i/>
          <w:iCs/>
          <w:sz w:val="22"/>
        </w:rPr>
        <w:t>p</w:t>
      </w:r>
      <w:r w:rsidRPr="009B09E8">
        <w:t>, and this set of confidence intervals for a 90% level of confidence.</w:t>
      </w:r>
    </w:p>
    <w:p w14:paraId="65983E3D" w14:textId="77777777" w:rsidR="00607C26" w:rsidRDefault="00607C26" w:rsidP="00607C26">
      <w:pPr>
        <w:pStyle w:val="VCAAHeading4"/>
      </w:pPr>
      <w:r>
        <w:t>Part 3</w:t>
      </w:r>
    </w:p>
    <w:p w14:paraId="1C98A858" w14:textId="77777777" w:rsidR="00607C26" w:rsidRDefault="00607C26" w:rsidP="00607C26">
      <w:pPr>
        <w:pStyle w:val="VCAAbody"/>
      </w:pPr>
      <w:r>
        <w:t xml:space="preserve">The </w:t>
      </w:r>
      <w:hyperlink r:id="rId11" w:anchor="calculator" w:history="1">
        <w:r w:rsidRPr="001B5DE3">
          <w:rPr>
            <w:rStyle w:val="Hyperlink"/>
          </w:rPr>
          <w:t>Margin of Error Table</w:t>
        </w:r>
      </w:hyperlink>
      <w:r>
        <w:t xml:space="preserve"> </w:t>
      </w:r>
      <w:hyperlink w:history="1"/>
      <w:r>
        <w:t xml:space="preserve">relates sample size, sample proportion and margin of error at a 95% level of confidence. </w:t>
      </w:r>
    </w:p>
    <w:p w14:paraId="277EE6F3" w14:textId="77777777" w:rsidR="00607C26" w:rsidRPr="009B09E8" w:rsidRDefault="00607C26" w:rsidP="00607C26">
      <w:pPr>
        <w:pStyle w:val="VCAAnumbers"/>
        <w:numPr>
          <w:ilvl w:val="0"/>
          <w:numId w:val="19"/>
        </w:numPr>
        <w:tabs>
          <w:tab w:val="left" w:pos="425"/>
        </w:tabs>
        <w:spacing w:before="120" w:after="120" w:line="280" w:lineRule="exact"/>
        <w:contextualSpacing/>
      </w:pPr>
      <w:r w:rsidRPr="009B09E8">
        <w:t>Show how the figures for the row corresponding to a sample size of 2000 are obtained.</w:t>
      </w:r>
    </w:p>
    <w:p w14:paraId="4A6ECDD8" w14:textId="77777777" w:rsidR="00607C26" w:rsidRPr="009B09E8" w:rsidRDefault="00607C26" w:rsidP="00607C26">
      <w:pPr>
        <w:pStyle w:val="VCAAnumbers"/>
        <w:numPr>
          <w:ilvl w:val="0"/>
          <w:numId w:val="19"/>
        </w:numPr>
        <w:tabs>
          <w:tab w:val="left" w:pos="425"/>
        </w:tabs>
        <w:spacing w:before="120" w:after="120" w:line="280" w:lineRule="exact"/>
        <w:contextualSpacing/>
      </w:pPr>
      <w:r w:rsidRPr="009B09E8">
        <w:t>Draw graphs of several functions to illustrate how the maximum margin of error varies for different sample sizes and levels of confidence.</w:t>
      </w:r>
    </w:p>
    <w:p w14:paraId="17DBC1F2" w14:textId="77777777" w:rsidR="00607C26" w:rsidRPr="009B09E8" w:rsidRDefault="00607C26" w:rsidP="00607C26">
      <w:pPr>
        <w:pStyle w:val="VCAAnumbers"/>
        <w:numPr>
          <w:ilvl w:val="0"/>
          <w:numId w:val="19"/>
        </w:numPr>
        <w:tabs>
          <w:tab w:val="left" w:pos="425"/>
        </w:tabs>
        <w:spacing w:before="120" w:after="120" w:line="280" w:lineRule="exact"/>
        <w:contextualSpacing/>
      </w:pPr>
      <w:r w:rsidRPr="009B09E8">
        <w:t xml:space="preserve">Suppose that it costs $50 per individual response gathered as part of a survey. Discuss what you think might be a reasonable combination of sample size, level of confidence, margin of error and total cost. </w:t>
      </w:r>
    </w:p>
    <w:p w14:paraId="7B95E3A9" w14:textId="77777777" w:rsidR="00607C26" w:rsidRPr="00607C26" w:rsidRDefault="00607C26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77E19D1C" w14:textId="2E2925A5" w:rsidR="00607C26" w:rsidRPr="00ED1AF7" w:rsidRDefault="00607C26" w:rsidP="00607C26">
      <w:pPr>
        <w:pStyle w:val="VCAAHeading3"/>
        <w:rPr>
          <w:rFonts w:cs="HelveticaNeueLT-Roman"/>
        </w:rPr>
      </w:pPr>
      <w:r w:rsidRPr="00ED1AF7">
        <w:lastRenderedPageBreak/>
        <w:t>Areas of study</w:t>
      </w:r>
    </w:p>
    <w:p w14:paraId="25552460" w14:textId="0359E7C3" w:rsidR="00607C26" w:rsidRDefault="00607C26" w:rsidP="00607C26">
      <w:pPr>
        <w:pStyle w:val="VCAAbody"/>
      </w:pPr>
      <w:r w:rsidRPr="009C7B08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607C26" w:rsidRPr="00485F20" w14:paraId="6930FE0A" w14:textId="77777777" w:rsidTr="001F450B">
        <w:tc>
          <w:tcPr>
            <w:tcW w:w="3209" w:type="dxa"/>
            <w:shd w:val="clear" w:color="auto" w:fill="0F7EB4"/>
          </w:tcPr>
          <w:p w14:paraId="120E596C" w14:textId="77777777" w:rsidR="00607C26" w:rsidRPr="00485F20" w:rsidRDefault="00607C26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4B893131" w14:textId="77777777" w:rsidR="00607C26" w:rsidRPr="00485F20" w:rsidRDefault="00607C26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607C26" w14:paraId="21DBD32F" w14:textId="77777777" w:rsidTr="001F450B">
        <w:tc>
          <w:tcPr>
            <w:tcW w:w="3209" w:type="dxa"/>
          </w:tcPr>
          <w:p w14:paraId="178EAC4A" w14:textId="1D5A8DB4" w:rsidR="00607C26" w:rsidRDefault="00607C26" w:rsidP="00607C26">
            <w:pPr>
              <w:pStyle w:val="VCAAtablecondensed"/>
            </w:pPr>
            <w:r>
              <w:t>Functions, relation and graphs</w:t>
            </w:r>
          </w:p>
        </w:tc>
        <w:tc>
          <w:tcPr>
            <w:tcW w:w="3210" w:type="dxa"/>
          </w:tcPr>
          <w:p w14:paraId="57744083" w14:textId="78A42109" w:rsidR="00607C26" w:rsidRDefault="00607C26" w:rsidP="00607C26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607C26" w14:paraId="630F2506" w14:textId="77777777" w:rsidTr="001F450B">
        <w:tc>
          <w:tcPr>
            <w:tcW w:w="3209" w:type="dxa"/>
          </w:tcPr>
          <w:p w14:paraId="094173A4" w14:textId="15DFE508" w:rsidR="00607C26" w:rsidRDefault="00607C26" w:rsidP="00607C26">
            <w:pPr>
              <w:pStyle w:val="VCAAtablecondensed"/>
              <w:rPr>
                <w:lang w:val="en-AU"/>
              </w:rPr>
            </w:pPr>
            <w:r>
              <w:t>Algebra, number and structure</w:t>
            </w:r>
          </w:p>
        </w:tc>
        <w:tc>
          <w:tcPr>
            <w:tcW w:w="3210" w:type="dxa"/>
          </w:tcPr>
          <w:p w14:paraId="2EFE0B95" w14:textId="56D991B9" w:rsidR="00607C26" w:rsidRDefault="00607C26" w:rsidP="00607C26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607C26" w14:paraId="7369A6F3" w14:textId="77777777" w:rsidTr="001F450B">
        <w:tc>
          <w:tcPr>
            <w:tcW w:w="3209" w:type="dxa"/>
          </w:tcPr>
          <w:p w14:paraId="570C4579" w14:textId="0235533A" w:rsidR="00607C26" w:rsidRDefault="00607C26" w:rsidP="00607C26">
            <w:pPr>
              <w:pStyle w:val="VCAAtablecondensed"/>
              <w:rPr>
                <w:lang w:val="en-AU"/>
              </w:rPr>
            </w:pPr>
            <w:r>
              <w:t>Calculus</w:t>
            </w:r>
          </w:p>
        </w:tc>
        <w:tc>
          <w:tcPr>
            <w:tcW w:w="3210" w:type="dxa"/>
          </w:tcPr>
          <w:p w14:paraId="0CD21B30" w14:textId="28626ED3" w:rsidR="00607C26" w:rsidRDefault="00607C26" w:rsidP="00607C26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607C26" w14:paraId="331B3BF7" w14:textId="77777777" w:rsidTr="001F450B">
        <w:tc>
          <w:tcPr>
            <w:tcW w:w="3209" w:type="dxa"/>
          </w:tcPr>
          <w:p w14:paraId="3736A00E" w14:textId="05175AA6" w:rsidR="00607C26" w:rsidRDefault="00607C26" w:rsidP="00607C26">
            <w:pPr>
              <w:pStyle w:val="VCAAtablecondensed"/>
            </w:pPr>
            <w:r>
              <w:t>Data analysis, p</w:t>
            </w:r>
            <w:r w:rsidRPr="00FB2C39">
              <w:t>robability and statistics</w:t>
            </w:r>
          </w:p>
        </w:tc>
        <w:tc>
          <w:tcPr>
            <w:tcW w:w="3210" w:type="dxa"/>
          </w:tcPr>
          <w:p w14:paraId="45A70297" w14:textId="70002917" w:rsidR="00607C26" w:rsidRDefault="00607C26" w:rsidP="00607C26">
            <w:pPr>
              <w:pStyle w:val="VCAAtablecondensed"/>
            </w:pPr>
            <w:r w:rsidRPr="00FB2C39">
              <w:t>1,</w:t>
            </w:r>
            <w:r>
              <w:t xml:space="preserve"> 2,</w:t>
            </w:r>
            <w:r w:rsidRPr="00FB2C39">
              <w:t xml:space="preserve"> 4</w:t>
            </w:r>
          </w:p>
        </w:tc>
      </w:tr>
    </w:tbl>
    <w:p w14:paraId="40A08F42" w14:textId="77777777" w:rsidR="00607C26" w:rsidRDefault="00607C26" w:rsidP="00607C26">
      <w:pPr>
        <w:pStyle w:val="VCAAHeading3"/>
      </w:pPr>
      <w:r>
        <w:t>Outcomes</w:t>
      </w:r>
    </w:p>
    <w:p w14:paraId="6AA4A520" w14:textId="1146C4F2" w:rsidR="00607C26" w:rsidRDefault="00607C26" w:rsidP="00607C26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07C26" w:rsidRPr="00FA2380" w14:paraId="0F81351B" w14:textId="77777777" w:rsidTr="00607C26">
        <w:tc>
          <w:tcPr>
            <w:tcW w:w="3209" w:type="dxa"/>
            <w:shd w:val="clear" w:color="auto" w:fill="0F7EB4"/>
          </w:tcPr>
          <w:p w14:paraId="76C1EFAA" w14:textId="77777777" w:rsidR="00607C26" w:rsidRPr="00FA2380" w:rsidRDefault="00607C26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09145056" w14:textId="77777777" w:rsidR="00607C26" w:rsidRPr="00FA2380" w:rsidRDefault="00607C26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knowledge dot point</w:t>
            </w:r>
            <w:r>
              <w:rPr>
                <w:b/>
                <w:lang w:val="en-AU"/>
              </w:rPr>
              <w:t>s</w:t>
            </w:r>
          </w:p>
        </w:tc>
        <w:tc>
          <w:tcPr>
            <w:tcW w:w="3210" w:type="dxa"/>
            <w:shd w:val="clear" w:color="auto" w:fill="0F7EB4"/>
          </w:tcPr>
          <w:p w14:paraId="6B5AA538" w14:textId="77777777" w:rsidR="00607C26" w:rsidRPr="00FA2380" w:rsidRDefault="00607C26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skill</w:t>
            </w:r>
            <w:r>
              <w:rPr>
                <w:b/>
                <w:lang w:val="en-AU"/>
              </w:rPr>
              <w:t>s</w:t>
            </w:r>
            <w:r w:rsidRPr="006D6BCF">
              <w:rPr>
                <w:b/>
                <w:lang w:val="en-AU"/>
              </w:rPr>
              <w:t xml:space="preserve"> dot point</w:t>
            </w:r>
            <w:r>
              <w:rPr>
                <w:b/>
                <w:lang w:val="en-AU"/>
              </w:rPr>
              <w:t>s</w:t>
            </w:r>
          </w:p>
        </w:tc>
      </w:tr>
      <w:tr w:rsidR="00607C26" w14:paraId="3A68935E" w14:textId="77777777" w:rsidTr="00607C26">
        <w:tc>
          <w:tcPr>
            <w:tcW w:w="3209" w:type="dxa"/>
          </w:tcPr>
          <w:p w14:paraId="6ADF05AD" w14:textId="1B2572B9" w:rsidR="00607C26" w:rsidRPr="000E2B81" w:rsidRDefault="00607C26" w:rsidP="00607C26">
            <w:pPr>
              <w:pStyle w:val="VCAAtablecondensed"/>
              <w:rPr>
                <w:bCs/>
              </w:rPr>
            </w:pPr>
            <w:r w:rsidRPr="00607C26">
              <w:rPr>
                <w:bCs/>
              </w:rPr>
              <w:t>1</w:t>
            </w:r>
          </w:p>
        </w:tc>
        <w:tc>
          <w:tcPr>
            <w:tcW w:w="3210" w:type="dxa"/>
          </w:tcPr>
          <w:p w14:paraId="08E9B8E2" w14:textId="7D5D5E82" w:rsidR="00607C26" w:rsidRDefault="00607C26" w:rsidP="00607C26">
            <w:pPr>
              <w:pStyle w:val="VCAAtablecondensed"/>
            </w:pPr>
            <w:r>
              <w:t xml:space="preserve">1, 14, 16, </w:t>
            </w:r>
            <w:r w:rsidRPr="00FB2C39">
              <w:t>17</w:t>
            </w:r>
          </w:p>
        </w:tc>
        <w:tc>
          <w:tcPr>
            <w:tcW w:w="3210" w:type="dxa"/>
          </w:tcPr>
          <w:p w14:paraId="09667379" w14:textId="474B25D9" w:rsidR="00607C26" w:rsidRDefault="00607C26" w:rsidP="00607C26">
            <w:pPr>
              <w:pStyle w:val="VCAAtablecondensed"/>
            </w:pPr>
            <w:r>
              <w:t xml:space="preserve">1, 16, 18, </w:t>
            </w:r>
            <w:r w:rsidRPr="00FB2C39">
              <w:t>19, 20</w:t>
            </w:r>
          </w:p>
        </w:tc>
      </w:tr>
      <w:tr w:rsidR="00607C26" w14:paraId="7206E2AB" w14:textId="77777777" w:rsidTr="00607C26">
        <w:tc>
          <w:tcPr>
            <w:tcW w:w="3209" w:type="dxa"/>
          </w:tcPr>
          <w:p w14:paraId="58EA4FA5" w14:textId="45FB0141" w:rsidR="00607C26" w:rsidRPr="000E2B81" w:rsidRDefault="00607C26" w:rsidP="00607C26">
            <w:pPr>
              <w:pStyle w:val="VCAAtablecondensed"/>
              <w:rPr>
                <w:bCs/>
              </w:rPr>
            </w:pPr>
            <w:r w:rsidRPr="00607C26">
              <w:rPr>
                <w:bCs/>
              </w:rPr>
              <w:t>2</w:t>
            </w:r>
          </w:p>
        </w:tc>
        <w:tc>
          <w:tcPr>
            <w:tcW w:w="3210" w:type="dxa"/>
          </w:tcPr>
          <w:p w14:paraId="2FFE4642" w14:textId="4D8DD7D0" w:rsidR="00607C26" w:rsidRDefault="00607C26" w:rsidP="00607C26">
            <w:pPr>
              <w:pStyle w:val="VCAAtablecondensed"/>
            </w:pPr>
            <w:r w:rsidRPr="00FB2C39">
              <w:t>1, 2, 4</w:t>
            </w:r>
            <w:r>
              <w:t>, 5</w:t>
            </w:r>
          </w:p>
        </w:tc>
        <w:tc>
          <w:tcPr>
            <w:tcW w:w="3210" w:type="dxa"/>
          </w:tcPr>
          <w:p w14:paraId="48DA193C" w14:textId="07DFA1DF" w:rsidR="00607C26" w:rsidRDefault="00607C26" w:rsidP="00607C26">
            <w:pPr>
              <w:pStyle w:val="VCAAtablecondensed"/>
            </w:pPr>
            <w:r>
              <w:t xml:space="preserve">1, </w:t>
            </w:r>
            <w:r w:rsidRPr="00FB2C39">
              <w:t xml:space="preserve">2, </w:t>
            </w:r>
            <w:r>
              <w:t xml:space="preserve">3, </w:t>
            </w:r>
            <w:r w:rsidRPr="00FB2C39">
              <w:t xml:space="preserve">4, </w:t>
            </w:r>
            <w:r>
              <w:t>6, 7</w:t>
            </w:r>
          </w:p>
        </w:tc>
      </w:tr>
      <w:tr w:rsidR="00607C26" w14:paraId="2BC79A96" w14:textId="77777777" w:rsidTr="00607C26">
        <w:tc>
          <w:tcPr>
            <w:tcW w:w="3209" w:type="dxa"/>
          </w:tcPr>
          <w:p w14:paraId="0D32AC17" w14:textId="38AA7465" w:rsidR="00607C26" w:rsidRPr="000E2B81" w:rsidRDefault="00607C26" w:rsidP="00607C26">
            <w:pPr>
              <w:pStyle w:val="VCAAtablecondensed"/>
              <w:rPr>
                <w:bCs/>
              </w:rPr>
            </w:pPr>
            <w:r w:rsidRPr="00607C26">
              <w:rPr>
                <w:bCs/>
              </w:rPr>
              <w:t>3</w:t>
            </w:r>
          </w:p>
        </w:tc>
        <w:tc>
          <w:tcPr>
            <w:tcW w:w="3210" w:type="dxa"/>
          </w:tcPr>
          <w:p w14:paraId="6C00AC78" w14:textId="7E3B06EB" w:rsidR="00607C26" w:rsidRDefault="00607C26" w:rsidP="00607C26">
            <w:pPr>
              <w:pStyle w:val="VCAAtablecondensed"/>
            </w:pPr>
            <w:r>
              <w:t xml:space="preserve">1, </w:t>
            </w:r>
            <w:r w:rsidRPr="00FB2C39">
              <w:t>2, 3, 4, 6</w:t>
            </w:r>
            <w:r>
              <w:t>, 7, 8</w:t>
            </w:r>
          </w:p>
        </w:tc>
        <w:tc>
          <w:tcPr>
            <w:tcW w:w="3210" w:type="dxa"/>
          </w:tcPr>
          <w:p w14:paraId="70E567AF" w14:textId="4CF59164" w:rsidR="00607C26" w:rsidRDefault="00607C26" w:rsidP="00607C26">
            <w:pPr>
              <w:pStyle w:val="VCAAtablecondensed"/>
            </w:pPr>
            <w:r>
              <w:t>1, 3</w:t>
            </w:r>
            <w:r w:rsidRPr="00FB2C39">
              <w:t xml:space="preserve">, 4, 5, 8, </w:t>
            </w:r>
            <w:r>
              <w:t xml:space="preserve">9, </w:t>
            </w:r>
            <w:r w:rsidRPr="00FB2C39">
              <w:t>10, 11</w:t>
            </w:r>
          </w:p>
        </w:tc>
      </w:tr>
    </w:tbl>
    <w:p w14:paraId="62FE23AC" w14:textId="4AAB5A52" w:rsidR="00607C26" w:rsidRDefault="00607C26" w:rsidP="00607C26">
      <w:pPr>
        <w:pStyle w:val="VCAAbody"/>
      </w:pPr>
    </w:p>
    <w:sectPr w:rsidR="00607C26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DE716CF" w:rsidR="00FD29D3" w:rsidRPr="00D86DE4" w:rsidRDefault="008E529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19A2">
          <w:rPr>
            <w:color w:val="999999" w:themeColor="accent2"/>
          </w:rPr>
          <w:t>VCE Mathematical Methods Unit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18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  <w:num w:numId="17">
    <w:abstractNumId w:val="11"/>
  </w:num>
  <w:num w:numId="18">
    <w:abstractNumId w:val="17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2734D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8E5290"/>
    <w:rsid w:val="009370BC"/>
    <w:rsid w:val="00970580"/>
    <w:rsid w:val="00984E15"/>
    <w:rsid w:val="0098739B"/>
    <w:rsid w:val="009A0DA4"/>
    <w:rsid w:val="009A192D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trics.com/au/experience-management/research/margin-of-error/?rid=ip&amp;prevsite=en&amp;newsite=au&amp;geo=AU&amp;geomatch=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C1DB-D08B-46C2-8A9A-51118A807448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3</vt:lpstr>
    </vt:vector>
  </TitlesOfParts>
  <Company>Victorian Curriculum and Assessment Authority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4</dc:title>
  <dc:subject>VCE Mathematical Methods</dc:subject>
  <dc:creator>vcaa@education.vic.gov.au</dc:creator>
  <cp:keywords>mathematical methods, VCE, sample, modelling, problem-solving, proportions, popularity, unit 4</cp:keywords>
  <cp:lastModifiedBy>Julie Coleman</cp:lastModifiedBy>
  <cp:revision>5</cp:revision>
  <cp:lastPrinted>2015-05-15T02:36:00Z</cp:lastPrinted>
  <dcterms:created xsi:type="dcterms:W3CDTF">2022-12-20T03:54:00Z</dcterms:created>
  <dcterms:modified xsi:type="dcterms:W3CDTF">2023-01-23T22:32:00Z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