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B3050A9" w:rsidR="00F4525C" w:rsidRDefault="00C904AB" w:rsidP="009B61E5">
      <w:pPr>
        <w:pStyle w:val="VCAADocumenttitle"/>
      </w:pPr>
      <w:r>
        <w:t>VCE Mathematic</w:t>
      </w:r>
      <w:r w:rsidR="0041382E">
        <w:t>al Methods</w:t>
      </w:r>
      <w:r>
        <w:t xml:space="preserve"> Unit</w:t>
      </w:r>
      <w:r w:rsidR="0096724C">
        <w:t>s 3 and</w:t>
      </w:r>
      <w:r>
        <w:t xml:space="preserve"> </w:t>
      </w:r>
      <w:r w:rsidR="00804875">
        <w:t>4</w:t>
      </w:r>
    </w:p>
    <w:p w14:paraId="2C523E08" w14:textId="6A228063" w:rsidR="00887955" w:rsidRPr="00887955" w:rsidRDefault="00887955" w:rsidP="00887955">
      <w:pPr>
        <w:pStyle w:val="VCAAHeading1"/>
      </w:pPr>
      <w:bookmarkStart w:id="0" w:name="TemplateOverview"/>
      <w:bookmarkEnd w:id="0"/>
      <w:r w:rsidRPr="00887955">
        <w:t>Area of Study 3: Calculus</w:t>
      </w:r>
    </w:p>
    <w:p w14:paraId="74E62D52" w14:textId="32B030F0" w:rsidR="00243F0D" w:rsidRPr="0096724C" w:rsidRDefault="0096724C" w:rsidP="00887955">
      <w:pPr>
        <w:pStyle w:val="VCAAHeading2"/>
      </w:pPr>
      <w:r w:rsidRPr="0096724C">
        <w:t>Example of learning activity: Exploring approximation of a definite integral</w:t>
      </w:r>
    </w:p>
    <w:p w14:paraId="10153BC0" w14:textId="77777777" w:rsidR="002B4C4E" w:rsidRPr="0084646A" w:rsidRDefault="002B4C4E" w:rsidP="002B4C4E">
      <w:pPr>
        <w:pStyle w:val="VCAAHeading3"/>
      </w:pPr>
      <w:r w:rsidRPr="0084646A">
        <w:t>Introduction</w:t>
      </w:r>
    </w:p>
    <w:p w14:paraId="7C661A25" w14:textId="77777777" w:rsidR="002C52E7" w:rsidRDefault="002C52E7" w:rsidP="002C52E7">
      <w:pPr>
        <w:pStyle w:val="VCAAbody"/>
      </w:pPr>
      <w:r>
        <w:t>I</w:t>
      </w:r>
      <w:r w:rsidRPr="00524148">
        <w:t xml:space="preserve">nformal </w:t>
      </w:r>
      <w:r>
        <w:t xml:space="preserve">exploration </w:t>
      </w:r>
      <w:r w:rsidRPr="00524148">
        <w:t xml:space="preserve">of the area under a curve </w:t>
      </w:r>
      <w:r>
        <w:t xml:space="preserve">specified by the graph of a function, </w:t>
      </w:r>
      <w:r w:rsidRPr="00524148">
        <w:t>and approximation of definite integrals</w:t>
      </w:r>
      <w:r>
        <w:t xml:space="preserve"> using upper and lower rectangles, and trapeziums.</w:t>
      </w:r>
    </w:p>
    <w:p w14:paraId="253C708D" w14:textId="77777777" w:rsidR="002C52E7" w:rsidRPr="009F4D36" w:rsidRDefault="002C52E7" w:rsidP="002C52E7">
      <w:pPr>
        <w:pStyle w:val="VCAAHeading4"/>
      </w:pPr>
      <w:r w:rsidRPr="009F4D36">
        <w:t>Part 1</w:t>
      </w:r>
    </w:p>
    <w:p w14:paraId="4EA94B78" w14:textId="77777777" w:rsidR="00887955" w:rsidRDefault="00887955" w:rsidP="00887955">
      <w:pPr>
        <w:pStyle w:val="VCAAbody"/>
        <w:rPr>
          <w:lang w:val="en-AU"/>
        </w:rPr>
      </w:pPr>
      <w:r w:rsidRPr="0C3B4AC8">
        <w:rPr>
          <w:lang w:val="en-AU"/>
        </w:rPr>
        <w:t>The area between the graph of a fu</w:t>
      </w:r>
      <w:r>
        <w:rPr>
          <w:lang w:val="en-AU"/>
        </w:rPr>
        <w:t>nc</w:t>
      </w:r>
      <w:r w:rsidRPr="0C3B4AC8">
        <w:rPr>
          <w:lang w:val="en-AU"/>
        </w:rPr>
        <w:t xml:space="preserve">tion and the horizontal axis can be approximated by dividing it into a series of smaller areas and calculating the area of each of these. Several approaches can be used resulting in different </w:t>
      </w:r>
      <w:r>
        <w:rPr>
          <w:lang w:val="en-AU"/>
        </w:rPr>
        <w:t xml:space="preserve">levels of </w:t>
      </w:r>
      <w:r w:rsidRPr="0C3B4AC8">
        <w:rPr>
          <w:lang w:val="en-AU"/>
        </w:rPr>
        <w:t>accuracy. Technology applications use this concept to calculate the area under the curve (definite integral) for fu</w:t>
      </w:r>
      <w:r>
        <w:rPr>
          <w:lang w:val="en-AU"/>
        </w:rPr>
        <w:t>nc</w:t>
      </w:r>
      <w:r w:rsidRPr="0C3B4AC8">
        <w:rPr>
          <w:lang w:val="en-AU"/>
        </w:rPr>
        <w:t>tions that do not have simple anti-derivative functions.</w:t>
      </w:r>
    </w:p>
    <w:p w14:paraId="4FC115B5" w14:textId="77777777" w:rsidR="00887955" w:rsidRDefault="00887955" w:rsidP="00887955">
      <w:pPr>
        <w:pStyle w:val="VCAAbody"/>
        <w:rPr>
          <w:lang w:val="en-AU"/>
        </w:rPr>
      </w:pPr>
      <w:r>
        <w:rPr>
          <w:lang w:val="en-AU"/>
        </w:rPr>
        <w:t>Use</w:t>
      </w:r>
      <w:r w:rsidRPr="00542424">
        <w:rPr>
          <w:lang w:val="en-AU"/>
        </w:rPr>
        <w:t xml:space="preserve"> the graph of </w:t>
      </w:r>
      <m:oMath>
        <m:r>
          <w:rPr>
            <w:rFonts w:ascii="Cambria Math" w:hAnsi="Cambria Math"/>
          </w:rPr>
          <m:t>f:R→R,f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542424">
        <w:rPr>
          <w:lang w:val="en-AU"/>
        </w:rPr>
        <w:t xml:space="preserve"> </w:t>
      </w:r>
      <w:r>
        <w:rPr>
          <w:lang w:val="en-AU"/>
        </w:rPr>
        <w:t xml:space="preserve">from </w:t>
      </w:r>
      <m:oMath>
        <m:r>
          <w:rPr>
            <w:rFonts w:ascii="Cambria Math" w:hAnsi="Cambria Math"/>
            <w:lang w:val="en-AU"/>
          </w:rPr>
          <m:t>0≤</m:t>
        </m:r>
        <m:r>
          <w:rPr>
            <w:rFonts w:ascii="Cambria Math" w:hAnsi="Cambria Math"/>
          </w:rPr>
          <m:t>x ≤1</m:t>
        </m:r>
      </m:oMath>
      <w:r>
        <w:t xml:space="preserve">, to calculate the approximate area under the curve for </w:t>
      </w:r>
      <m:oMath>
        <m:r>
          <w:rPr>
            <w:rFonts w:ascii="Cambria Math" w:hAnsi="Cambria Math"/>
          </w:rPr>
          <m:t>f</m:t>
        </m:r>
        <m:d>
          <m:dPr>
            <m:ctrlPr>
              <w:rPr>
                <w:rFonts w:ascii="Cambria Math" w:hAnsi="Cambria Math"/>
                <w:i/>
              </w:rPr>
            </m:ctrlPr>
          </m:dPr>
          <m:e>
            <m:r>
              <w:rPr>
                <w:rFonts w:ascii="Cambria Math" w:hAnsi="Cambria Math"/>
              </w:rPr>
              <m:t>x</m:t>
            </m:r>
          </m:e>
        </m:d>
      </m:oMath>
      <w:r>
        <w:t xml:space="preserve"> with each of the following approaches:</w:t>
      </w:r>
    </w:p>
    <w:p w14:paraId="3D6A95CC" w14:textId="63ACBAC8" w:rsidR="00887955" w:rsidRPr="00887955" w:rsidRDefault="00887955" w:rsidP="002C52E7">
      <w:pPr>
        <w:pStyle w:val="ListParagraph"/>
        <w:numPr>
          <w:ilvl w:val="0"/>
          <w:numId w:val="16"/>
        </w:numPr>
        <w:spacing w:after="240" w:line="259" w:lineRule="auto"/>
        <w:ind w:left="426" w:hanging="426"/>
        <w:rPr>
          <w:rFonts w:eastAsia="Calibri" w:cstheme="minorHAnsi"/>
          <w:color w:val="000000"/>
          <w:sz w:val="20"/>
          <w:szCs w:val="20"/>
          <w:lang w:val="en-AU"/>
        </w:rPr>
      </w:pPr>
      <w:r w:rsidRPr="00887955">
        <w:rPr>
          <w:rFonts w:eastAsia="Calibri" w:cstheme="minorHAnsi"/>
          <w:color w:val="000000"/>
          <w:sz w:val="20"/>
          <w:szCs w:val="20"/>
          <w:lang w:val="en-AU"/>
        </w:rPr>
        <w:t xml:space="preserve">The area within the given interval has been divided into four rectangles of equal width, with the intersection of the righthand side of the rectangle and the graph </w:t>
      </w:r>
      <m:oMath>
        <m:r>
          <w:rPr>
            <w:rFonts w:ascii="Cambria Math" w:hAnsi="Cambria Math" w:cstheme="minorHAnsi"/>
            <w:color w:val="000000"/>
            <w:sz w:val="20"/>
            <w:szCs w:val="20"/>
          </w:rPr>
          <m:t>f</m:t>
        </m:r>
        <m:d>
          <m:dPr>
            <m:ctrlPr>
              <w:rPr>
                <w:rFonts w:ascii="Cambria Math" w:hAnsi="Cambria Math" w:cstheme="minorHAnsi"/>
                <w:i/>
                <w:color w:val="000000"/>
                <w:sz w:val="20"/>
                <w:szCs w:val="20"/>
              </w:rPr>
            </m:ctrlPr>
          </m:dPr>
          <m:e>
            <m:r>
              <w:rPr>
                <w:rFonts w:ascii="Cambria Math" w:hAnsi="Cambria Math" w:cstheme="minorHAnsi"/>
                <w:color w:val="000000"/>
                <w:sz w:val="20"/>
                <w:szCs w:val="20"/>
              </w:rPr>
              <m:t>x</m:t>
            </m:r>
          </m:e>
        </m:d>
      </m:oMath>
      <w:r w:rsidRPr="00887955">
        <w:rPr>
          <w:rFonts w:eastAsia="Calibri" w:cstheme="minorHAnsi"/>
          <w:color w:val="000000"/>
          <w:sz w:val="20"/>
          <w:szCs w:val="20"/>
          <w:lang w:val="en-AU"/>
        </w:rPr>
        <w:t xml:space="preserve"> defining the height of each rectangle. </w:t>
      </w:r>
    </w:p>
    <w:p w14:paraId="3D01932B" w14:textId="274040BB" w:rsidR="00887955" w:rsidRPr="00D1287B" w:rsidRDefault="00887955" w:rsidP="00887955">
      <w:pPr>
        <w:pStyle w:val="ListParagraph"/>
        <w:spacing w:after="160" w:line="259" w:lineRule="auto"/>
        <w:ind w:left="426"/>
        <w:rPr>
          <w:rFonts w:eastAsia="Calibri"/>
          <w:color w:val="000000"/>
          <w:lang w:val="en-AU"/>
        </w:rPr>
      </w:pPr>
      <w:r>
        <w:rPr>
          <w:rFonts w:eastAsia="Calibri"/>
          <w:noProof/>
          <w:color w:val="000000"/>
          <w:lang w:val="en-AU"/>
        </w:rPr>
        <w:drawing>
          <wp:inline distT="0" distB="0" distL="0" distR="0" wp14:anchorId="670015F4" wp14:editId="21724FE4">
            <wp:extent cx="2381250" cy="2521075"/>
            <wp:effectExtent l="0" t="0" r="0" b="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7875" cy="2538676"/>
                    </a:xfrm>
                    <a:prstGeom prst="rect">
                      <a:avLst/>
                    </a:prstGeom>
                  </pic:spPr>
                </pic:pic>
              </a:graphicData>
            </a:graphic>
          </wp:inline>
        </w:drawing>
      </w:r>
    </w:p>
    <w:p w14:paraId="5F59D52D" w14:textId="7645378B" w:rsidR="00887955" w:rsidRDefault="00887955">
      <w:pPr>
        <w:rPr>
          <w:rFonts w:eastAsia="Calibri"/>
          <w:color w:val="000000"/>
          <w:lang w:val="en-AU"/>
        </w:rPr>
      </w:pPr>
      <w:r>
        <w:rPr>
          <w:rFonts w:eastAsia="Calibri"/>
          <w:color w:val="000000"/>
          <w:lang w:val="en-AU"/>
        </w:rPr>
        <w:br w:type="page"/>
      </w:r>
    </w:p>
    <w:p w14:paraId="14540537" w14:textId="77777777" w:rsidR="00887955" w:rsidRPr="00887955" w:rsidRDefault="00887955" w:rsidP="00887955">
      <w:pPr>
        <w:pStyle w:val="ListParagraph"/>
        <w:numPr>
          <w:ilvl w:val="0"/>
          <w:numId w:val="15"/>
        </w:numPr>
        <w:spacing w:after="160" w:line="259" w:lineRule="auto"/>
        <w:rPr>
          <w:rFonts w:eastAsia="Calibri"/>
          <w:color w:val="000000"/>
          <w:sz w:val="20"/>
          <w:szCs w:val="20"/>
          <w:lang w:val="en-AU"/>
        </w:rPr>
      </w:pPr>
      <w:bookmarkStart w:id="1" w:name="_Hlk94200323"/>
      <w:r w:rsidRPr="00887955">
        <w:rPr>
          <w:rFonts w:eastAsia="Calibri"/>
          <w:color w:val="000000"/>
          <w:sz w:val="20"/>
          <w:szCs w:val="20"/>
          <w:lang w:val="en-AU"/>
        </w:rPr>
        <w:lastRenderedPageBreak/>
        <w:t xml:space="preserve">Calculate the approximate </w:t>
      </w:r>
      <w:r w:rsidRPr="00887955">
        <w:rPr>
          <w:rFonts w:eastAsia="Calibri"/>
          <w:color w:val="000000"/>
          <w:sz w:val="20"/>
          <w:szCs w:val="20"/>
        </w:rPr>
        <w:t>area under the curve.</w:t>
      </w:r>
    </w:p>
    <w:p w14:paraId="7658D350" w14:textId="77777777" w:rsidR="00887955" w:rsidRPr="00887955" w:rsidRDefault="00887955" w:rsidP="00887955">
      <w:pPr>
        <w:pStyle w:val="ListParagraph"/>
        <w:numPr>
          <w:ilvl w:val="0"/>
          <w:numId w:val="15"/>
        </w:numPr>
        <w:spacing w:after="160" w:line="259" w:lineRule="auto"/>
        <w:rPr>
          <w:rFonts w:eastAsia="Calibri"/>
          <w:color w:val="000000"/>
          <w:sz w:val="20"/>
          <w:szCs w:val="20"/>
          <w:lang w:val="en-AU"/>
        </w:rPr>
      </w:pPr>
      <w:r w:rsidRPr="00887955">
        <w:rPr>
          <w:rFonts w:eastAsia="Calibri"/>
          <w:color w:val="000000" w:themeColor="text1"/>
          <w:sz w:val="20"/>
          <w:szCs w:val="20"/>
        </w:rPr>
        <w:t>Consider whether the approximate area is an under or overestimate of the actual area under the graph and whether this would be the case for all functions, when this approach is used.</w:t>
      </w:r>
    </w:p>
    <w:p w14:paraId="48AF9714" w14:textId="77777777" w:rsidR="00887955" w:rsidRPr="00887955" w:rsidRDefault="00887955" w:rsidP="00887955">
      <w:pPr>
        <w:pStyle w:val="ListParagraph"/>
        <w:numPr>
          <w:ilvl w:val="0"/>
          <w:numId w:val="15"/>
        </w:numPr>
        <w:spacing w:after="160" w:line="259" w:lineRule="auto"/>
        <w:rPr>
          <w:rFonts w:eastAsia="Calibri"/>
          <w:color w:val="000000"/>
          <w:sz w:val="20"/>
          <w:szCs w:val="20"/>
          <w:lang w:val="en-AU"/>
        </w:rPr>
      </w:pPr>
      <w:r w:rsidRPr="00887955">
        <w:rPr>
          <w:rFonts w:eastAsia="Calibri"/>
          <w:color w:val="000000" w:themeColor="text1"/>
          <w:sz w:val="20"/>
          <w:szCs w:val="20"/>
        </w:rPr>
        <w:t>Estimate the percentage error between the approximate area calculated and the exact answer.</w:t>
      </w:r>
    </w:p>
    <w:bookmarkEnd w:id="1"/>
    <w:p w14:paraId="1343AD37" w14:textId="77777777" w:rsidR="00887955" w:rsidRPr="00887955" w:rsidRDefault="00887955" w:rsidP="00887955">
      <w:pPr>
        <w:pStyle w:val="ListParagraph"/>
        <w:spacing w:after="160" w:line="259" w:lineRule="auto"/>
        <w:ind w:left="1080"/>
        <w:rPr>
          <w:rFonts w:eastAsia="Calibri"/>
          <w:color w:val="000000"/>
          <w:sz w:val="20"/>
          <w:szCs w:val="20"/>
          <w:lang w:val="en-AU"/>
        </w:rPr>
      </w:pPr>
    </w:p>
    <w:p w14:paraId="2658CD61" w14:textId="77777777" w:rsidR="00887955" w:rsidRPr="00887955" w:rsidRDefault="00887955" w:rsidP="002C52E7">
      <w:pPr>
        <w:pStyle w:val="ListParagraph"/>
        <w:numPr>
          <w:ilvl w:val="0"/>
          <w:numId w:val="16"/>
        </w:numPr>
        <w:spacing w:after="160" w:line="259" w:lineRule="auto"/>
        <w:ind w:left="426" w:hanging="426"/>
        <w:rPr>
          <w:rFonts w:eastAsia="Calibri"/>
          <w:color w:val="000000"/>
          <w:sz w:val="20"/>
          <w:szCs w:val="20"/>
          <w:lang w:val="en-AU"/>
        </w:rPr>
      </w:pPr>
      <w:r w:rsidRPr="00887955">
        <w:rPr>
          <w:rFonts w:eastAsia="Calibri"/>
          <w:color w:val="000000"/>
          <w:sz w:val="20"/>
          <w:szCs w:val="20"/>
          <w:lang w:val="en-AU"/>
        </w:rPr>
        <w:t xml:space="preserve">The area within the given domain has been divided into four rectangles of equal width, with the intersection of the left-hand side of the rectangle and the graph </w:t>
      </w:r>
      <m:oMath>
        <m:r>
          <w:rPr>
            <w:rFonts w:ascii="Cambria Math" w:hAnsi="Cambria Math"/>
            <w:color w:val="000000"/>
            <w:sz w:val="20"/>
            <w:szCs w:val="20"/>
          </w:rPr>
          <m:t>f</m:t>
        </m:r>
        <m:d>
          <m:dPr>
            <m:ctrlPr>
              <w:rPr>
                <w:rFonts w:ascii="Cambria Math" w:hAnsi="Cambria Math"/>
                <w:i/>
                <w:color w:val="000000"/>
                <w:sz w:val="20"/>
                <w:szCs w:val="20"/>
              </w:rPr>
            </m:ctrlPr>
          </m:dPr>
          <m:e>
            <m:r>
              <w:rPr>
                <w:rFonts w:ascii="Cambria Math" w:hAnsi="Cambria Math"/>
                <w:color w:val="000000"/>
                <w:sz w:val="20"/>
                <w:szCs w:val="20"/>
              </w:rPr>
              <m:t>x</m:t>
            </m:r>
          </m:e>
        </m:d>
      </m:oMath>
      <w:r w:rsidRPr="00887955">
        <w:rPr>
          <w:rFonts w:eastAsia="Calibri"/>
          <w:color w:val="000000"/>
          <w:sz w:val="20"/>
          <w:szCs w:val="20"/>
          <w:lang w:val="en-AU"/>
        </w:rPr>
        <w:t xml:space="preserve"> defining the height of each rectangle. </w:t>
      </w:r>
    </w:p>
    <w:p w14:paraId="2209057A" w14:textId="092C544A" w:rsidR="00887955" w:rsidRPr="00887955" w:rsidRDefault="00887955" w:rsidP="00887955">
      <w:pPr>
        <w:spacing w:after="160" w:line="259" w:lineRule="auto"/>
        <w:ind w:left="567"/>
        <w:rPr>
          <w:rFonts w:eastAsia="Calibri"/>
          <w:lang w:val="en-AU"/>
        </w:rPr>
      </w:pPr>
      <w:r>
        <w:rPr>
          <w:rFonts w:eastAsia="Calibri"/>
          <w:noProof/>
          <w:lang w:val="en-AU"/>
        </w:rPr>
        <w:drawing>
          <wp:inline distT="0" distB="0" distL="0" distR="0" wp14:anchorId="04AA4BF7" wp14:editId="37584CE7">
            <wp:extent cx="2171700" cy="2299222"/>
            <wp:effectExtent l="0" t="0" r="0" b="635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5951" cy="2314309"/>
                    </a:xfrm>
                    <a:prstGeom prst="rect">
                      <a:avLst/>
                    </a:prstGeom>
                  </pic:spPr>
                </pic:pic>
              </a:graphicData>
            </a:graphic>
          </wp:inline>
        </w:drawing>
      </w:r>
    </w:p>
    <w:p w14:paraId="6A5780AC" w14:textId="77777777" w:rsidR="00887955" w:rsidRPr="00887955" w:rsidRDefault="00887955" w:rsidP="00887955">
      <w:pPr>
        <w:pStyle w:val="ListParagraph"/>
        <w:numPr>
          <w:ilvl w:val="0"/>
          <w:numId w:val="17"/>
        </w:numPr>
        <w:spacing w:after="160" w:line="259" w:lineRule="auto"/>
        <w:rPr>
          <w:rFonts w:eastAsia="Calibri"/>
          <w:color w:val="000000"/>
          <w:sz w:val="20"/>
          <w:szCs w:val="20"/>
          <w:lang w:val="en-AU"/>
        </w:rPr>
      </w:pPr>
      <w:r w:rsidRPr="00887955">
        <w:rPr>
          <w:rFonts w:eastAsia="Calibri"/>
          <w:color w:val="000000"/>
          <w:sz w:val="20"/>
          <w:szCs w:val="20"/>
          <w:lang w:val="en-AU"/>
        </w:rPr>
        <w:t xml:space="preserve">Calculate the approximate </w:t>
      </w:r>
      <w:r w:rsidRPr="00887955">
        <w:rPr>
          <w:rFonts w:eastAsia="Calibri"/>
          <w:color w:val="000000"/>
          <w:sz w:val="20"/>
          <w:szCs w:val="20"/>
        </w:rPr>
        <w:t>area under the curve.</w:t>
      </w:r>
    </w:p>
    <w:p w14:paraId="39F023B2" w14:textId="77777777" w:rsidR="00887955" w:rsidRPr="00887955" w:rsidRDefault="00887955" w:rsidP="00887955">
      <w:pPr>
        <w:pStyle w:val="ListParagraph"/>
        <w:numPr>
          <w:ilvl w:val="0"/>
          <w:numId w:val="17"/>
        </w:numPr>
        <w:spacing w:after="160" w:line="259" w:lineRule="auto"/>
        <w:ind w:hanging="357"/>
        <w:contextualSpacing w:val="0"/>
        <w:rPr>
          <w:rFonts w:eastAsia="Calibri"/>
          <w:color w:val="000000"/>
          <w:sz w:val="20"/>
          <w:szCs w:val="20"/>
          <w:lang w:val="en-AU"/>
        </w:rPr>
      </w:pPr>
      <w:r w:rsidRPr="00887955">
        <w:rPr>
          <w:rFonts w:eastAsia="Calibri"/>
          <w:color w:val="000000"/>
          <w:sz w:val="20"/>
          <w:szCs w:val="20"/>
        </w:rPr>
        <w:t>Estimate the percentage error between the approximate area calculated and the actual answer.</w:t>
      </w:r>
    </w:p>
    <w:p w14:paraId="3A88D21F" w14:textId="77777777" w:rsidR="00887955" w:rsidRPr="00887955" w:rsidRDefault="00887955" w:rsidP="002C52E7">
      <w:pPr>
        <w:pStyle w:val="ListParagraph"/>
        <w:numPr>
          <w:ilvl w:val="0"/>
          <w:numId w:val="16"/>
        </w:numPr>
        <w:spacing w:before="240" w:after="160" w:line="259" w:lineRule="auto"/>
        <w:ind w:left="426" w:hanging="426"/>
        <w:contextualSpacing w:val="0"/>
        <w:rPr>
          <w:rFonts w:eastAsia="Calibri" w:cstheme="minorHAnsi"/>
          <w:color w:val="000000"/>
          <w:sz w:val="20"/>
          <w:szCs w:val="20"/>
          <w:lang w:val="en-AU"/>
        </w:rPr>
      </w:pPr>
      <w:r w:rsidRPr="00887955">
        <w:rPr>
          <w:rFonts w:eastAsia="Calibri" w:cstheme="minorHAnsi"/>
          <w:color w:val="000000"/>
          <w:sz w:val="20"/>
          <w:szCs w:val="20"/>
          <w:lang w:val="en-AU"/>
        </w:rPr>
        <w:t xml:space="preserve">Divide the area under the graph of </w:t>
      </w:r>
      <m:oMath>
        <m:r>
          <w:rPr>
            <w:rFonts w:ascii="Cambria Math" w:hAnsi="Cambria Math" w:cstheme="minorHAnsi"/>
            <w:color w:val="000000"/>
            <w:sz w:val="20"/>
            <w:szCs w:val="20"/>
          </w:rPr>
          <m:t>f</m:t>
        </m:r>
        <m:d>
          <m:dPr>
            <m:ctrlPr>
              <w:rPr>
                <w:rFonts w:ascii="Cambria Math" w:hAnsi="Cambria Math" w:cstheme="minorHAnsi"/>
                <w:i/>
                <w:color w:val="000000"/>
                <w:sz w:val="20"/>
                <w:szCs w:val="20"/>
              </w:rPr>
            </m:ctrlPr>
          </m:dPr>
          <m:e>
            <m:r>
              <w:rPr>
                <w:rFonts w:ascii="Cambria Math" w:hAnsi="Cambria Math" w:cstheme="minorHAnsi"/>
                <w:color w:val="000000"/>
                <w:sz w:val="20"/>
                <w:szCs w:val="20"/>
              </w:rPr>
              <m:t>x</m:t>
            </m:r>
          </m:e>
        </m:d>
      </m:oMath>
      <w:r w:rsidRPr="00887955">
        <w:rPr>
          <w:rFonts w:eastAsia="Calibri" w:cstheme="minorHAnsi"/>
          <w:color w:val="000000"/>
          <w:sz w:val="20"/>
          <w:szCs w:val="20"/>
          <w:lang w:val="en-AU"/>
        </w:rPr>
        <w:t xml:space="preserve"> from </w:t>
      </w:r>
      <m:oMath>
        <m:r>
          <w:rPr>
            <w:rFonts w:ascii="Cambria Math" w:eastAsia="Calibri" w:hAnsi="Cambria Math" w:cstheme="minorHAnsi"/>
            <w:color w:val="000000"/>
            <w:sz w:val="20"/>
            <w:szCs w:val="20"/>
            <w:lang w:val="en-AU"/>
          </w:rPr>
          <m:t>0≤</m:t>
        </m:r>
        <m:r>
          <w:rPr>
            <w:rFonts w:ascii="Cambria Math" w:hAnsi="Cambria Math" w:cstheme="minorHAnsi"/>
            <w:color w:val="000000"/>
            <w:sz w:val="20"/>
            <w:szCs w:val="20"/>
          </w:rPr>
          <m:t>x ≤1</m:t>
        </m:r>
      </m:oMath>
      <w:r w:rsidRPr="00887955">
        <w:rPr>
          <w:rFonts w:eastAsia="Calibri" w:cstheme="minorHAnsi"/>
          <w:color w:val="000000"/>
          <w:sz w:val="20"/>
          <w:szCs w:val="20"/>
        </w:rPr>
        <w:t xml:space="preserve"> </w:t>
      </w:r>
      <w:r w:rsidRPr="00887955">
        <w:rPr>
          <w:rFonts w:eastAsia="Calibri" w:cstheme="minorHAnsi"/>
          <w:color w:val="000000"/>
          <w:sz w:val="20"/>
          <w:szCs w:val="20"/>
          <w:lang w:val="en-AU"/>
        </w:rPr>
        <w:t xml:space="preserve">into eight rectangles of equal width and using either the approach in a. or b. calculate the approximate </w:t>
      </w:r>
      <w:r w:rsidRPr="00887955">
        <w:rPr>
          <w:rFonts w:eastAsia="Calibri" w:cstheme="minorHAnsi"/>
          <w:color w:val="000000"/>
          <w:sz w:val="20"/>
          <w:szCs w:val="20"/>
        </w:rPr>
        <w:t xml:space="preserve">area under the curve. </w:t>
      </w:r>
    </w:p>
    <w:p w14:paraId="3085F311" w14:textId="77777777" w:rsidR="00887955" w:rsidRPr="00887955" w:rsidRDefault="00887955" w:rsidP="00887955">
      <w:pPr>
        <w:pStyle w:val="ListParagraph"/>
        <w:spacing w:after="160" w:line="259" w:lineRule="auto"/>
        <w:ind w:left="426"/>
        <w:rPr>
          <w:rFonts w:eastAsia="Calibri" w:cstheme="minorHAnsi"/>
          <w:b/>
          <w:bCs/>
          <w:color w:val="000000"/>
          <w:sz w:val="20"/>
          <w:szCs w:val="20"/>
          <w:lang w:val="en-AU"/>
        </w:rPr>
      </w:pPr>
      <w:r w:rsidRPr="00887955">
        <w:rPr>
          <w:rFonts w:eastAsia="Calibri" w:cstheme="minorHAnsi"/>
          <w:color w:val="000000"/>
          <w:sz w:val="20"/>
          <w:szCs w:val="20"/>
        </w:rPr>
        <w:t xml:space="preserve">Estimate the percentage error. Compare it to the estimation when four </w:t>
      </w:r>
      <w:r w:rsidRPr="00887955">
        <w:rPr>
          <w:rFonts w:eastAsia="Calibri" w:cstheme="minorHAnsi"/>
          <w:color w:val="000000"/>
          <w:sz w:val="20"/>
          <w:szCs w:val="20"/>
          <w:lang w:val="en-AU"/>
        </w:rPr>
        <w:t>rectangles of equal width where used.</w:t>
      </w:r>
    </w:p>
    <w:p w14:paraId="004E674E" w14:textId="77777777" w:rsidR="00887955" w:rsidRPr="009F4D36" w:rsidRDefault="00887955" w:rsidP="002C52E7">
      <w:pPr>
        <w:pStyle w:val="VCAAHeading4"/>
      </w:pPr>
      <w:r w:rsidRPr="009F4D36">
        <w:t>Part 2</w:t>
      </w:r>
    </w:p>
    <w:p w14:paraId="5ADDD6C1" w14:textId="77777777" w:rsidR="00887955" w:rsidRPr="002C52E7" w:rsidRDefault="00887955" w:rsidP="002C52E7">
      <w:pPr>
        <w:pStyle w:val="ListParagraph"/>
        <w:numPr>
          <w:ilvl w:val="0"/>
          <w:numId w:val="19"/>
        </w:numPr>
        <w:spacing w:after="0" w:line="259" w:lineRule="auto"/>
        <w:ind w:left="425" w:hanging="425"/>
        <w:contextualSpacing w:val="0"/>
        <w:rPr>
          <w:rFonts w:eastAsia="Calibri" w:cstheme="minorHAnsi"/>
          <w:color w:val="000000"/>
          <w:sz w:val="20"/>
          <w:szCs w:val="20"/>
          <w:lang w:val="en-AU"/>
        </w:rPr>
      </w:pPr>
      <w:r w:rsidRPr="002C52E7">
        <w:rPr>
          <w:rFonts w:eastAsia="Calibri" w:cstheme="minorHAnsi"/>
          <w:color w:val="000000"/>
          <w:sz w:val="20"/>
          <w:szCs w:val="20"/>
          <w:lang w:val="en-AU"/>
        </w:rPr>
        <w:t xml:space="preserve">An alternative approach to rectangles is using trapeziums, which offers an increased accuracy. Each trapezium has two of its vertices on the </w:t>
      </w:r>
      <m:oMath>
        <m:r>
          <w:rPr>
            <w:rFonts w:ascii="Cambria Math" w:eastAsia="Calibri" w:hAnsi="Cambria Math" w:cstheme="minorHAnsi"/>
            <w:color w:val="000000"/>
            <w:sz w:val="20"/>
            <w:szCs w:val="20"/>
            <w:lang w:val="en-AU"/>
          </w:rPr>
          <m:t>x</m:t>
        </m:r>
      </m:oMath>
      <w:r w:rsidRPr="002C52E7">
        <w:rPr>
          <w:rFonts w:eastAsia="Calibri" w:cstheme="minorHAnsi"/>
          <w:color w:val="000000"/>
          <w:sz w:val="20"/>
          <w:szCs w:val="20"/>
          <w:lang w:val="en-AU"/>
        </w:rPr>
        <w:t xml:space="preserve">-axis and the other two at intersection points with the graph of </w:t>
      </w:r>
      <m:oMath>
        <m:r>
          <w:rPr>
            <w:rFonts w:ascii="Cambria Math" w:eastAsia="Calibri" w:hAnsi="Cambria Math" w:cstheme="minorHAnsi"/>
            <w:color w:val="000000"/>
            <w:sz w:val="20"/>
            <w:szCs w:val="20"/>
            <w:lang w:val="en-AU"/>
          </w:rPr>
          <m:t>f</m:t>
        </m:r>
        <m:d>
          <m:dPr>
            <m:ctrlPr>
              <w:rPr>
                <w:rFonts w:ascii="Cambria Math" w:eastAsia="Calibri" w:hAnsi="Cambria Math" w:cstheme="minorHAnsi"/>
                <w:color w:val="000000"/>
                <w:sz w:val="20"/>
                <w:szCs w:val="20"/>
                <w:lang w:val="en-AU"/>
              </w:rPr>
            </m:ctrlPr>
          </m:dPr>
          <m:e>
            <m:r>
              <w:rPr>
                <w:rFonts w:ascii="Cambria Math" w:eastAsia="Calibri" w:hAnsi="Cambria Math" w:cstheme="minorHAnsi"/>
                <w:color w:val="000000"/>
                <w:sz w:val="20"/>
                <w:szCs w:val="20"/>
                <w:lang w:val="en-AU"/>
              </w:rPr>
              <m:t>x</m:t>
            </m:r>
          </m:e>
        </m:d>
      </m:oMath>
      <w:r w:rsidRPr="002C52E7">
        <w:rPr>
          <w:rFonts w:eastAsia="Calibri" w:cstheme="minorHAnsi"/>
          <w:color w:val="000000"/>
          <w:sz w:val="20"/>
          <w:szCs w:val="20"/>
          <w:lang w:val="en-AU"/>
        </w:rPr>
        <w:t>.</w:t>
      </w:r>
    </w:p>
    <w:p w14:paraId="0B848588" w14:textId="5054688D" w:rsidR="00887955" w:rsidRPr="00C411A9" w:rsidRDefault="002C52E7" w:rsidP="00887955">
      <w:pPr>
        <w:pStyle w:val="ListParagraph"/>
        <w:spacing w:after="160" w:line="259" w:lineRule="auto"/>
        <w:ind w:left="426"/>
        <w:rPr>
          <w:rFonts w:eastAsia="Calibri"/>
          <w:color w:val="000000"/>
          <w:lang w:val="en-AU"/>
        </w:rPr>
      </w:pPr>
      <w:r>
        <w:rPr>
          <w:rFonts w:eastAsia="Calibri"/>
          <w:noProof/>
          <w:color w:val="000000"/>
          <w:lang w:val="en-AU"/>
        </w:rPr>
        <w:drawing>
          <wp:inline distT="0" distB="0" distL="0" distR="0" wp14:anchorId="513BD365" wp14:editId="1F648356">
            <wp:extent cx="2209800" cy="2339559"/>
            <wp:effectExtent l="0" t="0" r="0" b="3810"/>
            <wp:docPr id="10" name="Picture 1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ntenn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8272" cy="2348529"/>
                    </a:xfrm>
                    <a:prstGeom prst="rect">
                      <a:avLst/>
                    </a:prstGeom>
                  </pic:spPr>
                </pic:pic>
              </a:graphicData>
            </a:graphic>
          </wp:inline>
        </w:drawing>
      </w:r>
    </w:p>
    <w:p w14:paraId="415E056E" w14:textId="77777777" w:rsidR="00887955" w:rsidRPr="002C52E7" w:rsidRDefault="00887955" w:rsidP="00887955">
      <w:pPr>
        <w:pStyle w:val="ListParagraph"/>
        <w:numPr>
          <w:ilvl w:val="0"/>
          <w:numId w:val="18"/>
        </w:numPr>
        <w:spacing w:after="160" w:line="259" w:lineRule="auto"/>
        <w:rPr>
          <w:rFonts w:eastAsia="Calibri"/>
          <w:color w:val="000000"/>
          <w:sz w:val="20"/>
          <w:szCs w:val="20"/>
          <w:lang w:val="en-AU"/>
        </w:rPr>
      </w:pPr>
      <w:r w:rsidRPr="002C52E7">
        <w:rPr>
          <w:rFonts w:eastAsia="Calibri"/>
          <w:color w:val="000000"/>
          <w:sz w:val="20"/>
          <w:szCs w:val="20"/>
          <w:lang w:val="en-AU"/>
        </w:rPr>
        <w:t xml:space="preserve">Using four trapeziums of equal width, calculate the approximate </w:t>
      </w:r>
      <w:r w:rsidRPr="002C52E7">
        <w:rPr>
          <w:rFonts w:eastAsia="Calibri"/>
          <w:color w:val="000000"/>
          <w:sz w:val="20"/>
          <w:szCs w:val="20"/>
        </w:rPr>
        <w:t>area under the curve.</w:t>
      </w:r>
    </w:p>
    <w:p w14:paraId="4F0326A6" w14:textId="77777777" w:rsidR="00887955" w:rsidRPr="002C52E7" w:rsidRDefault="00887955" w:rsidP="00887955">
      <w:pPr>
        <w:pStyle w:val="ListParagraph"/>
        <w:numPr>
          <w:ilvl w:val="0"/>
          <w:numId w:val="18"/>
        </w:numPr>
        <w:spacing w:after="160" w:line="259" w:lineRule="auto"/>
        <w:rPr>
          <w:rFonts w:eastAsia="Calibri"/>
          <w:color w:val="000000"/>
          <w:sz w:val="20"/>
          <w:szCs w:val="20"/>
          <w:lang w:val="en-AU"/>
        </w:rPr>
      </w:pPr>
      <w:r w:rsidRPr="002C52E7">
        <w:rPr>
          <w:rFonts w:eastAsia="Calibri"/>
          <w:color w:val="000000" w:themeColor="text1"/>
          <w:sz w:val="20"/>
          <w:szCs w:val="20"/>
        </w:rPr>
        <w:t>Consider whether the approximate area is an under or overestimate of the actual area under the curve and whether this would be the case for other functions and intervals.</w:t>
      </w:r>
    </w:p>
    <w:p w14:paraId="46EE9867" w14:textId="77777777" w:rsidR="00887955" w:rsidRPr="002C52E7" w:rsidRDefault="00887955" w:rsidP="00887955">
      <w:pPr>
        <w:pStyle w:val="ListParagraph"/>
        <w:numPr>
          <w:ilvl w:val="0"/>
          <w:numId w:val="18"/>
        </w:numPr>
        <w:spacing w:after="160" w:line="259" w:lineRule="auto"/>
        <w:rPr>
          <w:rFonts w:eastAsia="Calibri"/>
          <w:color w:val="000000"/>
          <w:sz w:val="20"/>
          <w:szCs w:val="20"/>
          <w:lang w:val="en-AU"/>
        </w:rPr>
      </w:pPr>
      <w:r w:rsidRPr="002C52E7">
        <w:rPr>
          <w:rFonts w:eastAsia="Calibri"/>
          <w:color w:val="000000"/>
          <w:sz w:val="20"/>
          <w:szCs w:val="20"/>
        </w:rPr>
        <w:t>Estimate the percentage error between the approximate area calculated and the actual answer.</w:t>
      </w:r>
    </w:p>
    <w:p w14:paraId="4A59890D" w14:textId="77777777" w:rsidR="00887955" w:rsidRPr="002C52E7" w:rsidRDefault="00887955" w:rsidP="00887955">
      <w:pPr>
        <w:pStyle w:val="ListParagraph"/>
        <w:numPr>
          <w:ilvl w:val="0"/>
          <w:numId w:val="18"/>
        </w:numPr>
        <w:spacing w:after="160" w:line="259" w:lineRule="auto"/>
        <w:rPr>
          <w:rFonts w:eastAsia="Calibri"/>
          <w:color w:val="000000"/>
          <w:sz w:val="20"/>
          <w:szCs w:val="20"/>
          <w:lang w:val="en-AU"/>
        </w:rPr>
      </w:pPr>
      <w:r w:rsidRPr="002C52E7">
        <w:rPr>
          <w:rFonts w:eastAsia="Calibri"/>
          <w:color w:val="000000"/>
          <w:sz w:val="20"/>
          <w:szCs w:val="20"/>
        </w:rPr>
        <w:t xml:space="preserve">Compare this estimate to the estimates calculated in Part 1 a., b. and c. </w:t>
      </w:r>
    </w:p>
    <w:p w14:paraId="5161C853" w14:textId="77777777" w:rsidR="00887955" w:rsidRPr="002C52E7" w:rsidRDefault="00887955" w:rsidP="002C52E7">
      <w:pPr>
        <w:pStyle w:val="ListParagraph"/>
        <w:numPr>
          <w:ilvl w:val="0"/>
          <w:numId w:val="20"/>
        </w:numPr>
        <w:spacing w:before="120" w:after="160" w:line="259" w:lineRule="auto"/>
        <w:ind w:left="425" w:hanging="425"/>
        <w:contextualSpacing w:val="0"/>
        <w:rPr>
          <w:rFonts w:eastAsia="Calibri" w:cstheme="minorHAnsi"/>
          <w:color w:val="000000"/>
          <w:sz w:val="20"/>
          <w:szCs w:val="20"/>
          <w:lang w:val="en-AU"/>
        </w:rPr>
      </w:pPr>
      <w:r w:rsidRPr="002C52E7">
        <w:rPr>
          <w:rFonts w:eastAsia="Calibri" w:cstheme="minorHAnsi"/>
          <w:color w:val="000000"/>
          <w:sz w:val="20"/>
          <w:szCs w:val="20"/>
          <w:lang w:val="en-AU"/>
        </w:rPr>
        <w:lastRenderedPageBreak/>
        <w:t xml:space="preserve">Construct a general rule based on </w:t>
      </w:r>
      <w:r w:rsidRPr="002C52E7">
        <w:rPr>
          <w:rFonts w:eastAsia="Calibri" w:cstheme="minorHAnsi"/>
          <w:color w:val="000000" w:themeColor="text1"/>
          <w:sz w:val="20"/>
          <w:szCs w:val="20"/>
          <w:lang w:val="en-AU"/>
        </w:rPr>
        <w:t>using any number,</w:t>
      </w:r>
      <m:oMath>
        <m:r>
          <w:rPr>
            <w:rFonts w:ascii="Cambria Math" w:eastAsia="Calibri" w:hAnsi="Cambria Math" w:cstheme="minorHAnsi"/>
            <w:color w:val="000000"/>
            <w:sz w:val="20"/>
            <w:szCs w:val="20"/>
            <w:lang w:val="en-AU"/>
          </w:rPr>
          <m:t xml:space="preserve"> </m:t>
        </m:r>
        <m:r>
          <w:rPr>
            <w:rFonts w:ascii="Cambria Math" w:hAnsi="Cambria Math" w:cstheme="minorHAnsi"/>
            <w:color w:val="000000"/>
            <w:sz w:val="20"/>
            <w:szCs w:val="20"/>
          </w:rPr>
          <m:t>n</m:t>
        </m:r>
      </m:oMath>
      <w:r w:rsidRPr="002C52E7">
        <w:rPr>
          <w:rFonts w:eastAsia="Calibri" w:cstheme="minorHAnsi"/>
          <w:color w:val="000000" w:themeColor="text1"/>
          <w:sz w:val="20"/>
          <w:szCs w:val="20"/>
          <w:lang w:val="en-AU"/>
        </w:rPr>
        <w:t xml:space="preserve">, of trapeziums </w:t>
      </w:r>
      <w:r w:rsidRPr="002C52E7">
        <w:rPr>
          <w:rFonts w:eastAsia="Calibri" w:cstheme="minorHAnsi"/>
          <w:color w:val="000000"/>
          <w:sz w:val="20"/>
          <w:szCs w:val="20"/>
          <w:lang w:val="en-AU"/>
        </w:rPr>
        <w:t>to approximate the area under a curve</w:t>
      </w:r>
      <w:r w:rsidRPr="002C52E7">
        <w:rPr>
          <w:rFonts w:eastAsia="Calibri" w:cstheme="minorHAnsi"/>
          <w:color w:val="000000" w:themeColor="text1"/>
          <w:sz w:val="20"/>
          <w:szCs w:val="20"/>
          <w:lang w:val="en-AU"/>
        </w:rPr>
        <w:t xml:space="preserve"> specified by the graph of a function</w:t>
      </w:r>
      <w:r w:rsidRPr="002C52E7">
        <w:rPr>
          <w:rFonts w:eastAsia="Calibri" w:cstheme="minorHAnsi"/>
          <w:color w:val="000000"/>
          <w:sz w:val="20"/>
          <w:szCs w:val="20"/>
          <w:lang w:val="en-AU"/>
        </w:rPr>
        <w:t>.</w:t>
      </w:r>
      <w:r w:rsidRPr="002C52E7">
        <w:rPr>
          <w:rFonts w:eastAsia="Calibri" w:cstheme="minorHAnsi"/>
          <w:color w:val="000000" w:themeColor="text1"/>
          <w:sz w:val="20"/>
          <w:szCs w:val="20"/>
          <w:lang w:val="en-AU"/>
        </w:rPr>
        <w:t xml:space="preserve"> </w:t>
      </w:r>
    </w:p>
    <w:p w14:paraId="00FFE1F6" w14:textId="77777777" w:rsidR="00887955" w:rsidRPr="002C52E7" w:rsidRDefault="00887955" w:rsidP="00887955">
      <w:pPr>
        <w:pStyle w:val="ListParagraph"/>
        <w:spacing w:after="160" w:line="259" w:lineRule="auto"/>
        <w:ind w:left="426"/>
        <w:rPr>
          <w:rFonts w:eastAsia="Calibri" w:cstheme="minorHAnsi"/>
          <w:color w:val="000000"/>
          <w:sz w:val="20"/>
          <w:szCs w:val="20"/>
          <w:lang w:val="en-AU"/>
        </w:rPr>
      </w:pPr>
      <w:r w:rsidRPr="002C52E7">
        <w:rPr>
          <w:rFonts w:eastAsia="Calibri" w:cstheme="minorHAnsi"/>
          <w:color w:val="000000" w:themeColor="text1"/>
          <w:sz w:val="20"/>
          <w:szCs w:val="20"/>
          <w:lang w:val="en-AU"/>
        </w:rPr>
        <w:t>Use technology to implement a suitable algorithm and compare results obtained using the algorithm with those from symbolic integration for some other functions.</w:t>
      </w:r>
    </w:p>
    <w:p w14:paraId="674E57C1" w14:textId="77777777" w:rsidR="00887955" w:rsidRPr="001C2047" w:rsidRDefault="00887955" w:rsidP="002C52E7">
      <w:pPr>
        <w:pStyle w:val="VCAAHeading3"/>
        <w:rPr>
          <w:color w:val="000000"/>
          <w:lang w:val="en-AU"/>
        </w:rPr>
      </w:pPr>
      <w:r w:rsidRPr="001C2047">
        <w:rPr>
          <w:lang w:val="en-AU"/>
        </w:rPr>
        <w:t>Areas of study</w:t>
      </w:r>
    </w:p>
    <w:p w14:paraId="43897170" w14:textId="0F221EE3" w:rsidR="00887955" w:rsidRDefault="00887955" w:rsidP="002C52E7">
      <w:pPr>
        <w:pStyle w:val="VCAAbody"/>
      </w:pPr>
      <w:r w:rsidRPr="00542424">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2C52E7" w:rsidRPr="00485F20" w14:paraId="668C8EAB" w14:textId="77777777" w:rsidTr="002C52E7">
        <w:tc>
          <w:tcPr>
            <w:tcW w:w="6419" w:type="dxa"/>
            <w:gridSpan w:val="2"/>
            <w:shd w:val="clear" w:color="auto" w:fill="0F7EB4"/>
            <w:vAlign w:val="center"/>
          </w:tcPr>
          <w:p w14:paraId="3E2D2FB9" w14:textId="77F39C1C" w:rsidR="002C52E7" w:rsidRPr="00485F20" w:rsidRDefault="002C52E7" w:rsidP="002C52E7">
            <w:pPr>
              <w:pStyle w:val="VCAAtablecondensedheading"/>
              <w:jc w:val="center"/>
              <w:rPr>
                <w:b/>
                <w:bCs/>
                <w:lang w:val="en-AU"/>
              </w:rPr>
            </w:pPr>
            <w:r w:rsidRPr="00542424">
              <w:rPr>
                <w:b/>
              </w:rPr>
              <w:t>Unit</w:t>
            </w:r>
            <w:r>
              <w:rPr>
                <w:b/>
              </w:rPr>
              <w:t>s</w:t>
            </w:r>
            <w:r w:rsidRPr="00542424">
              <w:rPr>
                <w:b/>
              </w:rPr>
              <w:t xml:space="preserve"> </w:t>
            </w:r>
            <w:r>
              <w:rPr>
                <w:b/>
              </w:rPr>
              <w:t>3 and 4</w:t>
            </w:r>
          </w:p>
        </w:tc>
      </w:tr>
      <w:tr w:rsidR="002C52E7" w14:paraId="509D2BC6" w14:textId="77777777" w:rsidTr="002C24D2">
        <w:tc>
          <w:tcPr>
            <w:tcW w:w="3209" w:type="dxa"/>
          </w:tcPr>
          <w:p w14:paraId="32D56B4B" w14:textId="63942842" w:rsidR="002C52E7" w:rsidRPr="009B001D" w:rsidRDefault="002C52E7" w:rsidP="002C52E7">
            <w:pPr>
              <w:pStyle w:val="VCAAtablecondensed"/>
            </w:pPr>
            <w:r w:rsidRPr="00485F20">
              <w:rPr>
                <w:b/>
                <w:bCs/>
              </w:rPr>
              <w:t>Area of study</w:t>
            </w:r>
          </w:p>
        </w:tc>
        <w:tc>
          <w:tcPr>
            <w:tcW w:w="3210" w:type="dxa"/>
          </w:tcPr>
          <w:p w14:paraId="4081DA36" w14:textId="3D048154" w:rsidR="002C52E7" w:rsidRDefault="002C52E7" w:rsidP="002C52E7">
            <w:pPr>
              <w:pStyle w:val="VCAAtablecondensed"/>
            </w:pPr>
            <w:r w:rsidRPr="00485F20">
              <w:rPr>
                <w:b/>
                <w:bCs/>
                <w:lang w:val="en-AU"/>
              </w:rPr>
              <w:t>Content dot point</w:t>
            </w:r>
          </w:p>
        </w:tc>
      </w:tr>
      <w:tr w:rsidR="002C52E7" w14:paraId="1F881A93" w14:textId="77777777" w:rsidTr="002C24D2">
        <w:tc>
          <w:tcPr>
            <w:tcW w:w="3209" w:type="dxa"/>
          </w:tcPr>
          <w:p w14:paraId="394A1462" w14:textId="32FE9DC7" w:rsidR="002C52E7" w:rsidRDefault="002C52E7" w:rsidP="002C52E7">
            <w:pPr>
              <w:pStyle w:val="VCAAtablecondensed"/>
            </w:pPr>
            <w:r w:rsidRPr="00542424">
              <w:t>Functions, relations and graphs</w:t>
            </w:r>
          </w:p>
        </w:tc>
        <w:tc>
          <w:tcPr>
            <w:tcW w:w="3210" w:type="dxa"/>
          </w:tcPr>
          <w:p w14:paraId="69FCBA68" w14:textId="745D1CFF" w:rsidR="002C52E7" w:rsidRDefault="002C52E7" w:rsidP="002C52E7">
            <w:pPr>
              <w:pStyle w:val="VCAAtablecondensed"/>
              <w:rPr>
                <w:lang w:val="en-AU"/>
              </w:rPr>
            </w:pPr>
            <w:r>
              <w:t>-</w:t>
            </w:r>
          </w:p>
        </w:tc>
      </w:tr>
      <w:tr w:rsidR="002C52E7" w14:paraId="496ACF3A" w14:textId="77777777" w:rsidTr="002C24D2">
        <w:tc>
          <w:tcPr>
            <w:tcW w:w="3209" w:type="dxa"/>
          </w:tcPr>
          <w:p w14:paraId="4370375E" w14:textId="151FA907" w:rsidR="002C52E7" w:rsidRDefault="002C52E7" w:rsidP="002C52E7">
            <w:pPr>
              <w:pStyle w:val="VCAAtablecondensed"/>
              <w:rPr>
                <w:lang w:val="en-AU"/>
              </w:rPr>
            </w:pPr>
            <w:r w:rsidRPr="00542424">
              <w:t>Algebra, number and structure</w:t>
            </w:r>
          </w:p>
        </w:tc>
        <w:tc>
          <w:tcPr>
            <w:tcW w:w="3210" w:type="dxa"/>
          </w:tcPr>
          <w:p w14:paraId="4308F34E" w14:textId="08DC0395" w:rsidR="002C52E7" w:rsidRDefault="002C52E7" w:rsidP="002C52E7">
            <w:pPr>
              <w:pStyle w:val="VCAAtablecondensed"/>
              <w:rPr>
                <w:lang w:val="en-AU"/>
              </w:rPr>
            </w:pPr>
            <w:r>
              <w:t>-</w:t>
            </w:r>
          </w:p>
        </w:tc>
      </w:tr>
      <w:tr w:rsidR="002C52E7" w14:paraId="67055434" w14:textId="77777777" w:rsidTr="002C24D2">
        <w:tc>
          <w:tcPr>
            <w:tcW w:w="3209" w:type="dxa"/>
          </w:tcPr>
          <w:p w14:paraId="219CC062" w14:textId="4BAE9D07" w:rsidR="002C52E7" w:rsidRDefault="002C52E7" w:rsidP="002C52E7">
            <w:pPr>
              <w:pStyle w:val="VCAAtablecondensed"/>
              <w:rPr>
                <w:lang w:val="en-AU"/>
              </w:rPr>
            </w:pPr>
            <w:r w:rsidRPr="00542424">
              <w:t>Calculus</w:t>
            </w:r>
          </w:p>
        </w:tc>
        <w:tc>
          <w:tcPr>
            <w:tcW w:w="3210" w:type="dxa"/>
          </w:tcPr>
          <w:p w14:paraId="158D410D" w14:textId="7BACAD79" w:rsidR="002C52E7" w:rsidRDefault="002C52E7" w:rsidP="002C52E7">
            <w:pPr>
              <w:pStyle w:val="VCAAtablecondensed"/>
              <w:rPr>
                <w:lang w:val="en-AU"/>
              </w:rPr>
            </w:pPr>
            <w:r>
              <w:t>7</w:t>
            </w:r>
          </w:p>
        </w:tc>
      </w:tr>
      <w:tr w:rsidR="002C52E7" w14:paraId="297B81A0" w14:textId="77777777" w:rsidTr="002C24D2">
        <w:tc>
          <w:tcPr>
            <w:tcW w:w="3209" w:type="dxa"/>
          </w:tcPr>
          <w:p w14:paraId="527C4FD7" w14:textId="3C5C756B" w:rsidR="002C52E7" w:rsidRDefault="002C52E7" w:rsidP="002C52E7">
            <w:pPr>
              <w:pStyle w:val="VCAAtablecondensed"/>
            </w:pPr>
            <w:r w:rsidRPr="00542424">
              <w:t xml:space="preserve">Data analysis, probability and statistics </w:t>
            </w:r>
          </w:p>
        </w:tc>
        <w:tc>
          <w:tcPr>
            <w:tcW w:w="3210" w:type="dxa"/>
          </w:tcPr>
          <w:p w14:paraId="060FDC1A" w14:textId="31C05C8E" w:rsidR="002C52E7" w:rsidRDefault="002C52E7" w:rsidP="002C52E7">
            <w:pPr>
              <w:pStyle w:val="VCAAtablecondensed"/>
            </w:pPr>
            <w:r>
              <w:t>-</w:t>
            </w:r>
          </w:p>
        </w:tc>
      </w:tr>
    </w:tbl>
    <w:p w14:paraId="14146553" w14:textId="77777777" w:rsidR="00887955" w:rsidRPr="00542424" w:rsidRDefault="00887955" w:rsidP="002C52E7">
      <w:pPr>
        <w:pStyle w:val="VCAAHeading3"/>
        <w:rPr>
          <w:lang w:eastAsia="en-AU"/>
        </w:rPr>
      </w:pPr>
      <w:r w:rsidRPr="00542424">
        <w:rPr>
          <w:lang w:eastAsia="en-AU"/>
        </w:rPr>
        <w:t>Outcomes</w:t>
      </w:r>
    </w:p>
    <w:p w14:paraId="6D7FD4C7" w14:textId="6E2621F2" w:rsidR="00887955" w:rsidRDefault="00887955" w:rsidP="002C52E7">
      <w:pPr>
        <w:pStyle w:val="VCAAbody"/>
      </w:pPr>
      <w:r w:rsidRPr="00542424">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2C52E7" w:rsidRPr="00FA2380" w14:paraId="59774851" w14:textId="77777777" w:rsidTr="002C24D2">
        <w:tc>
          <w:tcPr>
            <w:tcW w:w="3209" w:type="dxa"/>
            <w:shd w:val="clear" w:color="auto" w:fill="0F7EB4"/>
          </w:tcPr>
          <w:p w14:paraId="0DF726AA" w14:textId="77777777" w:rsidR="002C52E7" w:rsidRPr="00FA2380" w:rsidRDefault="002C52E7" w:rsidP="002C24D2">
            <w:pPr>
              <w:pStyle w:val="VCAAtablecondensedheading"/>
              <w:rPr>
                <w:b/>
                <w:bCs/>
              </w:rPr>
            </w:pPr>
            <w:r w:rsidRPr="006D6BCF">
              <w:rPr>
                <w:b/>
                <w:lang w:val="en-AU"/>
              </w:rPr>
              <w:t>Outcome</w:t>
            </w:r>
          </w:p>
        </w:tc>
        <w:tc>
          <w:tcPr>
            <w:tcW w:w="3210" w:type="dxa"/>
            <w:shd w:val="clear" w:color="auto" w:fill="0F7EB4"/>
          </w:tcPr>
          <w:p w14:paraId="5D930965" w14:textId="77777777" w:rsidR="002C52E7" w:rsidRPr="00FA2380" w:rsidRDefault="002C52E7" w:rsidP="002C24D2">
            <w:pPr>
              <w:pStyle w:val="VCAAtablecondensedheading"/>
              <w:rPr>
                <w:b/>
                <w:bCs/>
              </w:rPr>
            </w:pPr>
            <w:r w:rsidRPr="006D6BCF">
              <w:rPr>
                <w:b/>
                <w:lang w:val="en-AU"/>
              </w:rPr>
              <w:t>Key knowledge dot point</w:t>
            </w:r>
            <w:r>
              <w:rPr>
                <w:b/>
                <w:lang w:val="en-AU"/>
              </w:rPr>
              <w:t>s</w:t>
            </w:r>
          </w:p>
        </w:tc>
        <w:tc>
          <w:tcPr>
            <w:tcW w:w="3210" w:type="dxa"/>
            <w:shd w:val="clear" w:color="auto" w:fill="0F7EB4"/>
          </w:tcPr>
          <w:p w14:paraId="6CDC4606" w14:textId="77777777" w:rsidR="002C52E7" w:rsidRPr="00FA2380" w:rsidRDefault="002C52E7" w:rsidP="002C24D2">
            <w:pPr>
              <w:pStyle w:val="VCAAtablecondensedheading"/>
              <w:rPr>
                <w:b/>
                <w:bCs/>
              </w:rPr>
            </w:pPr>
            <w:r w:rsidRPr="006D6BCF">
              <w:rPr>
                <w:b/>
                <w:lang w:val="en-AU"/>
              </w:rPr>
              <w:t>Key skill</w:t>
            </w:r>
            <w:r>
              <w:rPr>
                <w:b/>
                <w:lang w:val="en-AU"/>
              </w:rPr>
              <w:t>s</w:t>
            </w:r>
            <w:r w:rsidRPr="006D6BCF">
              <w:rPr>
                <w:b/>
                <w:lang w:val="en-AU"/>
              </w:rPr>
              <w:t xml:space="preserve"> dot point</w:t>
            </w:r>
            <w:r>
              <w:rPr>
                <w:b/>
                <w:lang w:val="en-AU"/>
              </w:rPr>
              <w:t>s</w:t>
            </w:r>
          </w:p>
        </w:tc>
      </w:tr>
      <w:tr w:rsidR="002C52E7" w14:paraId="7664CEB3" w14:textId="77777777" w:rsidTr="002C24D2">
        <w:tc>
          <w:tcPr>
            <w:tcW w:w="3209" w:type="dxa"/>
          </w:tcPr>
          <w:p w14:paraId="501E3A3E" w14:textId="2046A497" w:rsidR="002C52E7" w:rsidRPr="000E2B81" w:rsidRDefault="002C52E7" w:rsidP="002C52E7">
            <w:pPr>
              <w:pStyle w:val="VCAAtablecondensed"/>
              <w:rPr>
                <w:bCs/>
              </w:rPr>
            </w:pPr>
            <w:r w:rsidRPr="00542424">
              <w:t>1</w:t>
            </w:r>
          </w:p>
        </w:tc>
        <w:tc>
          <w:tcPr>
            <w:tcW w:w="3210" w:type="dxa"/>
          </w:tcPr>
          <w:p w14:paraId="32AD4F2A" w14:textId="11A10328" w:rsidR="002C52E7" w:rsidRDefault="002C52E7" w:rsidP="002C52E7">
            <w:pPr>
              <w:pStyle w:val="VCAAtablecondensed"/>
            </w:pPr>
            <w:r>
              <w:t>13</w:t>
            </w:r>
          </w:p>
        </w:tc>
        <w:tc>
          <w:tcPr>
            <w:tcW w:w="3210" w:type="dxa"/>
          </w:tcPr>
          <w:p w14:paraId="3DC2D4A7" w14:textId="2A2E2BAD" w:rsidR="002C52E7" w:rsidRDefault="002C52E7" w:rsidP="002C52E7">
            <w:pPr>
              <w:pStyle w:val="VCAAtablecondensed"/>
            </w:pPr>
            <w:r>
              <w:t>14</w:t>
            </w:r>
          </w:p>
        </w:tc>
      </w:tr>
      <w:tr w:rsidR="002C52E7" w14:paraId="4754C47E" w14:textId="77777777" w:rsidTr="002C24D2">
        <w:tc>
          <w:tcPr>
            <w:tcW w:w="3209" w:type="dxa"/>
          </w:tcPr>
          <w:p w14:paraId="145AA689" w14:textId="01D6ABAB" w:rsidR="002C52E7" w:rsidRPr="000E2B81" w:rsidRDefault="002C52E7" w:rsidP="002C52E7">
            <w:pPr>
              <w:pStyle w:val="VCAAtablecondensed"/>
              <w:rPr>
                <w:bCs/>
              </w:rPr>
            </w:pPr>
            <w:r w:rsidRPr="00542424">
              <w:t>2</w:t>
            </w:r>
          </w:p>
        </w:tc>
        <w:tc>
          <w:tcPr>
            <w:tcW w:w="3210" w:type="dxa"/>
          </w:tcPr>
          <w:p w14:paraId="74B392D5" w14:textId="2858C9D9" w:rsidR="002C52E7" w:rsidRDefault="002C52E7" w:rsidP="002C52E7">
            <w:pPr>
              <w:pStyle w:val="VCAAtablecondensed"/>
            </w:pPr>
            <w:r>
              <w:t>1, 2, 4, 5</w:t>
            </w:r>
          </w:p>
        </w:tc>
        <w:tc>
          <w:tcPr>
            <w:tcW w:w="3210" w:type="dxa"/>
          </w:tcPr>
          <w:p w14:paraId="2814F702" w14:textId="65B985C9" w:rsidR="002C52E7" w:rsidRDefault="002C52E7" w:rsidP="002C52E7">
            <w:pPr>
              <w:pStyle w:val="VCAAtablecondensed"/>
            </w:pPr>
            <w:r>
              <w:t>1, 2, 3, 4, 5, 6</w:t>
            </w:r>
          </w:p>
        </w:tc>
      </w:tr>
      <w:tr w:rsidR="002C52E7" w14:paraId="0A3B61E9" w14:textId="77777777" w:rsidTr="002C24D2">
        <w:tc>
          <w:tcPr>
            <w:tcW w:w="3209" w:type="dxa"/>
          </w:tcPr>
          <w:p w14:paraId="1A02FB87" w14:textId="6FFD9A58" w:rsidR="002C52E7" w:rsidRPr="000E2B81" w:rsidRDefault="002C52E7" w:rsidP="002C52E7">
            <w:pPr>
              <w:pStyle w:val="VCAAtablecondensed"/>
              <w:rPr>
                <w:bCs/>
              </w:rPr>
            </w:pPr>
            <w:r w:rsidRPr="00542424">
              <w:t>3</w:t>
            </w:r>
          </w:p>
        </w:tc>
        <w:tc>
          <w:tcPr>
            <w:tcW w:w="3210" w:type="dxa"/>
          </w:tcPr>
          <w:p w14:paraId="7F783724" w14:textId="632B1EE3" w:rsidR="002C52E7" w:rsidRDefault="002C52E7" w:rsidP="002C52E7">
            <w:pPr>
              <w:pStyle w:val="VCAAtablecondensed"/>
            </w:pPr>
            <w:r>
              <w:t>1, 2</w:t>
            </w:r>
          </w:p>
        </w:tc>
        <w:tc>
          <w:tcPr>
            <w:tcW w:w="3210" w:type="dxa"/>
          </w:tcPr>
          <w:p w14:paraId="41E85CC2" w14:textId="0846C5A5" w:rsidR="002C52E7" w:rsidRDefault="002C52E7" w:rsidP="002C52E7">
            <w:pPr>
              <w:pStyle w:val="VCAAtablecondensed"/>
            </w:pPr>
            <w:r>
              <w:t>5, 11, 13</w:t>
            </w:r>
          </w:p>
        </w:tc>
      </w:tr>
    </w:tbl>
    <w:p w14:paraId="47F1452A" w14:textId="77777777" w:rsidR="002C52E7" w:rsidRPr="00542424" w:rsidRDefault="002C52E7" w:rsidP="002C52E7">
      <w:pPr>
        <w:pStyle w:val="VCAAbody"/>
      </w:pPr>
    </w:p>
    <w:sectPr w:rsidR="002C52E7" w:rsidRPr="0054242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2A6BA23" w:rsidR="00FD29D3" w:rsidRPr="00D86DE4" w:rsidRDefault="002C52E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6724C">
          <w:rPr>
            <w:color w:val="999999" w:themeColor="accent2"/>
          </w:rPr>
          <w:t>VCE Mathematical Methods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12D"/>
    <w:multiLevelType w:val="hybridMultilevel"/>
    <w:tmpl w:val="22EC081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0958FE"/>
    <w:multiLevelType w:val="hybridMultilevel"/>
    <w:tmpl w:val="88603B9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4E0FC8"/>
    <w:multiLevelType w:val="hybridMultilevel"/>
    <w:tmpl w:val="88603B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9F84A3A"/>
    <w:multiLevelType w:val="hybridMultilevel"/>
    <w:tmpl w:val="998406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0C46BB"/>
    <w:multiLevelType w:val="hybridMultilevel"/>
    <w:tmpl w:val="631CB3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0B3F30"/>
    <w:multiLevelType w:val="hybridMultilevel"/>
    <w:tmpl w:val="890C34A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2D75FB"/>
    <w:multiLevelType w:val="hybridMultilevel"/>
    <w:tmpl w:val="890C34A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537B81"/>
    <w:multiLevelType w:val="hybridMultilevel"/>
    <w:tmpl w:val="631CB3F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FF8758C"/>
    <w:multiLevelType w:val="hybridMultilevel"/>
    <w:tmpl w:val="847E5C02"/>
    <w:lvl w:ilvl="0" w:tplc="FB963836">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C40DA4"/>
    <w:multiLevelType w:val="hybridMultilevel"/>
    <w:tmpl w:val="E6B2D0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670ABC"/>
    <w:multiLevelType w:val="hybridMultilevel"/>
    <w:tmpl w:val="22EC081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B1D681B"/>
    <w:multiLevelType w:val="hybridMultilevel"/>
    <w:tmpl w:val="22EC081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8"/>
  </w:num>
  <w:num w:numId="3">
    <w:abstractNumId w:val="3"/>
  </w:num>
  <w:num w:numId="4">
    <w:abstractNumId w:val="14"/>
  </w:num>
  <w:num w:numId="5">
    <w:abstractNumId w:val="19"/>
  </w:num>
  <w:num w:numId="6">
    <w:abstractNumId w:val="2"/>
  </w:num>
  <w:num w:numId="7">
    <w:abstractNumId w:val="11"/>
  </w:num>
  <w:num w:numId="8">
    <w:abstractNumId w:val="9"/>
  </w:num>
  <w:num w:numId="9">
    <w:abstractNumId w:val="16"/>
  </w:num>
  <w:num w:numId="10">
    <w:abstractNumId w:val="5"/>
  </w:num>
  <w:num w:numId="11">
    <w:abstractNumId w:val="7"/>
  </w:num>
  <w:num w:numId="12">
    <w:abstractNumId w:val="10"/>
  </w:num>
  <w:num w:numId="13">
    <w:abstractNumId w:val="6"/>
  </w:num>
  <w:num w:numId="14">
    <w:abstractNumId w:val="13"/>
  </w:num>
  <w:num w:numId="15">
    <w:abstractNumId w:val="17"/>
  </w:num>
  <w:num w:numId="16">
    <w:abstractNumId w:val="1"/>
  </w:num>
  <w:num w:numId="17">
    <w:abstractNumId w:val="0"/>
  </w:num>
  <w:num w:numId="18">
    <w:abstractNumId w:val="18"/>
  </w:num>
  <w:num w:numId="19">
    <w:abstractNumId w:val="4"/>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164C"/>
    <w:rsid w:val="0005780E"/>
    <w:rsid w:val="00065CC6"/>
    <w:rsid w:val="000A71F7"/>
    <w:rsid w:val="000E2B81"/>
    <w:rsid w:val="000F09E4"/>
    <w:rsid w:val="000F16FD"/>
    <w:rsid w:val="000F5AAF"/>
    <w:rsid w:val="00143520"/>
    <w:rsid w:val="00153AD2"/>
    <w:rsid w:val="001779EA"/>
    <w:rsid w:val="001D3246"/>
    <w:rsid w:val="002029F5"/>
    <w:rsid w:val="00213196"/>
    <w:rsid w:val="002279BA"/>
    <w:rsid w:val="002329F3"/>
    <w:rsid w:val="00243F0D"/>
    <w:rsid w:val="00260349"/>
    <w:rsid w:val="00260767"/>
    <w:rsid w:val="002647BB"/>
    <w:rsid w:val="002754C1"/>
    <w:rsid w:val="002841C8"/>
    <w:rsid w:val="0028516B"/>
    <w:rsid w:val="002A37F4"/>
    <w:rsid w:val="002B4C4E"/>
    <w:rsid w:val="002C52E7"/>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85F20"/>
    <w:rsid w:val="00495C80"/>
    <w:rsid w:val="004A2ED8"/>
    <w:rsid w:val="004F5BDA"/>
    <w:rsid w:val="004F65FF"/>
    <w:rsid w:val="0051631E"/>
    <w:rsid w:val="00524BAE"/>
    <w:rsid w:val="00533A3F"/>
    <w:rsid w:val="00537A1F"/>
    <w:rsid w:val="00560F22"/>
    <w:rsid w:val="00564A78"/>
    <w:rsid w:val="00566029"/>
    <w:rsid w:val="005923CB"/>
    <w:rsid w:val="005B391B"/>
    <w:rsid w:val="005D0B25"/>
    <w:rsid w:val="005D3D78"/>
    <w:rsid w:val="005E2EF0"/>
    <w:rsid w:val="005E4A24"/>
    <w:rsid w:val="005F0486"/>
    <w:rsid w:val="005F4092"/>
    <w:rsid w:val="006002F7"/>
    <w:rsid w:val="0068471E"/>
    <w:rsid w:val="00684F98"/>
    <w:rsid w:val="00685818"/>
    <w:rsid w:val="00693FFD"/>
    <w:rsid w:val="006D2159"/>
    <w:rsid w:val="006F787C"/>
    <w:rsid w:val="00702636"/>
    <w:rsid w:val="00724507"/>
    <w:rsid w:val="00727716"/>
    <w:rsid w:val="00744BC4"/>
    <w:rsid w:val="0075391A"/>
    <w:rsid w:val="00773E6C"/>
    <w:rsid w:val="007807F1"/>
    <w:rsid w:val="00781FB1"/>
    <w:rsid w:val="007C4ED7"/>
    <w:rsid w:val="007D1B6D"/>
    <w:rsid w:val="007E7F95"/>
    <w:rsid w:val="00804875"/>
    <w:rsid w:val="00805FDF"/>
    <w:rsid w:val="00813C37"/>
    <w:rsid w:val="008154B5"/>
    <w:rsid w:val="00823962"/>
    <w:rsid w:val="00827233"/>
    <w:rsid w:val="00850410"/>
    <w:rsid w:val="00852719"/>
    <w:rsid w:val="00852BD0"/>
    <w:rsid w:val="00860115"/>
    <w:rsid w:val="0088783C"/>
    <w:rsid w:val="00887955"/>
    <w:rsid w:val="009370BC"/>
    <w:rsid w:val="0096724C"/>
    <w:rsid w:val="00970580"/>
    <w:rsid w:val="00984E15"/>
    <w:rsid w:val="0098739B"/>
    <w:rsid w:val="009A0DA4"/>
    <w:rsid w:val="009A192D"/>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41AE"/>
    <w:rsid w:val="00BF6C23"/>
    <w:rsid w:val="00C519C2"/>
    <w:rsid w:val="00C53263"/>
    <w:rsid w:val="00C75827"/>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EC70E6"/>
    <w:rsid w:val="00F17FDE"/>
    <w:rsid w:val="00F40D53"/>
    <w:rsid w:val="00F4525C"/>
    <w:rsid w:val="00F50D86"/>
    <w:rsid w:val="00FA2380"/>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99"/>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8"/>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9A1115"/>
    <w:rsid w:val="00DA5894"/>
    <w:rsid w:val="00E14341"/>
    <w:rsid w:val="00E2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CD5CB64-9524-4893-9354-A9305AE0C832}"/>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VCE Mathematical Methods Units 3 and 4</vt:lpstr>
    </vt:vector>
  </TitlesOfParts>
  <Company>Victorian Curriculum and Assessment Authority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Units 3 and 4</dc:title>
  <dc:subject>VCE Mathematical Methods</dc:subject>
  <dc:creator>vcaa@education.vic.gov.au</dc:creator>
  <cp:keywords>mathematical methods, VCE, calculus, example, learning, activity, exploring, approximation, definite, integral, units 3 and 4</cp:keywords>
  <cp:lastModifiedBy>Julie Coleman</cp:lastModifiedBy>
  <cp:revision>3</cp:revision>
  <cp:lastPrinted>2015-05-15T02:36:00Z</cp:lastPrinted>
  <dcterms:created xsi:type="dcterms:W3CDTF">2022-12-20T04:43:00Z</dcterms:created>
  <dcterms:modified xsi:type="dcterms:W3CDTF">2022-12-20T04:58:00Z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