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62D723FA" w:rsidR="00243F0D" w:rsidRPr="00823962" w:rsidRDefault="00C904AB" w:rsidP="00F266D7">
      <w:pPr>
        <w:pStyle w:val="VCAAHeading2"/>
        <w:ind w:right="-426"/>
      </w:pPr>
      <w:bookmarkStart w:id="0" w:name="TemplateOverview"/>
      <w:bookmarkEnd w:id="0"/>
      <w:r w:rsidRPr="00AD3801">
        <w:t xml:space="preserve">Sample </w:t>
      </w:r>
      <w:r w:rsidR="00E11872">
        <w:t>application</w:t>
      </w:r>
      <w:r w:rsidRPr="00AD3801">
        <w:t xml:space="preserve"> task – </w:t>
      </w:r>
      <w:r w:rsidR="00F266D7">
        <w:t>cubic and quartic polynomials</w:t>
      </w:r>
    </w:p>
    <w:p w14:paraId="0A18A3A2" w14:textId="77777777" w:rsidR="004F65FF" w:rsidRPr="00C70415" w:rsidRDefault="004F65FF" w:rsidP="004F65FF">
      <w:pPr>
        <w:pStyle w:val="VCAAHeading3"/>
      </w:pPr>
      <w:r w:rsidRPr="006929FF">
        <w:t>Introduction</w:t>
      </w:r>
    </w:p>
    <w:p w14:paraId="387BDC72" w14:textId="77777777" w:rsidR="00B340C6" w:rsidRPr="002C3DFE" w:rsidRDefault="00B340C6" w:rsidP="00B340C6">
      <w:pPr>
        <w:pStyle w:val="VCAAbody"/>
        <w:rPr>
          <w:lang w:val="en-AU"/>
        </w:rPr>
      </w:pPr>
      <w:r w:rsidRPr="002C3DFE">
        <w:rPr>
          <w:lang w:val="en-AU"/>
        </w:rPr>
        <w:t xml:space="preserve">A context such as the following can be used to develop an application task that investigates the number and nature of </w:t>
      </w:r>
      <w:r>
        <w:rPr>
          <w:lang w:val="en-AU"/>
        </w:rPr>
        <w:t xml:space="preserve">factors and </w:t>
      </w:r>
      <w:r w:rsidRPr="002C3DFE">
        <w:rPr>
          <w:lang w:val="en-AU"/>
        </w:rPr>
        <w:t>real and complex roots of some cubic and quartic polynomial functions of a single variable with integer coefficients.</w:t>
      </w:r>
    </w:p>
    <w:p w14:paraId="02C4E5F9" w14:textId="77777777" w:rsidR="00B340C6" w:rsidRPr="00C70415" w:rsidRDefault="00B340C6" w:rsidP="00B340C6">
      <w:pPr>
        <w:pStyle w:val="VCAAHeading4"/>
      </w:pPr>
      <w:r w:rsidRPr="00C70415">
        <w:t xml:space="preserve">Part 1 </w:t>
      </w:r>
    </w:p>
    <w:p w14:paraId="56B72BCA" w14:textId="77777777" w:rsidR="00B340C6" w:rsidRPr="00B340C6" w:rsidRDefault="00B340C6" w:rsidP="00B340C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Randomly select a non-zero integer </w:t>
      </w:r>
      <w:r w:rsidRPr="00B340C6">
        <w:rPr>
          <w:rFonts w:cs="Arial"/>
          <w:i/>
          <w:sz w:val="20"/>
          <w:szCs w:val="20"/>
        </w:rPr>
        <w:t>a</w:t>
      </w:r>
      <w:r w:rsidRPr="00B340C6">
        <w:rPr>
          <w:rFonts w:cs="Arial"/>
          <w:sz w:val="20"/>
          <w:szCs w:val="20"/>
        </w:rPr>
        <w:t xml:space="preserve"> between -10 and 10 and define a cubic polynomial function of the form </w:t>
      </w:r>
      <w:r w:rsidRPr="00B340C6">
        <w:rPr>
          <w:rFonts w:cs="Arial"/>
          <w:noProof/>
          <w:position w:val="-10"/>
          <w:sz w:val="20"/>
          <w:szCs w:val="20"/>
        </w:rPr>
        <w:object w:dxaOrig="1880" w:dyaOrig="320" w14:anchorId="765DB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6.5pt" o:ole="">
            <v:imagedata r:id="rId11" o:title=""/>
          </v:shape>
          <o:OLEObject Type="Embed" ProgID="Equation.3" ShapeID="_x0000_i1025" DrawAspect="Content" ObjectID="_1735994800" r:id="rId12"/>
        </w:object>
      </w:r>
      <w:r w:rsidRPr="00B340C6">
        <w:rPr>
          <w:rFonts w:cs="Arial"/>
          <w:sz w:val="20"/>
          <w:szCs w:val="20"/>
        </w:rPr>
        <w:t xml:space="preserve">where </w:t>
      </w:r>
      <w:r w:rsidRPr="00B340C6">
        <w:rPr>
          <w:rFonts w:cs="Arial"/>
          <w:noProof/>
          <w:position w:val="-10"/>
          <w:sz w:val="20"/>
          <w:szCs w:val="20"/>
        </w:rPr>
        <w:object w:dxaOrig="520" w:dyaOrig="320" w14:anchorId="046C8861">
          <v:shape id="_x0000_i1026" type="#_x0000_t75" style="width:26.25pt;height:16.5pt" o:ole="">
            <v:imagedata r:id="rId13" o:title=""/>
          </v:shape>
          <o:OLEObject Type="Embed" ProgID="Equation.3" ShapeID="_x0000_i1026" DrawAspect="Content" ObjectID="_1735994801" r:id="rId14"/>
        </w:object>
      </w:r>
      <w:r w:rsidRPr="00B340C6">
        <w:rPr>
          <w:rFonts w:cs="Arial"/>
          <w:sz w:val="20"/>
          <w:szCs w:val="20"/>
        </w:rPr>
        <w:t xml:space="preserve"> has non-zero integer coefficients and is irreducible over </w:t>
      </w:r>
      <w:r w:rsidRPr="008B7B6C">
        <w:rPr>
          <w:rFonts w:ascii="Times New Roman" w:hAnsi="Times New Roman" w:cs="Times New Roman"/>
          <w:i/>
        </w:rPr>
        <w:t>R</w:t>
      </w:r>
      <w:r w:rsidRPr="00B340C6">
        <w:rPr>
          <w:rFonts w:cs="Arial"/>
          <w:sz w:val="20"/>
          <w:szCs w:val="20"/>
        </w:rPr>
        <w:t xml:space="preserve">. Draw the graph of </w:t>
      </w:r>
      <w:r w:rsidRPr="00B340C6">
        <w:rPr>
          <w:rFonts w:cs="Arial"/>
          <w:noProof/>
          <w:position w:val="-10"/>
          <w:sz w:val="20"/>
          <w:szCs w:val="20"/>
        </w:rPr>
        <w:object w:dxaOrig="240" w:dyaOrig="320" w14:anchorId="52B896ED">
          <v:shape id="_x0000_i1039" type="#_x0000_t75" style="width:12pt;height:16.5pt" o:ole="">
            <v:imagedata r:id="rId15" o:title=""/>
          </v:shape>
          <o:OLEObject Type="Embed" ProgID="Equation.3" ShapeID="_x0000_i1039" DrawAspect="Content" ObjectID="_1735994802" r:id="rId16"/>
        </w:object>
      </w:r>
      <w:r w:rsidRPr="00B340C6">
        <w:rPr>
          <w:rFonts w:cs="Arial"/>
          <w:sz w:val="20"/>
          <w:szCs w:val="20"/>
        </w:rPr>
        <w:t>and identify all complex roots.</w:t>
      </w:r>
    </w:p>
    <w:p w14:paraId="4C17D647" w14:textId="77777777" w:rsidR="00B340C6" w:rsidRPr="00B340C6" w:rsidRDefault="00B340C6" w:rsidP="00B340C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Vary the value of the constant term in the rule of </w:t>
      </w:r>
      <w:r w:rsidRPr="00B340C6">
        <w:rPr>
          <w:rFonts w:cs="Arial"/>
          <w:noProof/>
          <w:position w:val="-10"/>
          <w:sz w:val="20"/>
          <w:szCs w:val="20"/>
        </w:rPr>
        <w:object w:dxaOrig="240" w:dyaOrig="320" w14:anchorId="0E82E9F4">
          <v:shape id="_x0000_i1028" type="#_x0000_t75" style="width:12pt;height:16.5pt" o:ole="">
            <v:imagedata r:id="rId15" o:title=""/>
          </v:shape>
          <o:OLEObject Type="Embed" ProgID="Equation.3" ShapeID="_x0000_i1028" DrawAspect="Content" ObjectID="_1735994803" r:id="rId17"/>
        </w:object>
      </w:r>
      <w:r w:rsidRPr="00B340C6">
        <w:rPr>
          <w:rFonts w:cs="Arial"/>
          <w:sz w:val="20"/>
          <w:szCs w:val="20"/>
        </w:rPr>
        <w:t>and determine the sets of values of this term for which the function has 1, 2 or 3 distinct real roots. Illustrate these cases graphically.</w:t>
      </w:r>
    </w:p>
    <w:p w14:paraId="49842FDE" w14:textId="77777777" w:rsidR="00B340C6" w:rsidRPr="00B340C6" w:rsidRDefault="00B340C6" w:rsidP="00B340C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Show that the cubic polynomial function with rule </w:t>
      </w:r>
      <w:r w:rsidRPr="00B340C6">
        <w:rPr>
          <w:rFonts w:cs="Arial"/>
          <w:noProof/>
          <w:position w:val="-10"/>
          <w:sz w:val="20"/>
          <w:szCs w:val="20"/>
        </w:rPr>
        <w:object w:dxaOrig="1780" w:dyaOrig="360" w14:anchorId="4F55DFAD">
          <v:shape id="_x0000_i1029" type="#_x0000_t75" style="width:89.25pt;height:18pt" o:ole="">
            <v:imagedata r:id="rId18" o:title=""/>
          </v:shape>
          <o:OLEObject Type="Embed" ProgID="Equation.3" ShapeID="_x0000_i1029" DrawAspect="Content" ObjectID="_1735994804" r:id="rId19"/>
        </w:object>
      </w:r>
      <w:r w:rsidRPr="00B340C6">
        <w:rPr>
          <w:rFonts w:cs="Arial"/>
          <w:sz w:val="20"/>
          <w:szCs w:val="20"/>
        </w:rPr>
        <w:t xml:space="preserve"> has no rational roots but three irrational real roots. Draw the graph of the function and state the approximate values of its roots to a suitable accuracy.</w:t>
      </w:r>
    </w:p>
    <w:p w14:paraId="6F2D3BD3" w14:textId="77777777" w:rsidR="00B340C6" w:rsidRPr="00B340C6" w:rsidRDefault="00B340C6" w:rsidP="00B340C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>Find a monic cubic polynomial function with non-zero integer coefficients that has three distinct irrational real roots. Use Newton’s method to find an approximate value for each of these roots to a suitable accuracy. Investigate the sensitivity of Newton’s method with respect to the initial value for the approximation for each of the roots of this function.</w:t>
      </w:r>
    </w:p>
    <w:p w14:paraId="355D083C" w14:textId="77777777" w:rsidR="00B340C6" w:rsidRPr="004368F4" w:rsidRDefault="00B340C6" w:rsidP="00B340C6">
      <w:pPr>
        <w:pStyle w:val="VCAAHeading4"/>
      </w:pPr>
      <w:r w:rsidRPr="004368F4">
        <w:t>Part 2</w:t>
      </w:r>
    </w:p>
    <w:p w14:paraId="4D11C5EE" w14:textId="77777777" w:rsidR="00B340C6" w:rsidRPr="009C01BA" w:rsidRDefault="00B340C6" w:rsidP="00B340C6">
      <w:pPr>
        <w:pStyle w:val="VCAAbody"/>
      </w:pPr>
      <w:r>
        <w:t xml:space="preserve">A biquadratic function has rule of the form </w:t>
      </w:r>
      <w:r w:rsidRPr="001B5E13">
        <w:rPr>
          <w:noProof/>
          <w:position w:val="-10"/>
        </w:rPr>
        <w:object w:dxaOrig="2060" w:dyaOrig="360" w14:anchorId="2C72C5DE">
          <v:shape id="_x0000_i1030" type="#_x0000_t75" style="width:102.75pt;height:18pt" o:ole="">
            <v:imagedata r:id="rId20" o:title=""/>
          </v:shape>
          <o:OLEObject Type="Embed" ProgID="Equation.3" ShapeID="_x0000_i1030" DrawAspect="Content" ObjectID="_1735994805" r:id="rId21"/>
        </w:object>
      </w:r>
      <w:r>
        <w:t xml:space="preserve"> where </w:t>
      </w:r>
      <w:r w:rsidRPr="008D5A8A">
        <w:rPr>
          <w:i/>
        </w:rPr>
        <w:t>a</w:t>
      </w:r>
      <w:r>
        <w:t xml:space="preserve"> is non-zero.</w:t>
      </w:r>
    </w:p>
    <w:p w14:paraId="3DE31706" w14:textId="77777777" w:rsidR="00B340C6" w:rsidRPr="00B340C6" w:rsidRDefault="00B340C6" w:rsidP="00B340C6">
      <w:pPr>
        <w:numPr>
          <w:ilvl w:val="0"/>
          <w:numId w:val="27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Investigate the graphs of various families of biquadratic functions, including </w:t>
      </w:r>
      <w:r w:rsidRPr="00B340C6">
        <w:rPr>
          <w:rFonts w:cs="Arial"/>
          <w:noProof/>
          <w:position w:val="-10"/>
          <w:sz w:val="20"/>
          <w:szCs w:val="20"/>
        </w:rPr>
        <w:object w:dxaOrig="2079" w:dyaOrig="360" w14:anchorId="4A1D9D34">
          <v:shape id="_x0000_i1031" type="#_x0000_t75" style="width:104.25pt;height:18pt" o:ole="">
            <v:imagedata r:id="rId22" o:title=""/>
          </v:shape>
          <o:OLEObject Type="Embed" ProgID="Equation.3" ShapeID="_x0000_i1031" DrawAspect="Content" ObjectID="_1735994806" r:id="rId23"/>
        </w:object>
      </w:r>
      <w:r w:rsidRPr="00B340C6">
        <w:rPr>
          <w:rFonts w:cs="Arial"/>
          <w:sz w:val="20"/>
          <w:szCs w:val="20"/>
        </w:rPr>
        <w:t xml:space="preserve"> and identify their key features.</w:t>
      </w:r>
    </w:p>
    <w:p w14:paraId="4BF719AB" w14:textId="77777777" w:rsidR="00B340C6" w:rsidRPr="00B340C6" w:rsidRDefault="00B340C6" w:rsidP="00B340C6">
      <w:pPr>
        <w:numPr>
          <w:ilvl w:val="0"/>
          <w:numId w:val="27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Investigate the representation of biquadratic functions in the form </w:t>
      </w:r>
      <w:r w:rsidRPr="00B340C6">
        <w:rPr>
          <w:rFonts w:cs="Arial"/>
          <w:noProof/>
          <w:position w:val="-10"/>
          <w:sz w:val="20"/>
          <w:szCs w:val="20"/>
        </w:rPr>
        <w:object w:dxaOrig="2520" w:dyaOrig="360" w14:anchorId="6D24BFA3">
          <v:shape id="_x0000_i1032" type="#_x0000_t75" style="width:126pt;height:18pt" o:ole="">
            <v:imagedata r:id="rId24" o:title=""/>
          </v:shape>
          <o:OLEObject Type="Embed" ProgID="Equation.3" ShapeID="_x0000_i1032" DrawAspect="Content" ObjectID="_1735994807" r:id="rId25"/>
        </w:object>
      </w:r>
      <w:r w:rsidRPr="00B340C6">
        <w:rPr>
          <w:rFonts w:cs="Arial"/>
          <w:sz w:val="20"/>
          <w:szCs w:val="20"/>
        </w:rPr>
        <w:t>and consider the number of real roots. Use a range of examples to illustrate various combinations of real and complex roots and related graphs.</w:t>
      </w:r>
    </w:p>
    <w:p w14:paraId="7AA4203E" w14:textId="77777777" w:rsidR="00B340C6" w:rsidRPr="00B340C6" w:rsidRDefault="00B340C6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7C73D234" w14:textId="3957DC1D" w:rsidR="00B340C6" w:rsidRPr="00C70415" w:rsidRDefault="00B340C6" w:rsidP="00B340C6">
      <w:pPr>
        <w:pStyle w:val="VCAAHeading4"/>
      </w:pPr>
      <w:r w:rsidRPr="00C70415">
        <w:lastRenderedPageBreak/>
        <w:t>Part 3</w:t>
      </w:r>
    </w:p>
    <w:p w14:paraId="02541D90" w14:textId="77777777" w:rsidR="00B340C6" w:rsidRPr="00D2680C" w:rsidRDefault="00B340C6" w:rsidP="00B340C6">
      <w:pPr>
        <w:pStyle w:val="VCAAbody"/>
        <w:spacing w:line="360" w:lineRule="auto"/>
        <w:rPr>
          <w:szCs w:val="20"/>
        </w:rPr>
      </w:pPr>
      <w:r>
        <w:rPr>
          <w:noProof/>
        </w:rPr>
        <w:t xml:space="preserve">Consider the relation between a quartic polynomial function of a single variable and its possible representation as a product of two irreducible quadratic functions with integer coefficients. </w:t>
      </w:r>
    </w:p>
    <w:p w14:paraId="6FFEDCC6" w14:textId="77777777" w:rsidR="00B340C6" w:rsidRPr="00B340C6" w:rsidRDefault="00B340C6" w:rsidP="00B340C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Give several examples of quartic polynomial function of a single variable that can be expressed as a product of two irreducible quadratic functions with integer coefficients and state their complex roots. Show that </w:t>
      </w:r>
      <w:r w:rsidRPr="00B340C6">
        <w:rPr>
          <w:rFonts w:cs="Arial"/>
          <w:noProof/>
          <w:position w:val="-10"/>
          <w:sz w:val="20"/>
          <w:szCs w:val="20"/>
        </w:rPr>
        <w:object w:dxaOrig="3220" w:dyaOrig="360" w14:anchorId="35D8B1B3">
          <v:shape id="_x0000_i1033" type="#_x0000_t75" style="width:161.25pt;height:18pt" o:ole="">
            <v:imagedata r:id="rId26" o:title=""/>
          </v:shape>
          <o:OLEObject Type="Embed" ProgID="Equation.3" ShapeID="_x0000_i1033" DrawAspect="Content" ObjectID="_1735994808" r:id="rId27"/>
        </w:object>
      </w:r>
      <w:r w:rsidRPr="00B340C6">
        <w:rPr>
          <w:rFonts w:cs="Arial"/>
          <w:sz w:val="20"/>
          <w:szCs w:val="20"/>
        </w:rPr>
        <w:t>can be expressed in this form and explain how the coefficients of the quadratic factors are determined.</w:t>
      </w:r>
    </w:p>
    <w:p w14:paraId="1F68925E" w14:textId="77777777" w:rsidR="00B340C6" w:rsidRPr="00B340C6" w:rsidRDefault="00B340C6" w:rsidP="00B340C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Show that </w:t>
      </w:r>
      <w:r w:rsidRPr="00B340C6">
        <w:rPr>
          <w:rFonts w:cs="Arial"/>
          <w:noProof/>
          <w:position w:val="-10"/>
          <w:sz w:val="20"/>
          <w:szCs w:val="20"/>
        </w:rPr>
        <w:object w:dxaOrig="2420" w:dyaOrig="360" w14:anchorId="5525DFA4">
          <v:shape id="_x0000_i1034" type="#_x0000_t75" style="width:120.75pt;height:18pt" o:ole="">
            <v:imagedata r:id="rId28" o:title=""/>
          </v:shape>
          <o:OLEObject Type="Embed" ProgID="Equation.3" ShapeID="_x0000_i1034" DrawAspect="Content" ObjectID="_1735994809" r:id="rId29"/>
        </w:object>
      </w:r>
      <w:r w:rsidRPr="00B340C6">
        <w:rPr>
          <w:rFonts w:cs="Arial"/>
          <w:sz w:val="20"/>
          <w:szCs w:val="20"/>
        </w:rPr>
        <w:t xml:space="preserve"> can be expressed as a product of irreducible quadratic functions with coefficients including rational numbers and the surd</w:t>
      </w:r>
      <w:r w:rsidRPr="00B340C6">
        <w:rPr>
          <w:rFonts w:cs="Arial"/>
          <w:noProof/>
          <w:position w:val="-8"/>
          <w:sz w:val="20"/>
          <w:szCs w:val="20"/>
        </w:rPr>
        <w:object w:dxaOrig="360" w:dyaOrig="360" w14:anchorId="29017896">
          <v:shape id="_x0000_i1035" type="#_x0000_t75" style="width:18pt;height:18pt" o:ole="">
            <v:imagedata r:id="rId30" o:title=""/>
          </v:shape>
          <o:OLEObject Type="Embed" ProgID="Equation.3" ShapeID="_x0000_i1035" DrawAspect="Content" ObjectID="_1735994810" r:id="rId31"/>
        </w:object>
      </w:r>
      <w:r w:rsidRPr="00B340C6">
        <w:rPr>
          <w:rFonts w:cs="Arial"/>
          <w:sz w:val="20"/>
          <w:szCs w:val="20"/>
        </w:rPr>
        <w:t>. Provide some other examples of the same kind, for other surd values.</w:t>
      </w:r>
    </w:p>
    <w:p w14:paraId="09C3E310" w14:textId="77777777" w:rsidR="00B340C6" w:rsidRPr="00B340C6" w:rsidRDefault="00B340C6" w:rsidP="00B340C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340C6">
        <w:rPr>
          <w:rFonts w:cs="Arial"/>
          <w:sz w:val="20"/>
          <w:szCs w:val="20"/>
        </w:rPr>
        <w:t xml:space="preserve">Consider other examples and special cases to see if criteria for expression of </w:t>
      </w:r>
      <w:r w:rsidRPr="00B340C6">
        <w:rPr>
          <w:sz w:val="20"/>
          <w:szCs w:val="20"/>
        </w:rPr>
        <w:t xml:space="preserve">quartic polynomial functions of a single variable with integer coefficients as </w:t>
      </w:r>
      <w:r w:rsidRPr="00B340C6">
        <w:rPr>
          <w:rFonts w:cs="Arial"/>
          <w:sz w:val="20"/>
          <w:szCs w:val="20"/>
        </w:rPr>
        <w:t>a product of two irreducible quadratic functions with integer coefficients</w:t>
      </w:r>
      <w:r w:rsidRPr="00B340C6">
        <w:rPr>
          <w:sz w:val="20"/>
          <w:szCs w:val="20"/>
        </w:rPr>
        <w:t xml:space="preserve"> can be obtained.</w:t>
      </w:r>
    </w:p>
    <w:p w14:paraId="54DC0AF9" w14:textId="77777777" w:rsidR="00B340C6" w:rsidRPr="006929FF" w:rsidRDefault="00B340C6" w:rsidP="00B340C6">
      <w:pPr>
        <w:pStyle w:val="VCAAHeading3"/>
      </w:pPr>
      <w:r w:rsidRPr="006929FF">
        <w:t>Areas of study</w:t>
      </w:r>
    </w:p>
    <w:p w14:paraId="189DE77F" w14:textId="1A73434D" w:rsidR="00B340C6" w:rsidRDefault="00B340C6" w:rsidP="00B340C6">
      <w:pPr>
        <w:pStyle w:val="VCAAbody"/>
        <w:spacing w:after="240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340C6" w:rsidRPr="00FA2380" w14:paraId="29B0468A" w14:textId="77777777" w:rsidTr="00C15310">
        <w:tc>
          <w:tcPr>
            <w:tcW w:w="3209" w:type="dxa"/>
            <w:shd w:val="clear" w:color="auto" w:fill="0F7EB4"/>
          </w:tcPr>
          <w:p w14:paraId="3C3B9DB1" w14:textId="1CE87705" w:rsidR="00B340C6" w:rsidRPr="00B340C6" w:rsidRDefault="00B340C6" w:rsidP="00B340C6">
            <w:pPr>
              <w:pStyle w:val="VCAAtablecondensedheading"/>
              <w:rPr>
                <w:b/>
                <w:bCs/>
              </w:rPr>
            </w:pPr>
            <w:r w:rsidRPr="00B340C6">
              <w:rPr>
                <w:b/>
                <w:bCs/>
              </w:rPr>
              <w:t>Areas of study</w:t>
            </w:r>
          </w:p>
        </w:tc>
        <w:tc>
          <w:tcPr>
            <w:tcW w:w="3210" w:type="dxa"/>
            <w:shd w:val="clear" w:color="auto" w:fill="0F7EB4"/>
          </w:tcPr>
          <w:p w14:paraId="561D7534" w14:textId="0DF9708B" w:rsidR="00B340C6" w:rsidRPr="00B340C6" w:rsidRDefault="00B340C6" w:rsidP="00B340C6">
            <w:pPr>
              <w:pStyle w:val="VCAAtablecondensedheading"/>
              <w:rPr>
                <w:b/>
                <w:bCs/>
              </w:rPr>
            </w:pPr>
            <w:r w:rsidRPr="00B340C6">
              <w:rPr>
                <w:b/>
                <w:bCs/>
              </w:rPr>
              <w:t>Topics</w:t>
            </w:r>
          </w:p>
        </w:tc>
        <w:tc>
          <w:tcPr>
            <w:tcW w:w="3210" w:type="dxa"/>
            <w:shd w:val="clear" w:color="auto" w:fill="0F7EB4"/>
          </w:tcPr>
          <w:p w14:paraId="432626EE" w14:textId="23B91D30" w:rsidR="00B340C6" w:rsidRPr="00B340C6" w:rsidRDefault="00B340C6" w:rsidP="00B340C6">
            <w:pPr>
              <w:pStyle w:val="VCAAtablecondensedheading"/>
              <w:rPr>
                <w:b/>
                <w:bCs/>
              </w:rPr>
            </w:pPr>
            <w:r w:rsidRPr="00B340C6">
              <w:rPr>
                <w:b/>
                <w:bCs/>
              </w:rPr>
              <w:t>Content dot point</w:t>
            </w:r>
          </w:p>
        </w:tc>
      </w:tr>
      <w:tr w:rsidR="00B340C6" w14:paraId="31E065A1" w14:textId="77777777" w:rsidTr="00C15310">
        <w:tc>
          <w:tcPr>
            <w:tcW w:w="3209" w:type="dxa"/>
          </w:tcPr>
          <w:p w14:paraId="6A8ED9F2" w14:textId="6FF472E4" w:rsidR="00B340C6" w:rsidRDefault="00B340C6" w:rsidP="00B340C6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210" w:type="dxa"/>
          </w:tcPr>
          <w:p w14:paraId="054C1380" w14:textId="68C9C44E" w:rsidR="00B340C6" w:rsidRDefault="00B340C6" w:rsidP="00B340C6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210" w:type="dxa"/>
          </w:tcPr>
          <w:p w14:paraId="5294CF45" w14:textId="1092AAC5" w:rsidR="00B340C6" w:rsidRDefault="00B340C6" w:rsidP="00B340C6">
            <w:pPr>
              <w:pStyle w:val="VCAAtablecondensed"/>
            </w:pPr>
            <w:r w:rsidRPr="00891533">
              <w:t>1</w:t>
            </w:r>
            <w:r>
              <w:t>, 2, 3</w:t>
            </w:r>
          </w:p>
        </w:tc>
      </w:tr>
      <w:tr w:rsidR="00B340C6" w14:paraId="6A2B9097" w14:textId="77777777" w:rsidTr="00C15310">
        <w:tc>
          <w:tcPr>
            <w:tcW w:w="3209" w:type="dxa"/>
          </w:tcPr>
          <w:p w14:paraId="08A7A9FB" w14:textId="292274AE" w:rsidR="00B340C6" w:rsidRDefault="00B340C6" w:rsidP="00B340C6">
            <w:pPr>
              <w:pStyle w:val="VCAAtablecondensed"/>
            </w:pPr>
            <w:r w:rsidRPr="00891533">
              <w:t>Calculus</w:t>
            </w:r>
          </w:p>
        </w:tc>
        <w:tc>
          <w:tcPr>
            <w:tcW w:w="3210" w:type="dxa"/>
          </w:tcPr>
          <w:p w14:paraId="2330C984" w14:textId="026BE6F1" w:rsidR="00B340C6" w:rsidRDefault="00B340C6" w:rsidP="00B340C6">
            <w:pPr>
              <w:pStyle w:val="VCAAtablecondensed"/>
            </w:pPr>
            <w:r>
              <w:t>Differential and integral calculus</w:t>
            </w:r>
          </w:p>
        </w:tc>
        <w:tc>
          <w:tcPr>
            <w:tcW w:w="3210" w:type="dxa"/>
          </w:tcPr>
          <w:p w14:paraId="21AFA3CC" w14:textId="613C04E9" w:rsidR="00B340C6" w:rsidRDefault="00B340C6" w:rsidP="00B340C6">
            <w:pPr>
              <w:pStyle w:val="VCAAtablecondensed"/>
            </w:pPr>
            <w:r>
              <w:t>2, 3</w:t>
            </w:r>
          </w:p>
        </w:tc>
      </w:tr>
    </w:tbl>
    <w:p w14:paraId="5278DD06" w14:textId="77777777" w:rsidR="00B340C6" w:rsidRPr="006929FF" w:rsidRDefault="00B340C6" w:rsidP="00B340C6">
      <w:pPr>
        <w:pStyle w:val="VCAAHeading3"/>
      </w:pPr>
      <w:r w:rsidRPr="006929FF">
        <w:t>Outcomes</w:t>
      </w:r>
    </w:p>
    <w:p w14:paraId="01C41AB5" w14:textId="5695418B" w:rsidR="00B340C6" w:rsidRDefault="00B340C6" w:rsidP="00B340C6">
      <w:pPr>
        <w:pStyle w:val="VCAAbody"/>
        <w:spacing w:after="240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340C6" w:rsidRPr="00FA2380" w14:paraId="0D72C43D" w14:textId="77777777" w:rsidTr="00C15310">
        <w:tc>
          <w:tcPr>
            <w:tcW w:w="3209" w:type="dxa"/>
            <w:shd w:val="clear" w:color="auto" w:fill="0F7EB4"/>
          </w:tcPr>
          <w:p w14:paraId="0D5A18A4" w14:textId="77777777" w:rsidR="00B340C6" w:rsidRPr="00FA2380" w:rsidRDefault="00B340C6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54700E90" w14:textId="77777777" w:rsidR="00B340C6" w:rsidRPr="00FA2380" w:rsidRDefault="00B340C6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69EB92FC" w14:textId="77777777" w:rsidR="00B340C6" w:rsidRPr="00FA2380" w:rsidRDefault="00B340C6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B340C6" w14:paraId="1A0BB097" w14:textId="77777777" w:rsidTr="00C15310">
        <w:tc>
          <w:tcPr>
            <w:tcW w:w="3209" w:type="dxa"/>
          </w:tcPr>
          <w:p w14:paraId="06DF00DA" w14:textId="254447A5" w:rsidR="00B340C6" w:rsidRDefault="00B340C6" w:rsidP="00B340C6">
            <w:pPr>
              <w:pStyle w:val="VCAAtablecondensed"/>
            </w:pPr>
            <w:r w:rsidRPr="00891533">
              <w:rPr>
                <w:b/>
              </w:rPr>
              <w:t>1</w:t>
            </w:r>
          </w:p>
        </w:tc>
        <w:tc>
          <w:tcPr>
            <w:tcW w:w="3210" w:type="dxa"/>
          </w:tcPr>
          <w:p w14:paraId="34305083" w14:textId="2F7BF266" w:rsidR="00B340C6" w:rsidRDefault="00B340C6" w:rsidP="00B340C6">
            <w:pPr>
              <w:pStyle w:val="VCAAtablecondensed"/>
            </w:pPr>
            <w:r>
              <w:t>3</w:t>
            </w:r>
            <w:r w:rsidRPr="00891533">
              <w:t xml:space="preserve">, </w:t>
            </w:r>
            <w:r>
              <w:t>6</w:t>
            </w:r>
            <w:r w:rsidRPr="00891533">
              <w:t>, 7</w:t>
            </w:r>
            <w:r>
              <w:t>, 8</w:t>
            </w:r>
          </w:p>
        </w:tc>
        <w:tc>
          <w:tcPr>
            <w:tcW w:w="3210" w:type="dxa"/>
          </w:tcPr>
          <w:p w14:paraId="3C8D7699" w14:textId="77BF5242" w:rsidR="00B340C6" w:rsidRDefault="00B340C6" w:rsidP="00B340C6">
            <w:pPr>
              <w:pStyle w:val="VCAAtablecondensed"/>
            </w:pPr>
            <w:r>
              <w:t>2</w:t>
            </w:r>
            <w:r w:rsidRPr="00891533">
              <w:t xml:space="preserve">, </w:t>
            </w:r>
            <w:r>
              <w:t>6, 7</w:t>
            </w:r>
          </w:p>
        </w:tc>
      </w:tr>
      <w:tr w:rsidR="00B340C6" w14:paraId="728229D9" w14:textId="77777777" w:rsidTr="00C15310">
        <w:tc>
          <w:tcPr>
            <w:tcW w:w="3209" w:type="dxa"/>
          </w:tcPr>
          <w:p w14:paraId="4D823EA3" w14:textId="680488B7" w:rsidR="00B340C6" w:rsidRDefault="00B340C6" w:rsidP="00B340C6">
            <w:pPr>
              <w:pStyle w:val="VCAAtablecondensed"/>
            </w:pPr>
            <w:r w:rsidRPr="00891533">
              <w:rPr>
                <w:b/>
              </w:rPr>
              <w:t>2</w:t>
            </w:r>
          </w:p>
        </w:tc>
        <w:tc>
          <w:tcPr>
            <w:tcW w:w="3210" w:type="dxa"/>
          </w:tcPr>
          <w:p w14:paraId="18A9CC62" w14:textId="71AA73B7" w:rsidR="00B340C6" w:rsidRDefault="00B340C6" w:rsidP="00B340C6">
            <w:pPr>
              <w:pStyle w:val="VCAAtablecondensed"/>
            </w:pPr>
            <w:r w:rsidRPr="00891533">
              <w:t>1, 2, 3, 4</w:t>
            </w:r>
            <w:r>
              <w:t>, 5</w:t>
            </w:r>
          </w:p>
        </w:tc>
        <w:tc>
          <w:tcPr>
            <w:tcW w:w="3210" w:type="dxa"/>
          </w:tcPr>
          <w:p w14:paraId="451284EC" w14:textId="5777C1E9" w:rsidR="00B340C6" w:rsidRDefault="00B340C6" w:rsidP="00B340C6">
            <w:pPr>
              <w:pStyle w:val="VCAAtablecondensed"/>
            </w:pPr>
            <w:r w:rsidRPr="00891533">
              <w:t xml:space="preserve">1, 2, </w:t>
            </w:r>
            <w:r>
              <w:t>3</w:t>
            </w:r>
            <w:r w:rsidRPr="00891533">
              <w:t>, 5,</w:t>
            </w:r>
            <w:r>
              <w:t xml:space="preserve"> 6</w:t>
            </w:r>
          </w:p>
        </w:tc>
      </w:tr>
      <w:tr w:rsidR="00B340C6" w14:paraId="55D5171D" w14:textId="77777777" w:rsidTr="00C15310">
        <w:tc>
          <w:tcPr>
            <w:tcW w:w="3209" w:type="dxa"/>
          </w:tcPr>
          <w:p w14:paraId="068C5B0D" w14:textId="3C77724E" w:rsidR="00B340C6" w:rsidRDefault="00B340C6" w:rsidP="00B340C6">
            <w:pPr>
              <w:pStyle w:val="VCAAtablecondensed"/>
            </w:pPr>
            <w:r w:rsidRPr="00891533">
              <w:rPr>
                <w:b/>
              </w:rPr>
              <w:t>3</w:t>
            </w:r>
          </w:p>
        </w:tc>
        <w:tc>
          <w:tcPr>
            <w:tcW w:w="3210" w:type="dxa"/>
          </w:tcPr>
          <w:p w14:paraId="518DC6E1" w14:textId="4ADCFD04" w:rsidR="00B340C6" w:rsidRDefault="00B340C6" w:rsidP="00B340C6">
            <w:pPr>
              <w:pStyle w:val="VCAAtablecondensed"/>
            </w:pPr>
            <w:r w:rsidRPr="00891533">
              <w:t xml:space="preserve">1, 2, 3, </w:t>
            </w:r>
            <w:r>
              <w:t>5</w:t>
            </w:r>
            <w:r w:rsidRPr="00891533">
              <w:t>, 6</w:t>
            </w:r>
            <w:r>
              <w:t>, 7</w:t>
            </w:r>
          </w:p>
        </w:tc>
        <w:tc>
          <w:tcPr>
            <w:tcW w:w="3210" w:type="dxa"/>
          </w:tcPr>
          <w:p w14:paraId="471398AE" w14:textId="1F94D834" w:rsidR="00B340C6" w:rsidRDefault="00B340C6" w:rsidP="00B340C6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>4, 5, 6, 8, 9, 10, 11</w:t>
            </w:r>
          </w:p>
        </w:tc>
      </w:tr>
    </w:tbl>
    <w:p w14:paraId="290E8F20" w14:textId="77777777" w:rsidR="00B340C6" w:rsidRDefault="00B340C6" w:rsidP="003056C2">
      <w:pPr>
        <w:pStyle w:val="VCAAbody"/>
        <w:spacing w:after="240"/>
      </w:pPr>
    </w:p>
    <w:sectPr w:rsidR="00B340C6" w:rsidSect="00B230DB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8B7B6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602FA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26"/>
  </w:num>
  <w:num w:numId="7">
    <w:abstractNumId w:val="3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5"/>
  </w:num>
  <w:num w:numId="24">
    <w:abstractNumId w:val="4"/>
  </w:num>
  <w:num w:numId="25">
    <w:abstractNumId w:val="13"/>
  </w:num>
  <w:num w:numId="26">
    <w:abstractNumId w:val="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B7B6C"/>
    <w:rsid w:val="008E0B42"/>
    <w:rsid w:val="009370BC"/>
    <w:rsid w:val="00970580"/>
    <w:rsid w:val="00984E15"/>
    <w:rsid w:val="0098739B"/>
    <w:rsid w:val="009A0DA4"/>
    <w:rsid w:val="009B61E5"/>
    <w:rsid w:val="009D1E89"/>
    <w:rsid w:val="009E5707"/>
    <w:rsid w:val="00A17661"/>
    <w:rsid w:val="00A24B2D"/>
    <w:rsid w:val="00A40966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340C6"/>
    <w:rsid w:val="00B41951"/>
    <w:rsid w:val="00B53229"/>
    <w:rsid w:val="00B62480"/>
    <w:rsid w:val="00B81B70"/>
    <w:rsid w:val="00BB3BAB"/>
    <w:rsid w:val="00BC0A52"/>
    <w:rsid w:val="00BD0724"/>
    <w:rsid w:val="00BD2B91"/>
    <w:rsid w:val="00BE5521"/>
    <w:rsid w:val="00BF6C23"/>
    <w:rsid w:val="00C53263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F17FDE"/>
    <w:rsid w:val="00F266D7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21" Type="http://schemas.openxmlformats.org/officeDocument/2006/relationships/oleObject" Target="embeddings/oleObject6.bin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C7EB7-9E65-4C59-A637-39788B3C7221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application, task, cubic, quartic, polynomials</cp:keywords>
  <cp:lastModifiedBy>Julie Coleman</cp:lastModifiedBy>
  <cp:revision>4</cp:revision>
  <cp:lastPrinted>2015-05-15T02:36:00Z</cp:lastPrinted>
  <dcterms:created xsi:type="dcterms:W3CDTF">2022-12-14T00:25:00Z</dcterms:created>
  <dcterms:modified xsi:type="dcterms:W3CDTF">2023-01-23T05:00:00Z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