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FE8AE0" w:rsidR="00F4525C" w:rsidRDefault="00C904AB" w:rsidP="009B61E5">
      <w:pPr>
        <w:pStyle w:val="VCAADocumenttitle"/>
      </w:pPr>
      <w:r>
        <w:t xml:space="preserve">VCE Specialist Mathematics </w:t>
      </w:r>
      <w:r>
        <w:br/>
        <w:t>Units 3 and 4</w:t>
      </w:r>
    </w:p>
    <w:p w14:paraId="74E62D52" w14:textId="4D2D3FC4" w:rsidR="00243F0D" w:rsidRPr="00823962" w:rsidRDefault="00C904AB" w:rsidP="00524BAE">
      <w:pPr>
        <w:pStyle w:val="VCAAHeading2"/>
      </w:pPr>
      <w:bookmarkStart w:id="0" w:name="TemplateOverview"/>
      <w:bookmarkEnd w:id="0"/>
      <w:r w:rsidRPr="00AD3801">
        <w:t xml:space="preserve">Sample </w:t>
      </w:r>
      <w:r w:rsidR="00E11872">
        <w:t>application</w:t>
      </w:r>
      <w:r w:rsidRPr="00AD3801">
        <w:t xml:space="preserve"> task – </w:t>
      </w:r>
      <w:r w:rsidR="00C83FD0" w:rsidRPr="005A4849">
        <w:rPr>
          <w:lang w:val="en-AU"/>
        </w:rPr>
        <w:t>graphs of rational functions</w:t>
      </w:r>
      <w:r w:rsidR="00C83FD0">
        <w:rPr>
          <w:lang w:val="en-AU"/>
        </w:rPr>
        <w:t xml:space="preserve"> with cubic polynomial numerators and denominators</w:t>
      </w:r>
    </w:p>
    <w:p w14:paraId="0A18A3A2" w14:textId="77777777" w:rsidR="004F65FF" w:rsidRPr="00C70415" w:rsidRDefault="004F65FF" w:rsidP="004F65FF">
      <w:pPr>
        <w:pStyle w:val="VCAAHeading3"/>
      </w:pPr>
      <w:r w:rsidRPr="006929FF">
        <w:t>Introduction</w:t>
      </w:r>
    </w:p>
    <w:p w14:paraId="088160E4" w14:textId="77777777" w:rsidR="003056C2" w:rsidRDefault="003056C2" w:rsidP="003056C2">
      <w:pPr>
        <w:pStyle w:val="VCAAbody"/>
      </w:pPr>
      <w:r w:rsidRPr="005A4849">
        <w:t xml:space="preserve">A context such as the following can be used to investigate key features of the graphs of </w:t>
      </w:r>
      <w:r>
        <w:t xml:space="preserve">some </w:t>
      </w:r>
      <w:r w:rsidRPr="005A4849">
        <w:t>rational functions of a real variable</w:t>
      </w:r>
      <w:r>
        <w:t xml:space="preserve"> of low degree, where the denominator function is a cubic polynomial function with </w:t>
      </w:r>
      <w:r w:rsidRPr="00C10017">
        <w:t>integer</w:t>
      </w:r>
      <w:r>
        <w:t xml:space="preserve"> coefficients and the numerator function is at most a cubic polynomial functions with </w:t>
      </w:r>
      <w:r w:rsidRPr="00C10017">
        <w:t>integer</w:t>
      </w:r>
      <w:r>
        <w:t xml:space="preserve"> coefficients.</w:t>
      </w:r>
    </w:p>
    <w:p w14:paraId="666EC57F" w14:textId="77777777" w:rsidR="003056C2" w:rsidRPr="00012F18" w:rsidRDefault="003056C2" w:rsidP="003056C2">
      <w:pPr>
        <w:pStyle w:val="VCAAbody"/>
      </w:pPr>
      <w:r w:rsidRPr="00012F18">
        <w:t xml:space="preserve">Rational </w:t>
      </w:r>
      <w:r>
        <w:t>f</w:t>
      </w:r>
      <w:r w:rsidRPr="00012F18">
        <w:t>unction</w:t>
      </w:r>
      <w:r>
        <w:t>s can be used to model various situations where ratios, asymptotic behaviour, and a wider range of shapes than graphs of polynomial functions are involved,</w:t>
      </w:r>
      <w:r w:rsidRPr="00012F18">
        <w:t xml:space="preserve"> </w:t>
      </w:r>
      <w:r>
        <w:t xml:space="preserve">such as </w:t>
      </w:r>
      <w:hyperlink r:id="rId11" w:history="1">
        <w:r w:rsidRPr="00BD7966">
          <w:rPr>
            <w:rStyle w:val="Hyperlink"/>
          </w:rPr>
          <w:t>thermal expansion of metal</w:t>
        </w:r>
      </w:hyperlink>
      <w:r>
        <w:t xml:space="preserve"> and </w:t>
      </w:r>
      <w:hyperlink r:id="rId12" w:history="1">
        <w:r w:rsidRPr="001E3C74">
          <w:rPr>
            <w:rStyle w:val="Hyperlink"/>
          </w:rPr>
          <w:t>sensor models</w:t>
        </w:r>
      </w:hyperlink>
      <w:r w:rsidRPr="00012F18">
        <w:t xml:space="preserve"> and photogrammetry </w:t>
      </w:r>
      <w:r>
        <w:t xml:space="preserve">in geomatics </w:t>
      </w:r>
      <w:r w:rsidRPr="00012F18">
        <w:t xml:space="preserve">to represent the transformation between </w:t>
      </w:r>
      <w:r>
        <w:t>an</w:t>
      </w:r>
      <w:r w:rsidRPr="00012F18">
        <w:t xml:space="preserve"> image space and </w:t>
      </w:r>
      <w:r>
        <w:t xml:space="preserve">an </w:t>
      </w:r>
      <w:r w:rsidRPr="00012F18">
        <w:t>object space.</w:t>
      </w:r>
    </w:p>
    <w:p w14:paraId="1E815073" w14:textId="77777777" w:rsidR="003056C2" w:rsidRDefault="003056C2" w:rsidP="003056C2">
      <w:pPr>
        <w:pStyle w:val="VCAAbody"/>
      </w:pPr>
      <w:r w:rsidRPr="005A4849">
        <w:t xml:space="preserve">For each </w:t>
      </w:r>
      <w:r>
        <w:t xml:space="preserve">of the following </w:t>
      </w:r>
      <w:r w:rsidRPr="005A4849">
        <w:t>function</w:t>
      </w:r>
      <w:r>
        <w:t>s</w:t>
      </w:r>
      <w:r w:rsidRPr="005A4849">
        <w:t xml:space="preserve"> </w:t>
      </w:r>
      <w:r>
        <w:t>the behaviour and range of shapes of their graphs is to be investigated. T</w:t>
      </w:r>
      <w:r w:rsidRPr="005A4849">
        <w:t xml:space="preserve">he maximal domain and </w:t>
      </w:r>
      <w:r>
        <w:t xml:space="preserve">corresponding </w:t>
      </w:r>
      <w:r w:rsidRPr="005A4849">
        <w:t xml:space="preserve">range </w:t>
      </w:r>
      <w:r>
        <w:t xml:space="preserve">should be </w:t>
      </w:r>
      <w:r w:rsidRPr="005A4849">
        <w:t xml:space="preserve">identified, </w:t>
      </w:r>
      <w:r>
        <w:t>as well as</w:t>
      </w:r>
      <w:r w:rsidRPr="005A4849">
        <w:t xml:space="preserve"> key features such as axis intercepts, asymptotes, stationary points, points of inflection and symmetry</w:t>
      </w:r>
      <w:r>
        <w:t>, and the shape of the graph over its natural domain, using the first and second derivative for analysis as applicable.</w:t>
      </w:r>
    </w:p>
    <w:p w14:paraId="61E1439E" w14:textId="64A4BA05" w:rsidR="003056C2" w:rsidRDefault="003056C2" w:rsidP="003056C2">
      <w:pPr>
        <w:pStyle w:val="VCAAbody"/>
      </w:pPr>
      <w:r>
        <w:t>T</w:t>
      </w:r>
      <w:r w:rsidRPr="005A4849">
        <w:t xml:space="preserve">he location of key features should be determined with respect to </w:t>
      </w:r>
      <w:r>
        <w:t xml:space="preserve">different combinations of </w:t>
      </w:r>
      <w:r w:rsidRPr="005A4849">
        <w:t>the</w:t>
      </w:r>
      <w:r>
        <w:t xml:space="preserve"> coefficients that specify the numerator and denominator polynomial functions</w:t>
      </w:r>
      <w:r w:rsidRPr="005A4849">
        <w:t xml:space="preserve">, and </w:t>
      </w:r>
      <w:r>
        <w:t xml:space="preserve">the </w:t>
      </w:r>
      <w:r w:rsidRPr="005A4849">
        <w:t xml:space="preserve">different types of graphs </w:t>
      </w:r>
      <w:r>
        <w:t xml:space="preserve">identified and </w:t>
      </w:r>
      <w:r w:rsidRPr="005A4849">
        <w:t>classified</w:t>
      </w:r>
      <w:r>
        <w:t xml:space="preserve">. </w:t>
      </w:r>
    </w:p>
    <w:p w14:paraId="0C5FD1CE" w14:textId="77777777" w:rsidR="003056C2" w:rsidRPr="005A4849" w:rsidRDefault="003056C2" w:rsidP="003056C2">
      <w:pPr>
        <w:pStyle w:val="VCAAHeading4"/>
      </w:pPr>
      <w:r w:rsidRPr="005A4849">
        <w:t xml:space="preserve">Part 1 </w:t>
      </w:r>
    </w:p>
    <w:p w14:paraId="5300823C" w14:textId="77777777" w:rsidR="003056C2" w:rsidRDefault="003056C2" w:rsidP="003056C2">
      <w:pPr>
        <w:pStyle w:val="VCAAbody"/>
      </w:pPr>
      <w:r w:rsidRPr="005D7AC6">
        <w:t xml:space="preserve">Investigate the nature of graphs of </w:t>
      </w:r>
      <w:r>
        <w:t>reciprocal cubic functions of the form:</w:t>
      </w:r>
    </w:p>
    <w:p w14:paraId="38A0B46C" w14:textId="77777777" w:rsidR="003056C2" w:rsidRPr="003056C2" w:rsidRDefault="003056C2" w:rsidP="003056C2">
      <w:pPr>
        <w:autoSpaceDE w:val="0"/>
        <w:autoSpaceDN w:val="0"/>
        <w:adjustRightInd w:val="0"/>
        <w:spacing w:after="0" w:line="360" w:lineRule="auto"/>
        <w:ind w:firstLine="720"/>
        <w:rPr>
          <w:rFonts w:cs="Arial"/>
          <w:sz w:val="20"/>
          <w:szCs w:val="20"/>
        </w:rPr>
      </w:pPr>
      <w:r w:rsidRPr="003056C2">
        <w:rPr>
          <w:noProof/>
          <w:position w:val="-30"/>
          <w:sz w:val="20"/>
          <w:szCs w:val="20"/>
        </w:rPr>
        <w:object w:dxaOrig="3660" w:dyaOrig="680" w14:anchorId="23B519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33.75pt" o:ole="">
            <v:imagedata r:id="rId13" o:title=""/>
          </v:shape>
          <o:OLEObject Type="Embed" ProgID="Equation.3" ShapeID="_x0000_i1025" DrawAspect="Content" ObjectID="_1735996435" r:id="rId14"/>
        </w:object>
      </w:r>
      <w:r w:rsidRPr="003056C2">
        <w:rPr>
          <w:sz w:val="20"/>
          <w:szCs w:val="20"/>
        </w:rPr>
        <w:t xml:space="preserve"> where </w:t>
      </w:r>
      <w:r w:rsidRPr="00065A6E">
        <w:rPr>
          <w:rFonts w:ascii="Times New Roman" w:hAnsi="Times New Roman" w:cs="Times New Roman"/>
          <w:i/>
        </w:rPr>
        <w:t>p</w:t>
      </w:r>
      <w:r w:rsidRPr="003056C2">
        <w:rPr>
          <w:sz w:val="20"/>
          <w:szCs w:val="20"/>
        </w:rPr>
        <w:t xml:space="preserve"> is non-zero.</w:t>
      </w:r>
    </w:p>
    <w:p w14:paraId="08367013" w14:textId="77777777" w:rsidR="003056C2" w:rsidRPr="003C2B32" w:rsidRDefault="003056C2" w:rsidP="003056C2">
      <w:pPr>
        <w:pStyle w:val="VCAAHeading4"/>
      </w:pPr>
      <w:r w:rsidRPr="003C2B32">
        <w:t>Part 2</w:t>
      </w:r>
    </w:p>
    <w:p w14:paraId="2B763E67" w14:textId="77777777" w:rsidR="003056C2" w:rsidRDefault="003056C2" w:rsidP="003056C2">
      <w:pPr>
        <w:pStyle w:val="VCAAbody"/>
      </w:pPr>
      <w:r w:rsidRPr="005D7AC6">
        <w:t xml:space="preserve">Investigate the nature of graphs of </w:t>
      </w:r>
      <w:r>
        <w:t xml:space="preserve">rational </w:t>
      </w:r>
      <w:r w:rsidRPr="005D7AC6">
        <w:t>functions</w:t>
      </w:r>
      <w:r>
        <w:t xml:space="preserve"> of the form:</w:t>
      </w:r>
    </w:p>
    <w:p w14:paraId="5309BD15" w14:textId="77777777" w:rsidR="003056C2" w:rsidRPr="003056C2" w:rsidRDefault="003056C2" w:rsidP="003056C2">
      <w:pPr>
        <w:spacing w:line="360" w:lineRule="auto"/>
        <w:ind w:firstLine="720"/>
        <w:rPr>
          <w:sz w:val="20"/>
          <w:szCs w:val="20"/>
        </w:rPr>
      </w:pPr>
      <w:r w:rsidRPr="003056C2">
        <w:rPr>
          <w:noProof/>
          <w:position w:val="-30"/>
          <w:sz w:val="20"/>
          <w:szCs w:val="20"/>
        </w:rPr>
        <w:object w:dxaOrig="3660" w:dyaOrig="720" w14:anchorId="75A91EE1">
          <v:shape id="_x0000_i1026" type="#_x0000_t75" style="width:183pt;height:36.75pt" o:ole="">
            <v:imagedata r:id="rId15" o:title=""/>
          </v:shape>
          <o:OLEObject Type="Embed" ProgID="Equation.3" ShapeID="_x0000_i1026" DrawAspect="Content" ObjectID="_1735996436" r:id="rId16"/>
        </w:object>
      </w:r>
      <w:r w:rsidRPr="003056C2">
        <w:rPr>
          <w:sz w:val="20"/>
          <w:szCs w:val="20"/>
        </w:rPr>
        <w:t xml:space="preserve"> where </w:t>
      </w:r>
      <w:r w:rsidRPr="00065A6E">
        <w:rPr>
          <w:rFonts w:ascii="Times New Roman" w:hAnsi="Times New Roman" w:cs="Times New Roman"/>
          <w:i/>
        </w:rPr>
        <w:t>b</w:t>
      </w:r>
      <w:r w:rsidRPr="00065A6E">
        <w:rPr>
          <w:rFonts w:ascii="Times New Roman" w:hAnsi="Times New Roman" w:cs="Times New Roman"/>
        </w:rPr>
        <w:t xml:space="preserve"> </w:t>
      </w:r>
      <w:r w:rsidRPr="003056C2">
        <w:rPr>
          <w:sz w:val="20"/>
          <w:szCs w:val="20"/>
        </w:rPr>
        <w:t xml:space="preserve">and </w:t>
      </w:r>
      <w:r w:rsidRPr="00065A6E">
        <w:rPr>
          <w:rFonts w:ascii="Times New Roman" w:hAnsi="Times New Roman" w:cs="Times New Roman"/>
          <w:i/>
        </w:rPr>
        <w:t>p</w:t>
      </w:r>
      <w:r w:rsidRPr="003056C2">
        <w:rPr>
          <w:sz w:val="20"/>
          <w:szCs w:val="20"/>
        </w:rPr>
        <w:t xml:space="preserve"> are non-zero</w:t>
      </w:r>
    </w:p>
    <w:p w14:paraId="35BD57DA" w14:textId="77777777" w:rsidR="003056C2" w:rsidRPr="00172327" w:rsidRDefault="003056C2" w:rsidP="003056C2">
      <w:pPr>
        <w:pStyle w:val="VCAAHeading4"/>
      </w:pPr>
      <w:r>
        <w:br w:type="page"/>
      </w:r>
      <w:r w:rsidRPr="00172327">
        <w:lastRenderedPageBreak/>
        <w:t>Part 3</w:t>
      </w:r>
    </w:p>
    <w:p w14:paraId="3BE02548" w14:textId="77777777" w:rsidR="003056C2" w:rsidRDefault="003056C2" w:rsidP="003056C2">
      <w:pPr>
        <w:pStyle w:val="VCAAbody"/>
      </w:pPr>
      <w:r>
        <w:t>Investigate the nature of graphs of rational functions of the form:</w:t>
      </w:r>
    </w:p>
    <w:p w14:paraId="210301E4" w14:textId="3B948EC1" w:rsidR="003056C2" w:rsidRPr="003056C2" w:rsidRDefault="003056C2" w:rsidP="003056C2">
      <w:pPr>
        <w:ind w:left="720" w:firstLine="720"/>
        <w:rPr>
          <w:sz w:val="20"/>
          <w:szCs w:val="20"/>
        </w:rPr>
      </w:pPr>
      <w:r w:rsidRPr="003056C2">
        <w:rPr>
          <w:noProof/>
          <w:position w:val="-30"/>
          <w:sz w:val="20"/>
          <w:szCs w:val="20"/>
        </w:rPr>
        <w:object w:dxaOrig="3680" w:dyaOrig="720" w14:anchorId="741298EB">
          <v:shape id="_x0000_i1027" type="#_x0000_t75" style="width:183.75pt;height:36.75pt" o:ole="">
            <v:imagedata r:id="rId17" o:title=""/>
          </v:shape>
          <o:OLEObject Type="Embed" ProgID="Equation.3" ShapeID="_x0000_i1027" DrawAspect="Content" ObjectID="_1735996437" r:id="rId18"/>
        </w:object>
      </w:r>
      <w:r w:rsidRPr="003056C2">
        <w:rPr>
          <w:sz w:val="20"/>
          <w:szCs w:val="20"/>
        </w:rPr>
        <w:t xml:space="preserve"> where </w:t>
      </w:r>
      <w:r w:rsidRPr="00065A6E">
        <w:rPr>
          <w:rFonts w:ascii="Times New Roman" w:hAnsi="Times New Roman" w:cs="Times New Roman"/>
          <w:i/>
        </w:rPr>
        <w:t>a</w:t>
      </w:r>
      <w:r w:rsidRPr="003056C2">
        <w:rPr>
          <w:sz w:val="20"/>
          <w:szCs w:val="20"/>
        </w:rPr>
        <w:t xml:space="preserve"> and </w:t>
      </w:r>
      <w:r w:rsidRPr="00065A6E">
        <w:rPr>
          <w:rFonts w:ascii="Times New Roman" w:hAnsi="Times New Roman" w:cs="Times New Roman"/>
          <w:i/>
        </w:rPr>
        <w:t>p</w:t>
      </w:r>
      <w:r w:rsidRPr="003056C2">
        <w:rPr>
          <w:i/>
          <w:sz w:val="20"/>
          <w:szCs w:val="20"/>
        </w:rPr>
        <w:t xml:space="preserve"> </w:t>
      </w:r>
      <w:r w:rsidRPr="003056C2">
        <w:rPr>
          <w:sz w:val="20"/>
          <w:szCs w:val="20"/>
        </w:rPr>
        <w:t>are non-zero</w:t>
      </w:r>
    </w:p>
    <w:p w14:paraId="0B6C4D4A" w14:textId="77777777" w:rsidR="003056C2" w:rsidRPr="006929FF" w:rsidRDefault="003056C2" w:rsidP="003056C2">
      <w:pPr>
        <w:pStyle w:val="VCAAHeading3"/>
      </w:pPr>
      <w:r w:rsidRPr="006929FF">
        <w:t>Areas of study</w:t>
      </w:r>
    </w:p>
    <w:p w14:paraId="54DDD1F8" w14:textId="108968A2" w:rsidR="003056C2" w:rsidRDefault="003056C2" w:rsidP="003056C2">
      <w:pPr>
        <w:pStyle w:val="VCAAbody"/>
        <w:spacing w:after="240"/>
      </w:pPr>
      <w:r w:rsidRPr="006929FF"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056C2" w:rsidRPr="00FA2380" w14:paraId="2768A2BB" w14:textId="77777777" w:rsidTr="00C15310">
        <w:tc>
          <w:tcPr>
            <w:tcW w:w="3209" w:type="dxa"/>
            <w:shd w:val="clear" w:color="auto" w:fill="0F7EB4"/>
          </w:tcPr>
          <w:p w14:paraId="32F007AB" w14:textId="56140746" w:rsidR="003056C2" w:rsidRPr="003056C2" w:rsidRDefault="003056C2" w:rsidP="003056C2">
            <w:pPr>
              <w:pStyle w:val="VCAAtablecondensedheading"/>
              <w:rPr>
                <w:b/>
                <w:bCs/>
              </w:rPr>
            </w:pPr>
            <w:r w:rsidRPr="003056C2">
              <w:rPr>
                <w:b/>
                <w:bCs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3D62EA70" w14:textId="0523376B" w:rsidR="003056C2" w:rsidRPr="003056C2" w:rsidRDefault="003056C2" w:rsidP="003056C2">
            <w:pPr>
              <w:pStyle w:val="VCAAtablecondensedheading"/>
              <w:rPr>
                <w:b/>
                <w:bCs/>
              </w:rPr>
            </w:pPr>
            <w:r w:rsidRPr="003056C2">
              <w:rPr>
                <w:b/>
                <w:bCs/>
              </w:rPr>
              <w:t>Topic</w:t>
            </w:r>
          </w:p>
        </w:tc>
        <w:tc>
          <w:tcPr>
            <w:tcW w:w="3210" w:type="dxa"/>
            <w:shd w:val="clear" w:color="auto" w:fill="0F7EB4"/>
          </w:tcPr>
          <w:p w14:paraId="16C890D3" w14:textId="49B682E0" w:rsidR="003056C2" w:rsidRPr="003056C2" w:rsidRDefault="003056C2" w:rsidP="003056C2">
            <w:pPr>
              <w:pStyle w:val="VCAAtablecondensedheading"/>
              <w:rPr>
                <w:b/>
                <w:bCs/>
              </w:rPr>
            </w:pPr>
            <w:r w:rsidRPr="003056C2">
              <w:rPr>
                <w:b/>
                <w:bCs/>
              </w:rPr>
              <w:t>Content dot point</w:t>
            </w:r>
          </w:p>
        </w:tc>
      </w:tr>
      <w:tr w:rsidR="003056C2" w14:paraId="07A58D77" w14:textId="77777777" w:rsidTr="00C15310">
        <w:tc>
          <w:tcPr>
            <w:tcW w:w="3209" w:type="dxa"/>
          </w:tcPr>
          <w:p w14:paraId="74379C9F" w14:textId="6840B48B" w:rsidR="003056C2" w:rsidRDefault="003056C2" w:rsidP="003056C2">
            <w:pPr>
              <w:pStyle w:val="VCAAtablecondensed"/>
            </w:pPr>
            <w:r w:rsidRPr="00891533">
              <w:t>Functions</w:t>
            </w:r>
            <w:r>
              <w:t>, relations</w:t>
            </w:r>
            <w:r w:rsidRPr="00891533">
              <w:t xml:space="preserve"> and graphs</w:t>
            </w:r>
          </w:p>
        </w:tc>
        <w:tc>
          <w:tcPr>
            <w:tcW w:w="3210" w:type="dxa"/>
          </w:tcPr>
          <w:p w14:paraId="148084EA" w14:textId="65E3477D" w:rsidR="003056C2" w:rsidRDefault="003056C2" w:rsidP="003056C2">
            <w:pPr>
              <w:pStyle w:val="VCAAtablecondensed"/>
            </w:pPr>
            <w:r w:rsidRPr="00891533">
              <w:t>Functions</w:t>
            </w:r>
            <w:r>
              <w:t>, relations</w:t>
            </w:r>
            <w:r w:rsidRPr="00891533">
              <w:t xml:space="preserve"> and graphs</w:t>
            </w:r>
          </w:p>
        </w:tc>
        <w:tc>
          <w:tcPr>
            <w:tcW w:w="3210" w:type="dxa"/>
          </w:tcPr>
          <w:p w14:paraId="2177AFF2" w14:textId="6A9F3C81" w:rsidR="003056C2" w:rsidRDefault="003056C2" w:rsidP="003056C2">
            <w:pPr>
              <w:pStyle w:val="VCAAtablecondensed"/>
            </w:pPr>
            <w:r w:rsidRPr="00891533">
              <w:t>1</w:t>
            </w:r>
            <w:r>
              <w:t>,2,3</w:t>
            </w:r>
          </w:p>
        </w:tc>
      </w:tr>
      <w:tr w:rsidR="003056C2" w14:paraId="6770C448" w14:textId="77777777" w:rsidTr="00C15310">
        <w:tc>
          <w:tcPr>
            <w:tcW w:w="3209" w:type="dxa"/>
          </w:tcPr>
          <w:p w14:paraId="7530CAB2" w14:textId="78499061" w:rsidR="003056C2" w:rsidRDefault="003056C2" w:rsidP="003056C2">
            <w:pPr>
              <w:pStyle w:val="VCAAtablecondensed"/>
            </w:pPr>
            <w:r w:rsidRPr="00891533">
              <w:t>Calculus</w:t>
            </w:r>
          </w:p>
        </w:tc>
        <w:tc>
          <w:tcPr>
            <w:tcW w:w="3210" w:type="dxa"/>
          </w:tcPr>
          <w:p w14:paraId="6BDCFEE8" w14:textId="3B8F357C" w:rsidR="003056C2" w:rsidRDefault="003056C2" w:rsidP="003056C2">
            <w:pPr>
              <w:pStyle w:val="VCAAtablecondensed"/>
            </w:pPr>
            <w:r>
              <w:t>Differential and integral calculus</w:t>
            </w:r>
          </w:p>
        </w:tc>
        <w:tc>
          <w:tcPr>
            <w:tcW w:w="3210" w:type="dxa"/>
          </w:tcPr>
          <w:p w14:paraId="182BE805" w14:textId="28AA8733" w:rsidR="003056C2" w:rsidRDefault="003056C2" w:rsidP="003056C2">
            <w:pPr>
              <w:pStyle w:val="VCAAtablecondensed"/>
            </w:pPr>
            <w:r>
              <w:t>2, 3</w:t>
            </w:r>
          </w:p>
        </w:tc>
      </w:tr>
    </w:tbl>
    <w:p w14:paraId="180728B4" w14:textId="77777777" w:rsidR="003056C2" w:rsidRPr="006929FF" w:rsidRDefault="003056C2" w:rsidP="003056C2">
      <w:pPr>
        <w:pStyle w:val="VCAAHeading3"/>
      </w:pPr>
      <w:r w:rsidRPr="006929FF">
        <w:t>Outcomes</w:t>
      </w:r>
    </w:p>
    <w:p w14:paraId="65B131B8" w14:textId="31117178" w:rsidR="003056C2" w:rsidRDefault="003056C2" w:rsidP="003056C2">
      <w:pPr>
        <w:pStyle w:val="VCAAbody"/>
        <w:spacing w:after="240"/>
      </w:pPr>
      <w:r w:rsidRPr="006929FF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056C2" w:rsidRPr="00FA2380" w14:paraId="3A08978D" w14:textId="77777777" w:rsidTr="00C15310">
        <w:tc>
          <w:tcPr>
            <w:tcW w:w="3209" w:type="dxa"/>
            <w:shd w:val="clear" w:color="auto" w:fill="0F7EB4"/>
          </w:tcPr>
          <w:p w14:paraId="51E19C0C" w14:textId="77777777" w:rsidR="003056C2" w:rsidRPr="00FA2380" w:rsidRDefault="003056C2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572C477C" w14:textId="77777777" w:rsidR="003056C2" w:rsidRPr="00FA2380" w:rsidRDefault="003056C2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knowledge dot point</w:t>
            </w:r>
          </w:p>
        </w:tc>
        <w:tc>
          <w:tcPr>
            <w:tcW w:w="3210" w:type="dxa"/>
            <w:shd w:val="clear" w:color="auto" w:fill="0F7EB4"/>
          </w:tcPr>
          <w:p w14:paraId="58BF32B1" w14:textId="77777777" w:rsidR="003056C2" w:rsidRPr="00FA2380" w:rsidRDefault="003056C2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skill dot point</w:t>
            </w:r>
          </w:p>
        </w:tc>
      </w:tr>
      <w:tr w:rsidR="003056C2" w14:paraId="49D82923" w14:textId="77777777" w:rsidTr="00C15310">
        <w:tc>
          <w:tcPr>
            <w:tcW w:w="3209" w:type="dxa"/>
          </w:tcPr>
          <w:p w14:paraId="76AAE199" w14:textId="6E6553B5" w:rsidR="003056C2" w:rsidRDefault="003056C2" w:rsidP="003056C2">
            <w:pPr>
              <w:pStyle w:val="VCAAtablecondensed"/>
            </w:pPr>
            <w:r w:rsidRPr="00891533">
              <w:rPr>
                <w:b/>
              </w:rPr>
              <w:t>1</w:t>
            </w:r>
          </w:p>
        </w:tc>
        <w:tc>
          <w:tcPr>
            <w:tcW w:w="3210" w:type="dxa"/>
          </w:tcPr>
          <w:p w14:paraId="149DA192" w14:textId="561FD794" w:rsidR="003056C2" w:rsidRDefault="003056C2" w:rsidP="003056C2">
            <w:pPr>
              <w:pStyle w:val="VCAAtablecondensed"/>
            </w:pPr>
            <w:r>
              <w:t>3</w:t>
            </w:r>
            <w:r w:rsidRPr="00891533">
              <w:t xml:space="preserve">, </w:t>
            </w:r>
            <w:r>
              <w:t>6</w:t>
            </w:r>
            <w:r w:rsidRPr="00891533">
              <w:t>, 7</w:t>
            </w:r>
            <w:r>
              <w:t>,8</w:t>
            </w:r>
          </w:p>
        </w:tc>
        <w:tc>
          <w:tcPr>
            <w:tcW w:w="3210" w:type="dxa"/>
          </w:tcPr>
          <w:p w14:paraId="7E4C2298" w14:textId="37E3D4F7" w:rsidR="003056C2" w:rsidRDefault="003056C2" w:rsidP="003056C2">
            <w:pPr>
              <w:pStyle w:val="VCAAtablecondensed"/>
            </w:pPr>
            <w:r>
              <w:t>2</w:t>
            </w:r>
            <w:r w:rsidRPr="00891533">
              <w:t xml:space="preserve">, </w:t>
            </w:r>
            <w:r>
              <w:t>6, 7</w:t>
            </w:r>
          </w:p>
        </w:tc>
      </w:tr>
      <w:tr w:rsidR="003056C2" w14:paraId="14095349" w14:textId="77777777" w:rsidTr="00C15310">
        <w:tc>
          <w:tcPr>
            <w:tcW w:w="3209" w:type="dxa"/>
          </w:tcPr>
          <w:p w14:paraId="04AF10BD" w14:textId="30A9B33A" w:rsidR="003056C2" w:rsidRDefault="003056C2" w:rsidP="003056C2">
            <w:pPr>
              <w:pStyle w:val="VCAAtablecondensed"/>
            </w:pPr>
            <w:r w:rsidRPr="00891533">
              <w:rPr>
                <w:b/>
              </w:rPr>
              <w:t>2</w:t>
            </w:r>
          </w:p>
        </w:tc>
        <w:tc>
          <w:tcPr>
            <w:tcW w:w="3210" w:type="dxa"/>
          </w:tcPr>
          <w:p w14:paraId="4B21E126" w14:textId="2E56BB2A" w:rsidR="003056C2" w:rsidRDefault="003056C2" w:rsidP="003056C2">
            <w:pPr>
              <w:pStyle w:val="VCAAtablecondensed"/>
            </w:pPr>
            <w:r w:rsidRPr="00891533">
              <w:t>1, 2, 3, 4</w:t>
            </w:r>
            <w:r>
              <w:t>, 5</w:t>
            </w:r>
          </w:p>
        </w:tc>
        <w:tc>
          <w:tcPr>
            <w:tcW w:w="3210" w:type="dxa"/>
          </w:tcPr>
          <w:p w14:paraId="6DC75B60" w14:textId="3696E12C" w:rsidR="003056C2" w:rsidRDefault="003056C2" w:rsidP="003056C2">
            <w:pPr>
              <w:pStyle w:val="VCAAtablecondensed"/>
            </w:pPr>
            <w:r w:rsidRPr="00891533">
              <w:t xml:space="preserve">1, 2, </w:t>
            </w:r>
            <w:r>
              <w:t>3</w:t>
            </w:r>
            <w:r w:rsidRPr="00891533">
              <w:t>, 5,</w:t>
            </w:r>
            <w:r>
              <w:t xml:space="preserve"> 6</w:t>
            </w:r>
          </w:p>
        </w:tc>
      </w:tr>
      <w:tr w:rsidR="003056C2" w14:paraId="5136B85F" w14:textId="77777777" w:rsidTr="00C15310">
        <w:tc>
          <w:tcPr>
            <w:tcW w:w="3209" w:type="dxa"/>
          </w:tcPr>
          <w:p w14:paraId="44CCD017" w14:textId="482EFEE0" w:rsidR="003056C2" w:rsidRDefault="003056C2" w:rsidP="003056C2">
            <w:pPr>
              <w:pStyle w:val="VCAAtablecondensed"/>
            </w:pPr>
            <w:r w:rsidRPr="00891533">
              <w:rPr>
                <w:b/>
              </w:rPr>
              <w:t>3</w:t>
            </w:r>
          </w:p>
        </w:tc>
        <w:tc>
          <w:tcPr>
            <w:tcW w:w="3210" w:type="dxa"/>
          </w:tcPr>
          <w:p w14:paraId="0057E185" w14:textId="3F229DF2" w:rsidR="003056C2" w:rsidRDefault="003056C2" w:rsidP="003056C2">
            <w:pPr>
              <w:pStyle w:val="VCAAtablecondensed"/>
            </w:pPr>
            <w:r w:rsidRPr="00891533">
              <w:t xml:space="preserve">1, 2, 3, </w:t>
            </w:r>
            <w:r>
              <w:t>5</w:t>
            </w:r>
            <w:r w:rsidRPr="00891533">
              <w:t>, 6</w:t>
            </w:r>
            <w:r>
              <w:t>, 7</w:t>
            </w:r>
          </w:p>
        </w:tc>
        <w:tc>
          <w:tcPr>
            <w:tcW w:w="3210" w:type="dxa"/>
          </w:tcPr>
          <w:p w14:paraId="467352A7" w14:textId="09C187A6" w:rsidR="003056C2" w:rsidRDefault="003056C2" w:rsidP="003056C2">
            <w:pPr>
              <w:pStyle w:val="VCAAtablecondensed"/>
            </w:pPr>
            <w:r w:rsidRPr="00891533">
              <w:t xml:space="preserve">1, 2, </w:t>
            </w:r>
            <w:r>
              <w:t xml:space="preserve">3, </w:t>
            </w:r>
            <w:r w:rsidRPr="00891533">
              <w:t>4, 5, 6, 8, 9, 10, 11</w:t>
            </w:r>
          </w:p>
        </w:tc>
      </w:tr>
    </w:tbl>
    <w:p w14:paraId="053AC3E7" w14:textId="3A7A32B2" w:rsidR="003056C2" w:rsidRDefault="003056C2" w:rsidP="003056C2">
      <w:pPr>
        <w:pStyle w:val="VCAAbody"/>
      </w:pPr>
    </w:p>
    <w:sectPr w:rsidR="003056C2" w:rsidSect="00B230D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D4D802C" w:rsidR="00FD29D3" w:rsidRPr="00D86DE4" w:rsidRDefault="00065A6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04AB">
          <w:rPr>
            <w:color w:val="999999" w:themeColor="accent2"/>
          </w:rPr>
          <w:t>VCE Specialist Mathematics Units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B484B"/>
    <w:multiLevelType w:val="hybridMultilevel"/>
    <w:tmpl w:val="BD9CBCE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26D6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81CBE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F3BB6"/>
    <w:multiLevelType w:val="hybridMultilevel"/>
    <w:tmpl w:val="CA20C1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 w15:restartNumberingAfterBreak="0">
    <w:nsid w:val="637D0A80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7"/>
  </w:num>
  <w:num w:numId="5">
    <w:abstractNumId w:val="15"/>
  </w:num>
  <w:num w:numId="6">
    <w:abstractNumId w:val="24"/>
  </w:num>
  <w:num w:numId="7">
    <w:abstractNumId w:val="3"/>
  </w:num>
  <w:num w:numId="8">
    <w:abstractNumId w:val="21"/>
  </w:num>
  <w:num w:numId="9">
    <w:abstractNumId w:val="0"/>
  </w:num>
  <w:num w:numId="10">
    <w:abstractNumId w:val="23"/>
  </w:num>
  <w:num w:numId="11">
    <w:abstractNumId w:val="20"/>
  </w:num>
  <w:num w:numId="12">
    <w:abstractNumId w:val="1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8"/>
  </w:num>
  <w:num w:numId="16">
    <w:abstractNumId w:val="6"/>
  </w:num>
  <w:num w:numId="17">
    <w:abstractNumId w:val="22"/>
  </w:num>
  <w:num w:numId="18">
    <w:abstractNumId w:val="10"/>
  </w:num>
  <w:num w:numId="19">
    <w:abstractNumId w:val="12"/>
  </w:num>
  <w:num w:numId="20">
    <w:abstractNumId w:val="17"/>
  </w:num>
  <w:num w:numId="21">
    <w:abstractNumId w:val="9"/>
  </w:num>
  <w:num w:numId="22">
    <w:abstractNumId w:val="19"/>
  </w:num>
  <w:num w:numId="23">
    <w:abstractNumId w:val="5"/>
  </w:num>
  <w:num w:numId="24">
    <w:abstractNumId w:val="4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A6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9692C"/>
    <w:rsid w:val="002C6F90"/>
    <w:rsid w:val="002E4FB5"/>
    <w:rsid w:val="00302FB8"/>
    <w:rsid w:val="00304EA1"/>
    <w:rsid w:val="003056C2"/>
    <w:rsid w:val="00314D81"/>
    <w:rsid w:val="00322FC6"/>
    <w:rsid w:val="0035293F"/>
    <w:rsid w:val="00391986"/>
    <w:rsid w:val="003A00B4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4F65FF"/>
    <w:rsid w:val="0051631E"/>
    <w:rsid w:val="00524BAE"/>
    <w:rsid w:val="00537A1F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8471E"/>
    <w:rsid w:val="00684F98"/>
    <w:rsid w:val="00685818"/>
    <w:rsid w:val="00693FFD"/>
    <w:rsid w:val="006D2159"/>
    <w:rsid w:val="006F787C"/>
    <w:rsid w:val="00702636"/>
    <w:rsid w:val="00724507"/>
    <w:rsid w:val="00773E6C"/>
    <w:rsid w:val="00781FB1"/>
    <w:rsid w:val="007C4ED7"/>
    <w:rsid w:val="007D1B6D"/>
    <w:rsid w:val="007E7F95"/>
    <w:rsid w:val="00813C37"/>
    <w:rsid w:val="008154B5"/>
    <w:rsid w:val="00823962"/>
    <w:rsid w:val="00850410"/>
    <w:rsid w:val="00852719"/>
    <w:rsid w:val="00860115"/>
    <w:rsid w:val="0088783C"/>
    <w:rsid w:val="008E0B42"/>
    <w:rsid w:val="009370BC"/>
    <w:rsid w:val="00970580"/>
    <w:rsid w:val="00984E15"/>
    <w:rsid w:val="0098739B"/>
    <w:rsid w:val="009A0DA4"/>
    <w:rsid w:val="009B61E5"/>
    <w:rsid w:val="009D1E89"/>
    <w:rsid w:val="009E5707"/>
    <w:rsid w:val="00A17661"/>
    <w:rsid w:val="00A24B2D"/>
    <w:rsid w:val="00A40966"/>
    <w:rsid w:val="00A921E0"/>
    <w:rsid w:val="00A922F4"/>
    <w:rsid w:val="00AD63F0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C0A52"/>
    <w:rsid w:val="00BD0724"/>
    <w:rsid w:val="00BD2B91"/>
    <w:rsid w:val="00BE5521"/>
    <w:rsid w:val="00BF6C23"/>
    <w:rsid w:val="00C53263"/>
    <w:rsid w:val="00C75F1D"/>
    <w:rsid w:val="00C83FD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A196E"/>
    <w:rsid w:val="00EB0C84"/>
    <w:rsid w:val="00F17FDE"/>
    <w:rsid w:val="00F40D53"/>
    <w:rsid w:val="00F4525C"/>
    <w:rsid w:val="00F50D86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customStyle="1" w:styleId="MTDisplayEquation">
    <w:name w:val="MTDisplayEquation"/>
    <w:basedOn w:val="VCAAbody"/>
    <w:next w:val="Normal"/>
    <w:link w:val="MTDisplayEquationChar"/>
    <w:rsid w:val="003056C2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3056C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pdfs.semanticscholar.org/d922/fb2da58ac700d743cd383bc2b3bbf96a5664.pdf" TargetMode="Externa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l.nist.gov/div898/handbook/pmd/section6/pmd64.htm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9325D2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51902-221A-47D7-9674-CA2ECD48518B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Units 3 and 4</vt:lpstr>
    </vt:vector>
  </TitlesOfParts>
  <Company>Victorian Curriculum and Assessment Authority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Units 3 and 4</dc:title>
  <dc:subject>VCE Specialist Mathematics</dc:subject>
  <dc:creator>vcaa@education.vic.gov.au</dc:creator>
  <cp:keywords>mathematics, specialist, VCE, sample, application, task, graphs, rational functions, cubics, polynomial, numerators, denominators</cp:keywords>
  <cp:lastModifiedBy>Julie Coleman</cp:lastModifiedBy>
  <cp:revision>4</cp:revision>
  <cp:lastPrinted>2015-05-15T02:36:00Z</cp:lastPrinted>
  <dcterms:created xsi:type="dcterms:W3CDTF">2022-12-14T00:18:00Z</dcterms:created>
  <dcterms:modified xsi:type="dcterms:W3CDTF">2023-01-23T05:27:00Z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