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FE8AE0" w:rsidR="00F4525C" w:rsidRDefault="00C904AB" w:rsidP="009B61E5">
      <w:pPr>
        <w:pStyle w:val="VCAADocumenttitle"/>
      </w:pPr>
      <w:r>
        <w:t xml:space="preserve">VCE Specialist Mathematics </w:t>
      </w:r>
      <w:r>
        <w:br/>
        <w:t>Units 3 and 4</w:t>
      </w:r>
    </w:p>
    <w:p w14:paraId="74E62D52" w14:textId="642B1DE2" w:rsidR="00243F0D" w:rsidRPr="00823962" w:rsidRDefault="00DF1667" w:rsidP="00F266D7">
      <w:pPr>
        <w:pStyle w:val="VCAAHeading2"/>
        <w:ind w:right="-426"/>
      </w:pPr>
      <w:bookmarkStart w:id="0" w:name="TemplateOverview"/>
      <w:bookmarkEnd w:id="0"/>
      <w:r w:rsidRPr="00FC388E">
        <w:t xml:space="preserve">Sample </w:t>
      </w:r>
      <w:r w:rsidR="0061164E">
        <w:t>learning activity</w:t>
      </w:r>
      <w:r w:rsidRPr="00FC388E">
        <w:t xml:space="preserve"> – </w:t>
      </w:r>
      <w:r w:rsidR="000F712E">
        <w:t>Q</w:t>
      </w:r>
      <w:r w:rsidR="000F712E" w:rsidRPr="00015FE6">
        <w:t>uadratic reciprocal and rational functions</w:t>
      </w:r>
    </w:p>
    <w:p w14:paraId="1E28793C" w14:textId="77777777" w:rsidR="00A108B6" w:rsidRPr="005A4849" w:rsidRDefault="00A108B6" w:rsidP="00A108B6">
      <w:pPr>
        <w:pStyle w:val="VCAAHeading3"/>
      </w:pPr>
      <w:r w:rsidRPr="006929FF">
        <w:t>Introduction</w:t>
      </w:r>
    </w:p>
    <w:p w14:paraId="4483EA14" w14:textId="77777777" w:rsidR="00C71CEE" w:rsidRDefault="00C71CEE" w:rsidP="00C71CEE">
      <w:pPr>
        <w:pStyle w:val="VCAAbody"/>
      </w:pPr>
      <w:r w:rsidRPr="005B5F5B">
        <w:t xml:space="preserve">This learning activity provides the opportunity to explore key features of graphs of quadratic reciprocal and rational functions, that is functions with rules of the form </w:t>
      </w:r>
    </w:p>
    <w:p w14:paraId="13B7D08B" w14:textId="77777777" w:rsidR="00C71CEE" w:rsidRDefault="00C71CEE" w:rsidP="00C71CEE">
      <w:pPr>
        <w:spacing w:line="360" w:lineRule="auto"/>
        <w:rPr>
          <w:rFonts w:cs="Arial"/>
        </w:rPr>
      </w:pPr>
      <w:r w:rsidRPr="005B5F5B">
        <w:rPr>
          <w:rFonts w:cs="Arial"/>
          <w:noProof/>
          <w:position w:val="-24"/>
        </w:rPr>
        <w:object w:dxaOrig="1920" w:dyaOrig="620" w14:anchorId="59699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1.5pt" o:ole="">
            <v:imagedata r:id="rId11" o:title=""/>
          </v:shape>
          <o:OLEObject Type="Embed" ProgID="Equation.3" ShapeID="_x0000_i1025" DrawAspect="Content" ObjectID="_1736164484" r:id="rId12"/>
        </w:object>
      </w:r>
      <w:r w:rsidRPr="005B5F5B">
        <w:rPr>
          <w:rFonts w:cs="Arial"/>
        </w:rPr>
        <w:t xml:space="preserve"> </w:t>
      </w:r>
      <w:r w:rsidRPr="00015FE6">
        <w:rPr>
          <w:rFonts w:cs="Arial"/>
        </w:rPr>
        <w:t>and</w:t>
      </w:r>
      <w:r w:rsidRPr="005B5F5B">
        <w:rPr>
          <w:rFonts w:cs="Arial"/>
        </w:rPr>
        <w:t xml:space="preserve"> </w:t>
      </w:r>
      <w:r w:rsidRPr="005B5F5B">
        <w:rPr>
          <w:rFonts w:cs="Arial"/>
          <w:noProof/>
          <w:position w:val="-28"/>
        </w:rPr>
        <w:object w:dxaOrig="1960" w:dyaOrig="700" w14:anchorId="423732C5">
          <v:shape id="_x0000_i1026" type="#_x0000_t75" style="width:99pt;height:36pt" o:ole="">
            <v:imagedata r:id="rId13" o:title=""/>
          </v:shape>
          <o:OLEObject Type="Embed" ProgID="Equation.3" ShapeID="_x0000_i1026" DrawAspect="Content" ObjectID="_1736164485" r:id="rId14"/>
        </w:object>
      </w:r>
      <w:r w:rsidRPr="005B5F5B">
        <w:rPr>
          <w:rFonts w:cs="Arial"/>
        </w:rPr>
        <w:t xml:space="preserve"> </w:t>
      </w:r>
      <w:r w:rsidRPr="00C71CEE">
        <w:rPr>
          <w:rFonts w:cs="Arial"/>
          <w:sz w:val="20"/>
          <w:szCs w:val="20"/>
        </w:rPr>
        <w:t>respectively</w:t>
      </w:r>
      <w:r w:rsidRPr="00015FE6">
        <w:rPr>
          <w:rFonts w:cs="Arial"/>
        </w:rPr>
        <w:t>.</w:t>
      </w:r>
    </w:p>
    <w:p w14:paraId="0DC81EB8" w14:textId="77777777" w:rsidR="00C71CEE" w:rsidRPr="005B5F5B" w:rsidRDefault="00C71CEE" w:rsidP="00C71CEE">
      <w:pPr>
        <w:pStyle w:val="VCAAbody"/>
      </w:pPr>
      <w:r>
        <w:t>Simple cases can be sketched by hand, with more general investigation assisted by technology.</w:t>
      </w:r>
    </w:p>
    <w:p w14:paraId="514F317D" w14:textId="77777777" w:rsidR="00C71CEE" w:rsidRPr="00015FE6" w:rsidRDefault="00C71CEE" w:rsidP="00C71CEE">
      <w:pPr>
        <w:pStyle w:val="VCAAHeading4"/>
      </w:pPr>
      <w:r w:rsidRPr="005B5F5B">
        <w:t>Part 1</w:t>
      </w:r>
    </w:p>
    <w:p w14:paraId="662A6E89" w14:textId="77777777" w:rsidR="00C71CEE" w:rsidRPr="005B5F5B" w:rsidRDefault="00C71CEE" w:rsidP="00C71CEE">
      <w:pPr>
        <w:pStyle w:val="VCAAbody"/>
      </w:pPr>
      <w:r w:rsidRPr="005B5F5B">
        <w:t xml:space="preserve">Consider the function with rule </w:t>
      </w:r>
      <w:r w:rsidRPr="005B5F5B">
        <w:rPr>
          <w:noProof/>
          <w:position w:val="-22"/>
        </w:rPr>
        <w:object w:dxaOrig="1620" w:dyaOrig="560" w14:anchorId="5AA375C6">
          <v:shape id="_x0000_i1027" type="#_x0000_t75" style="width:81pt;height:28.5pt" o:ole="">
            <v:imagedata r:id="rId15" o:title=""/>
          </v:shape>
          <o:OLEObject Type="Embed" ProgID="Equation.DSMT4" ShapeID="_x0000_i1027" DrawAspect="Content" ObjectID="_1736164486" r:id="rId16"/>
        </w:object>
      </w:r>
      <w:r w:rsidRPr="005B5F5B">
        <w:t xml:space="preserve"> where</w:t>
      </w:r>
      <w:r w:rsidRPr="005B5F5B">
        <w:rPr>
          <w:noProof/>
          <w:position w:val="-6"/>
        </w:rPr>
        <w:object w:dxaOrig="560" w:dyaOrig="279" w14:anchorId="4BEA0E56">
          <v:shape id="_x0000_i1028" type="#_x0000_t75" style="width:28.5pt;height:13.5pt" o:ole="">
            <v:imagedata r:id="rId17" o:title=""/>
          </v:shape>
          <o:OLEObject Type="Embed" ProgID="Equation.3" ShapeID="_x0000_i1028" DrawAspect="Content" ObjectID="_1736164487" r:id="rId18"/>
        </w:object>
      </w:r>
      <w:r>
        <w:t>.</w:t>
      </w:r>
    </w:p>
    <w:p w14:paraId="04DF6DB7" w14:textId="77777777" w:rsidR="00C71CEE" w:rsidRDefault="00C71CEE" w:rsidP="00C71CEE">
      <w:pPr>
        <w:pStyle w:val="VCAAnumbers"/>
        <w:numPr>
          <w:ilvl w:val="0"/>
          <w:numId w:val="39"/>
        </w:numPr>
        <w:spacing w:before="240"/>
        <w:ind w:left="426" w:hanging="426"/>
      </w:pPr>
      <w:r>
        <w:t xml:space="preserve">Find the derivative of the function and investigate the location and nature of any stationary points for different combinations of values of the coefficients. </w:t>
      </w:r>
    </w:p>
    <w:p w14:paraId="0A80C732" w14:textId="77777777" w:rsidR="00C71CEE" w:rsidRDefault="00C71CEE" w:rsidP="00C71CEE">
      <w:pPr>
        <w:pStyle w:val="VCAAnumbers"/>
        <w:numPr>
          <w:ilvl w:val="0"/>
          <w:numId w:val="39"/>
        </w:numPr>
        <w:ind w:left="426" w:hanging="426"/>
      </w:pPr>
      <w:r>
        <w:t xml:space="preserve">Plot the corresponding graphs, and state the equations of any asymptotes and the maximal domain and range. </w:t>
      </w:r>
    </w:p>
    <w:p w14:paraId="0966881C" w14:textId="77777777" w:rsidR="00C71CEE" w:rsidRDefault="00C71CEE" w:rsidP="00C71CEE">
      <w:pPr>
        <w:pStyle w:val="VCAAnumbers"/>
        <w:numPr>
          <w:ilvl w:val="0"/>
          <w:numId w:val="39"/>
        </w:numPr>
        <w:ind w:left="426" w:hanging="426"/>
      </w:pPr>
      <w:r>
        <w:t>Classify the forms of the graphs in terms of the discriminant of the quadratic function.</w:t>
      </w:r>
    </w:p>
    <w:p w14:paraId="3D803D77" w14:textId="77777777" w:rsidR="00C71CEE" w:rsidRPr="00015FE6" w:rsidRDefault="00C71CEE" w:rsidP="00C71CEE">
      <w:pPr>
        <w:pStyle w:val="VCAAHeading4"/>
      </w:pPr>
      <w:r>
        <w:t>Part 2</w:t>
      </w:r>
    </w:p>
    <w:p w14:paraId="7BC2C6E8" w14:textId="6D645F55" w:rsidR="00C71CEE" w:rsidRPr="005B5F5B" w:rsidRDefault="00C71CEE" w:rsidP="00C71CEE">
      <w:pPr>
        <w:pStyle w:val="VCAAbody"/>
        <w:spacing w:before="0" w:line="360" w:lineRule="auto"/>
      </w:pPr>
      <w:r w:rsidRPr="005B5F5B">
        <w:t xml:space="preserve">Consider the function with rule </w:t>
      </w:r>
      <w:r w:rsidRPr="005B5F5B">
        <w:rPr>
          <w:noProof/>
          <w:position w:val="-28"/>
        </w:rPr>
        <w:object w:dxaOrig="1960" w:dyaOrig="700" w14:anchorId="6D34D82D">
          <v:shape id="_x0000_i1029" type="#_x0000_t75" style="width:99pt;height:36pt" o:ole="">
            <v:imagedata r:id="rId13" o:title=""/>
          </v:shape>
          <o:OLEObject Type="Embed" ProgID="Equation.3" ShapeID="_x0000_i1029" DrawAspect="Content" ObjectID="_1736164488" r:id="rId19"/>
        </w:object>
      </w:r>
      <w:r w:rsidRPr="005B5F5B">
        <w:t xml:space="preserve"> where</w:t>
      </w:r>
      <w:r>
        <w:t xml:space="preserve"> </w:t>
      </w:r>
      <w:r w:rsidRPr="00F1062B">
        <w:rPr>
          <w:noProof/>
          <w:position w:val="-10"/>
        </w:rPr>
        <w:object w:dxaOrig="1180" w:dyaOrig="320" w14:anchorId="1F561582">
          <v:shape id="_x0000_i1030" type="#_x0000_t75" style="width:58.5pt;height:16.5pt" o:ole="">
            <v:imagedata r:id="rId20" o:title=""/>
          </v:shape>
          <o:OLEObject Type="Embed" ProgID="Equation.3" ShapeID="_x0000_i1030" DrawAspect="Content" ObjectID="_1736164489" r:id="rId21"/>
        </w:object>
      </w:r>
      <w:r>
        <w:t>.</w:t>
      </w:r>
    </w:p>
    <w:p w14:paraId="7A55B9D3" w14:textId="77777777" w:rsidR="00C71CEE" w:rsidRPr="00F1062B" w:rsidRDefault="00C71CEE" w:rsidP="00C71CEE">
      <w:pPr>
        <w:pStyle w:val="VCAAbody"/>
        <w:spacing w:before="0"/>
      </w:pPr>
      <w:r>
        <w:t>Carry out similar analysis for this type of function, including consideration of horizontal axis intercepts and points of inflection.</w:t>
      </w:r>
    </w:p>
    <w:p w14:paraId="4AFE95A7" w14:textId="77777777" w:rsidR="00C71CEE" w:rsidRPr="006929FF" w:rsidRDefault="00C71CEE" w:rsidP="00C71CEE">
      <w:pPr>
        <w:pStyle w:val="VCAAHeading3"/>
      </w:pPr>
      <w:r w:rsidRPr="006929FF">
        <w:t>Areas of study</w:t>
      </w:r>
    </w:p>
    <w:p w14:paraId="23C01630" w14:textId="3EAA3EF5" w:rsidR="00C71CEE" w:rsidRDefault="00C71CEE" w:rsidP="00C71CEE">
      <w:pPr>
        <w:pStyle w:val="VCAAbody"/>
        <w:spacing w:after="240"/>
      </w:pPr>
      <w:r w:rsidRPr="006929FF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C71CEE" w:rsidRPr="00FA2380" w14:paraId="5E0CC9CC" w14:textId="77777777" w:rsidTr="00554789">
        <w:tc>
          <w:tcPr>
            <w:tcW w:w="2263" w:type="dxa"/>
            <w:shd w:val="clear" w:color="auto" w:fill="0F7EB4"/>
          </w:tcPr>
          <w:p w14:paraId="1CF7B886" w14:textId="77777777" w:rsidR="00C71CEE" w:rsidRPr="00667017" w:rsidRDefault="00C71CEE" w:rsidP="00554789">
            <w:pPr>
              <w:pStyle w:val="VCAAtablecondensedheading"/>
              <w:rPr>
                <w:b/>
                <w:bCs/>
              </w:rPr>
            </w:pPr>
            <w:r w:rsidRPr="00667017">
              <w:rPr>
                <w:b/>
                <w:bCs/>
              </w:rPr>
              <w:t>Area of study</w:t>
            </w:r>
          </w:p>
        </w:tc>
        <w:tc>
          <w:tcPr>
            <w:tcW w:w="3686" w:type="dxa"/>
            <w:shd w:val="clear" w:color="auto" w:fill="0F7EB4"/>
          </w:tcPr>
          <w:p w14:paraId="666EA33A" w14:textId="306DBA28" w:rsidR="00C71CEE" w:rsidRPr="00667017" w:rsidRDefault="00C71CEE" w:rsidP="00554789">
            <w:pPr>
              <w:pStyle w:val="VCAAtablecondensedheading"/>
              <w:rPr>
                <w:b/>
                <w:bCs/>
              </w:rPr>
            </w:pPr>
            <w:r w:rsidRPr="00667017">
              <w:rPr>
                <w:b/>
                <w:bCs/>
              </w:rPr>
              <w:t>Topic</w:t>
            </w:r>
            <w:r>
              <w:rPr>
                <w:b/>
                <w:bCs/>
              </w:rPr>
              <w:t>s</w:t>
            </w:r>
          </w:p>
        </w:tc>
        <w:tc>
          <w:tcPr>
            <w:tcW w:w="3118" w:type="dxa"/>
            <w:shd w:val="clear" w:color="auto" w:fill="0F7EB4"/>
          </w:tcPr>
          <w:p w14:paraId="3D78CAE7" w14:textId="77777777" w:rsidR="00C71CEE" w:rsidRPr="00667017" w:rsidRDefault="00C71CEE" w:rsidP="00554789">
            <w:pPr>
              <w:pStyle w:val="VCAAtablecondensedheading"/>
              <w:rPr>
                <w:b/>
                <w:bCs/>
              </w:rPr>
            </w:pPr>
            <w:r w:rsidRPr="00667017">
              <w:rPr>
                <w:b/>
                <w:bCs/>
              </w:rPr>
              <w:t>Content dot point</w:t>
            </w:r>
          </w:p>
        </w:tc>
      </w:tr>
      <w:tr w:rsidR="00C71CEE" w14:paraId="59DBF27C" w14:textId="77777777" w:rsidTr="00CE0AB7">
        <w:tc>
          <w:tcPr>
            <w:tcW w:w="2263" w:type="dxa"/>
          </w:tcPr>
          <w:p w14:paraId="2BA674B2" w14:textId="37D73A5F" w:rsidR="00C71CEE" w:rsidRDefault="00C71CEE" w:rsidP="00C71CEE">
            <w:pPr>
              <w:pStyle w:val="VCAAtablecondensed"/>
            </w:pPr>
            <w:r w:rsidRPr="00891533">
              <w:t>Functions</w:t>
            </w:r>
            <w:r>
              <w:t>, relations</w:t>
            </w:r>
            <w:r w:rsidRPr="00891533">
              <w:t xml:space="preserve"> and graphs</w:t>
            </w:r>
          </w:p>
        </w:tc>
        <w:tc>
          <w:tcPr>
            <w:tcW w:w="3686" w:type="dxa"/>
          </w:tcPr>
          <w:p w14:paraId="2BD7A57C" w14:textId="7B436A8A" w:rsidR="00C71CEE" w:rsidRDefault="00C71CEE" w:rsidP="00C71CEE">
            <w:pPr>
              <w:pStyle w:val="VCAAtablecondensed"/>
            </w:pPr>
            <w:r w:rsidRPr="00891533">
              <w:t>Functions</w:t>
            </w:r>
            <w:r>
              <w:t>, relations</w:t>
            </w:r>
            <w:r w:rsidRPr="00891533">
              <w:t xml:space="preserve"> and graphs</w:t>
            </w:r>
          </w:p>
        </w:tc>
        <w:tc>
          <w:tcPr>
            <w:tcW w:w="3118" w:type="dxa"/>
          </w:tcPr>
          <w:p w14:paraId="0AF45134" w14:textId="17E475CE" w:rsidR="00C71CEE" w:rsidRDefault="00C71CEE" w:rsidP="00C71CEE">
            <w:pPr>
              <w:pStyle w:val="VCAAtablecondensed"/>
            </w:pPr>
            <w:r w:rsidRPr="00891533">
              <w:t>1</w:t>
            </w:r>
            <w:r>
              <w:t>, 2, 3</w:t>
            </w:r>
          </w:p>
        </w:tc>
      </w:tr>
      <w:tr w:rsidR="00C71CEE" w14:paraId="2E6DA9D0" w14:textId="77777777" w:rsidTr="00CE0AB7">
        <w:tc>
          <w:tcPr>
            <w:tcW w:w="2263" w:type="dxa"/>
          </w:tcPr>
          <w:p w14:paraId="5902347E" w14:textId="3288187C" w:rsidR="00C71CEE" w:rsidRPr="006B651C" w:rsidRDefault="00C71CEE" w:rsidP="00C71CEE">
            <w:pPr>
              <w:pStyle w:val="VCAAtablecondensed"/>
            </w:pPr>
            <w:r w:rsidRPr="00891533">
              <w:t>Calculus</w:t>
            </w:r>
          </w:p>
        </w:tc>
        <w:tc>
          <w:tcPr>
            <w:tcW w:w="3686" w:type="dxa"/>
          </w:tcPr>
          <w:p w14:paraId="44A4B724" w14:textId="2A200CD0" w:rsidR="00C71CEE" w:rsidRDefault="00C71CEE" w:rsidP="00C71CEE">
            <w:pPr>
              <w:pStyle w:val="VCAAtablecondensed"/>
            </w:pPr>
            <w:r>
              <w:t>Differential and integral calculus</w:t>
            </w:r>
          </w:p>
        </w:tc>
        <w:tc>
          <w:tcPr>
            <w:tcW w:w="3118" w:type="dxa"/>
          </w:tcPr>
          <w:p w14:paraId="7E12B318" w14:textId="2A985125" w:rsidR="00C71CEE" w:rsidRPr="00315CEA" w:rsidRDefault="00C71CEE" w:rsidP="00C71CEE">
            <w:pPr>
              <w:pStyle w:val="VCAAtablecondensed"/>
            </w:pPr>
            <w:r>
              <w:t>2, 3</w:t>
            </w:r>
          </w:p>
        </w:tc>
      </w:tr>
    </w:tbl>
    <w:p w14:paraId="5E430514" w14:textId="77777777" w:rsidR="00C71CEE" w:rsidRPr="006929FF" w:rsidRDefault="00C71CEE" w:rsidP="00C71CEE">
      <w:pPr>
        <w:pStyle w:val="VCAAHeading3"/>
      </w:pPr>
      <w:r w:rsidRPr="006929FF">
        <w:lastRenderedPageBreak/>
        <w:t>Outcomes</w:t>
      </w:r>
    </w:p>
    <w:p w14:paraId="4C26C5AE" w14:textId="7C8B4F78" w:rsidR="00C71CEE" w:rsidRDefault="00C71CEE" w:rsidP="00C71CEE">
      <w:pPr>
        <w:pStyle w:val="VCAAbody"/>
      </w:pPr>
      <w:r w:rsidRPr="006929FF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C71CEE" w:rsidRPr="00FA2380" w14:paraId="2D1A6A3F" w14:textId="77777777" w:rsidTr="00554789">
        <w:tc>
          <w:tcPr>
            <w:tcW w:w="2263" w:type="dxa"/>
            <w:shd w:val="clear" w:color="auto" w:fill="0F7EB4"/>
          </w:tcPr>
          <w:p w14:paraId="64F10453" w14:textId="77777777" w:rsidR="00C71CEE" w:rsidRPr="00FA2380" w:rsidRDefault="00C71CEE" w:rsidP="00554789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686" w:type="dxa"/>
            <w:shd w:val="clear" w:color="auto" w:fill="0F7EB4"/>
          </w:tcPr>
          <w:p w14:paraId="0D3FE0FC" w14:textId="77777777" w:rsidR="00C71CEE" w:rsidRPr="00FA2380" w:rsidRDefault="00C71CEE" w:rsidP="00554789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118" w:type="dxa"/>
            <w:shd w:val="clear" w:color="auto" w:fill="0F7EB4"/>
          </w:tcPr>
          <w:p w14:paraId="66A6EE8C" w14:textId="77777777" w:rsidR="00C71CEE" w:rsidRPr="00FA2380" w:rsidRDefault="00C71CEE" w:rsidP="00554789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C71CEE" w14:paraId="653B7E2E" w14:textId="77777777" w:rsidTr="00554789">
        <w:tc>
          <w:tcPr>
            <w:tcW w:w="2263" w:type="dxa"/>
          </w:tcPr>
          <w:p w14:paraId="696AB040" w14:textId="3377DAAD" w:rsidR="00C71CEE" w:rsidRDefault="00C71CEE" w:rsidP="00C71CEE">
            <w:pPr>
              <w:pStyle w:val="VCAAtablecondensed"/>
            </w:pPr>
            <w:r w:rsidRPr="00891533">
              <w:rPr>
                <w:b/>
              </w:rPr>
              <w:t>1</w:t>
            </w:r>
          </w:p>
        </w:tc>
        <w:tc>
          <w:tcPr>
            <w:tcW w:w="3686" w:type="dxa"/>
          </w:tcPr>
          <w:p w14:paraId="3CF87E63" w14:textId="410713A4" w:rsidR="00C71CEE" w:rsidRDefault="00C71CEE" w:rsidP="00C71CEE">
            <w:pPr>
              <w:pStyle w:val="VCAAtablecondensed"/>
            </w:pPr>
            <w:r>
              <w:t>3</w:t>
            </w:r>
            <w:r w:rsidRPr="00891533">
              <w:t xml:space="preserve">, </w:t>
            </w:r>
            <w:r>
              <w:t>6</w:t>
            </w:r>
            <w:r w:rsidRPr="00891533">
              <w:t>, 7</w:t>
            </w:r>
            <w:r>
              <w:t>, 8</w:t>
            </w:r>
          </w:p>
        </w:tc>
        <w:tc>
          <w:tcPr>
            <w:tcW w:w="3118" w:type="dxa"/>
          </w:tcPr>
          <w:p w14:paraId="24156E77" w14:textId="79E5C523" w:rsidR="00C71CEE" w:rsidRDefault="00C71CEE" w:rsidP="00C71CEE">
            <w:pPr>
              <w:pStyle w:val="VCAAtablecondensed"/>
            </w:pPr>
            <w:r>
              <w:t>2</w:t>
            </w:r>
            <w:r w:rsidRPr="00891533">
              <w:t xml:space="preserve">, </w:t>
            </w:r>
            <w:r>
              <w:t>6, 7</w:t>
            </w:r>
          </w:p>
        </w:tc>
      </w:tr>
      <w:tr w:rsidR="00C71CEE" w14:paraId="309BAFE3" w14:textId="77777777" w:rsidTr="00554789">
        <w:tc>
          <w:tcPr>
            <w:tcW w:w="2263" w:type="dxa"/>
          </w:tcPr>
          <w:p w14:paraId="36649855" w14:textId="75CC7F7F" w:rsidR="00C71CEE" w:rsidRDefault="00C71CEE" w:rsidP="00C71CEE">
            <w:pPr>
              <w:pStyle w:val="VCAAtablecondensed"/>
            </w:pPr>
            <w:r w:rsidRPr="00891533">
              <w:rPr>
                <w:b/>
              </w:rPr>
              <w:t>2</w:t>
            </w:r>
          </w:p>
        </w:tc>
        <w:tc>
          <w:tcPr>
            <w:tcW w:w="3686" w:type="dxa"/>
          </w:tcPr>
          <w:p w14:paraId="4C34C4C1" w14:textId="6D680F8F" w:rsidR="00C71CEE" w:rsidRDefault="00C71CEE" w:rsidP="00C71CEE">
            <w:pPr>
              <w:pStyle w:val="VCAAtablecondensed"/>
            </w:pPr>
            <w:r w:rsidRPr="00891533">
              <w:t>1, 2, 3, 4</w:t>
            </w:r>
            <w:r>
              <w:t>, 5</w:t>
            </w:r>
          </w:p>
        </w:tc>
        <w:tc>
          <w:tcPr>
            <w:tcW w:w="3118" w:type="dxa"/>
          </w:tcPr>
          <w:p w14:paraId="1F6CEBB8" w14:textId="7C761515" w:rsidR="00C71CEE" w:rsidRDefault="00C71CEE" w:rsidP="00C71CEE">
            <w:pPr>
              <w:pStyle w:val="VCAAtablecondensed"/>
            </w:pPr>
            <w:r w:rsidRPr="00891533">
              <w:t xml:space="preserve">1, 2, </w:t>
            </w:r>
            <w:r>
              <w:t>3</w:t>
            </w:r>
            <w:r w:rsidRPr="00891533">
              <w:t>, 5,</w:t>
            </w:r>
            <w:r>
              <w:t xml:space="preserve"> 6</w:t>
            </w:r>
          </w:p>
        </w:tc>
      </w:tr>
      <w:tr w:rsidR="00C71CEE" w14:paraId="18C0E3AD" w14:textId="77777777" w:rsidTr="00554789">
        <w:tc>
          <w:tcPr>
            <w:tcW w:w="2263" w:type="dxa"/>
          </w:tcPr>
          <w:p w14:paraId="5FB75A39" w14:textId="6718C730" w:rsidR="00C71CEE" w:rsidRDefault="00C71CEE" w:rsidP="00C71CEE">
            <w:pPr>
              <w:pStyle w:val="VCAAtablecondensed"/>
            </w:pPr>
            <w:r w:rsidRPr="00891533">
              <w:rPr>
                <w:b/>
              </w:rPr>
              <w:t>3</w:t>
            </w:r>
          </w:p>
        </w:tc>
        <w:tc>
          <w:tcPr>
            <w:tcW w:w="3686" w:type="dxa"/>
          </w:tcPr>
          <w:p w14:paraId="180D36D8" w14:textId="27400FD4" w:rsidR="00C71CEE" w:rsidRDefault="00C71CEE" w:rsidP="00C71CEE">
            <w:pPr>
              <w:pStyle w:val="VCAAtablecondensed"/>
            </w:pPr>
            <w:r w:rsidRPr="00891533">
              <w:t xml:space="preserve">1, 2, 3, </w:t>
            </w:r>
            <w:r>
              <w:t>5</w:t>
            </w:r>
            <w:r w:rsidRPr="00891533">
              <w:t>, 6</w:t>
            </w:r>
            <w:r>
              <w:t>, 7</w:t>
            </w:r>
          </w:p>
        </w:tc>
        <w:tc>
          <w:tcPr>
            <w:tcW w:w="3118" w:type="dxa"/>
          </w:tcPr>
          <w:p w14:paraId="4DFDB2CB" w14:textId="66193D08" w:rsidR="00C71CEE" w:rsidRDefault="00C71CEE" w:rsidP="00C71CEE">
            <w:pPr>
              <w:pStyle w:val="VCAAtablecondensed"/>
            </w:pPr>
            <w:r w:rsidRPr="00891533">
              <w:t xml:space="preserve">1, 2, </w:t>
            </w:r>
            <w:r>
              <w:t xml:space="preserve">3, </w:t>
            </w:r>
            <w:r w:rsidRPr="00891533">
              <w:t>4, 5, 6, 8, 9, 10, 11</w:t>
            </w:r>
          </w:p>
        </w:tc>
      </w:tr>
    </w:tbl>
    <w:p w14:paraId="07749E9E" w14:textId="1FF5B5CB" w:rsidR="00C71CEE" w:rsidRDefault="00C71CEE" w:rsidP="00C71CEE">
      <w:pPr>
        <w:pStyle w:val="VCAAbody"/>
      </w:pPr>
    </w:p>
    <w:sectPr w:rsidR="00C71CEE" w:rsidSect="00B230DB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4D802C" w:rsidR="00FD29D3" w:rsidRPr="00D86DE4" w:rsidRDefault="00C71CE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AB">
          <w:rPr>
            <w:color w:val="999999" w:themeColor="accent2"/>
          </w:rPr>
          <w:t>VCE Specialist Mathematics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3F8"/>
    <w:multiLevelType w:val="hybridMultilevel"/>
    <w:tmpl w:val="6ECE5B9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B484B"/>
    <w:multiLevelType w:val="hybridMultilevel"/>
    <w:tmpl w:val="BD9CBC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602C"/>
    <w:multiLevelType w:val="hybridMultilevel"/>
    <w:tmpl w:val="D26CF8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404FC"/>
    <w:multiLevelType w:val="hybridMultilevel"/>
    <w:tmpl w:val="CCA670D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9E0350"/>
    <w:multiLevelType w:val="hybridMultilevel"/>
    <w:tmpl w:val="40542A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B9724A"/>
    <w:multiLevelType w:val="hybridMultilevel"/>
    <w:tmpl w:val="B25C1412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D12182"/>
    <w:multiLevelType w:val="hybridMultilevel"/>
    <w:tmpl w:val="0CF43970"/>
    <w:lvl w:ilvl="0" w:tplc="FCDE76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5E6D"/>
    <w:multiLevelType w:val="hybridMultilevel"/>
    <w:tmpl w:val="E3F00640"/>
    <w:lvl w:ilvl="0" w:tplc="47284E7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7478B6"/>
    <w:multiLevelType w:val="hybridMultilevel"/>
    <w:tmpl w:val="1F66DE60"/>
    <w:lvl w:ilvl="0" w:tplc="5DC2732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81248"/>
    <w:multiLevelType w:val="hybridMultilevel"/>
    <w:tmpl w:val="EB26B26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F3BB6"/>
    <w:multiLevelType w:val="hybridMultilevel"/>
    <w:tmpl w:val="CA20C1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602FA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9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C086A"/>
    <w:multiLevelType w:val="hybridMultilevel"/>
    <w:tmpl w:val="AB8463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8"/>
  </w:num>
  <w:num w:numId="5">
    <w:abstractNumId w:val="24"/>
  </w:num>
  <w:num w:numId="6">
    <w:abstractNumId w:val="35"/>
  </w:num>
  <w:num w:numId="7">
    <w:abstractNumId w:val="4"/>
  </w:num>
  <w:num w:numId="8">
    <w:abstractNumId w:val="32"/>
  </w:num>
  <w:num w:numId="9">
    <w:abstractNumId w:val="1"/>
  </w:num>
  <w:num w:numId="10">
    <w:abstractNumId w:val="34"/>
  </w:num>
  <w:num w:numId="11">
    <w:abstractNumId w:val="31"/>
  </w:num>
  <w:num w:numId="12">
    <w:abstractNumId w:val="2"/>
  </w:num>
  <w:num w:numId="13">
    <w:abstractNumId w:val="25"/>
  </w:num>
  <w:num w:numId="14">
    <w:abstractNumId w:val="25"/>
    <w:lvlOverride w:ilvl="0">
      <w:startOverride w:val="1"/>
    </w:lvlOverride>
  </w:num>
  <w:num w:numId="15">
    <w:abstractNumId w:val="11"/>
  </w:num>
  <w:num w:numId="16">
    <w:abstractNumId w:val="7"/>
  </w:num>
  <w:num w:numId="17">
    <w:abstractNumId w:val="33"/>
  </w:num>
  <w:num w:numId="18">
    <w:abstractNumId w:val="17"/>
  </w:num>
  <w:num w:numId="19">
    <w:abstractNumId w:val="21"/>
  </w:num>
  <w:num w:numId="20">
    <w:abstractNumId w:val="26"/>
  </w:num>
  <w:num w:numId="21">
    <w:abstractNumId w:val="13"/>
  </w:num>
  <w:num w:numId="22">
    <w:abstractNumId w:val="29"/>
  </w:num>
  <w:num w:numId="23">
    <w:abstractNumId w:val="6"/>
  </w:num>
  <w:num w:numId="24">
    <w:abstractNumId w:val="5"/>
  </w:num>
  <w:num w:numId="25">
    <w:abstractNumId w:val="22"/>
  </w:num>
  <w:num w:numId="26">
    <w:abstractNumId w:val="3"/>
  </w:num>
  <w:num w:numId="27">
    <w:abstractNumId w:val="30"/>
  </w:num>
  <w:num w:numId="28">
    <w:abstractNumId w:val="2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</w:num>
  <w:num w:numId="34">
    <w:abstractNumId w:val="12"/>
  </w:num>
  <w:num w:numId="35">
    <w:abstractNumId w:val="15"/>
  </w:num>
  <w:num w:numId="36">
    <w:abstractNumId w:val="9"/>
  </w:num>
  <w:num w:numId="37">
    <w:abstractNumId w:val="19"/>
  </w:num>
  <w:num w:numId="38">
    <w:abstractNumId w:val="2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248E"/>
    <w:rsid w:val="000A71F7"/>
    <w:rsid w:val="000F09E4"/>
    <w:rsid w:val="000F16FD"/>
    <w:rsid w:val="000F5AAF"/>
    <w:rsid w:val="000F712E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9692C"/>
    <w:rsid w:val="002C6F90"/>
    <w:rsid w:val="002E4FB5"/>
    <w:rsid w:val="00302FB8"/>
    <w:rsid w:val="00304EA1"/>
    <w:rsid w:val="003056C2"/>
    <w:rsid w:val="00314D81"/>
    <w:rsid w:val="00322FC6"/>
    <w:rsid w:val="0035293F"/>
    <w:rsid w:val="00391986"/>
    <w:rsid w:val="003A00B4"/>
    <w:rsid w:val="003C59E3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96AAA"/>
    <w:rsid w:val="005B391B"/>
    <w:rsid w:val="005D0B25"/>
    <w:rsid w:val="005D3D78"/>
    <w:rsid w:val="005E2EF0"/>
    <w:rsid w:val="005F0486"/>
    <w:rsid w:val="005F4092"/>
    <w:rsid w:val="006002F7"/>
    <w:rsid w:val="0061164E"/>
    <w:rsid w:val="00667017"/>
    <w:rsid w:val="0068471E"/>
    <w:rsid w:val="00684F98"/>
    <w:rsid w:val="00685818"/>
    <w:rsid w:val="00693FFD"/>
    <w:rsid w:val="006B3F24"/>
    <w:rsid w:val="006D2159"/>
    <w:rsid w:val="006F787C"/>
    <w:rsid w:val="00702636"/>
    <w:rsid w:val="00724507"/>
    <w:rsid w:val="00736EF2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8E0B42"/>
    <w:rsid w:val="009370BC"/>
    <w:rsid w:val="00970580"/>
    <w:rsid w:val="00984E15"/>
    <w:rsid w:val="0098739B"/>
    <w:rsid w:val="009A0DA4"/>
    <w:rsid w:val="009B61E5"/>
    <w:rsid w:val="009D1E89"/>
    <w:rsid w:val="009E5707"/>
    <w:rsid w:val="009E7DFB"/>
    <w:rsid w:val="00A108B6"/>
    <w:rsid w:val="00A17661"/>
    <w:rsid w:val="00A24B2D"/>
    <w:rsid w:val="00A40966"/>
    <w:rsid w:val="00A81C6B"/>
    <w:rsid w:val="00A921E0"/>
    <w:rsid w:val="00A922F4"/>
    <w:rsid w:val="00AD63F0"/>
    <w:rsid w:val="00AE5526"/>
    <w:rsid w:val="00AF051B"/>
    <w:rsid w:val="00B01578"/>
    <w:rsid w:val="00B02A77"/>
    <w:rsid w:val="00B0738F"/>
    <w:rsid w:val="00B13D3B"/>
    <w:rsid w:val="00B230DB"/>
    <w:rsid w:val="00B26601"/>
    <w:rsid w:val="00B340C6"/>
    <w:rsid w:val="00B41951"/>
    <w:rsid w:val="00B53229"/>
    <w:rsid w:val="00B62480"/>
    <w:rsid w:val="00B81B70"/>
    <w:rsid w:val="00BB3BAB"/>
    <w:rsid w:val="00BC0A52"/>
    <w:rsid w:val="00BD0724"/>
    <w:rsid w:val="00BD2B91"/>
    <w:rsid w:val="00BE5521"/>
    <w:rsid w:val="00BF6C23"/>
    <w:rsid w:val="00C53263"/>
    <w:rsid w:val="00C71CEE"/>
    <w:rsid w:val="00C75F1D"/>
    <w:rsid w:val="00C83FD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DF1667"/>
    <w:rsid w:val="00E11872"/>
    <w:rsid w:val="00E23F1D"/>
    <w:rsid w:val="00E30E05"/>
    <w:rsid w:val="00E36361"/>
    <w:rsid w:val="00E55AE9"/>
    <w:rsid w:val="00EA196E"/>
    <w:rsid w:val="00EB0C84"/>
    <w:rsid w:val="00F01DE2"/>
    <w:rsid w:val="00F17FDE"/>
    <w:rsid w:val="00F266D7"/>
    <w:rsid w:val="00F40D53"/>
    <w:rsid w:val="00F4525C"/>
    <w:rsid w:val="00F50D86"/>
    <w:rsid w:val="00F7606C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customStyle="1" w:styleId="MTDisplayEquation">
    <w:name w:val="MTDisplayEquation"/>
    <w:basedOn w:val="VCAAbody"/>
    <w:next w:val="Normal"/>
    <w:link w:val="MTDisplayEquationChar"/>
    <w:rsid w:val="003056C2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3056C2"/>
    <w:rPr>
      <w:rFonts w:ascii="Arial" w:eastAsia="Arial" w:hAnsi="Arial" w:cs="Arial"/>
      <w:color w:val="000000"/>
      <w:sz w:val="20"/>
    </w:rPr>
  </w:style>
  <w:style w:type="paragraph" w:styleId="BodyText">
    <w:name w:val="Body Text"/>
    <w:basedOn w:val="Normal"/>
    <w:link w:val="BodyTextChar"/>
    <w:rsid w:val="006670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67017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customStyle="1" w:styleId="CRPROBGENQ">
    <w:name w:val="CR_PROB_GENQ"/>
    <w:basedOn w:val="Normal"/>
    <w:rsid w:val="00C71CEE"/>
    <w:pPr>
      <w:widowControl w:val="0"/>
      <w:shd w:val="clear" w:color="auto" w:fill="FFFFFF"/>
      <w:tabs>
        <w:tab w:val="left" w:pos="240"/>
        <w:tab w:val="left" w:pos="1848"/>
      </w:tabs>
      <w:autoSpaceDE w:val="0"/>
      <w:autoSpaceDN w:val="0"/>
      <w:adjustRightInd w:val="0"/>
      <w:spacing w:before="120" w:after="0" w:line="240" w:lineRule="atLeast"/>
      <w:ind w:left="300"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GENQLL">
    <w:name w:val="CR_GENQ_LL"/>
    <w:basedOn w:val="Normal"/>
    <w:rsid w:val="00C71CEE"/>
    <w:pPr>
      <w:widowControl w:val="0"/>
      <w:shd w:val="clear" w:color="auto" w:fill="FFFFFF"/>
      <w:tabs>
        <w:tab w:val="left" w:pos="1891"/>
        <w:tab w:val="left" w:pos="3576"/>
        <w:tab w:val="left" w:pos="5484"/>
      </w:tabs>
      <w:autoSpaceDE w:val="0"/>
      <w:autoSpaceDN w:val="0"/>
      <w:adjustRightInd w:val="0"/>
      <w:spacing w:before="40" w:after="60" w:line="293" w:lineRule="exact"/>
      <w:ind w:left="2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9325D2"/>
    <w:rsid w:val="00B7233D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64991A2-5015-4B73-BA07-9F971323D81E}"/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3 and 4</vt:lpstr>
    </vt:vector>
  </TitlesOfParts>
  <Company>Victorian Curriculum and Assessment Authority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3 and 4</dc:title>
  <dc:subject>VCE Specialist Mathematics</dc:subject>
  <dc:creator>vcaa@education.vic.gov.au</dc:creator>
  <cp:keywords>mathematics, specialist, VCE, sample, learning, activity, quadratic, reciprocal, rational, functions</cp:keywords>
  <cp:lastModifiedBy>Julie Coleman</cp:lastModifiedBy>
  <cp:revision>3</cp:revision>
  <cp:lastPrinted>2015-05-15T02:36:00Z</cp:lastPrinted>
  <dcterms:created xsi:type="dcterms:W3CDTF">2023-01-25T04:02:00Z</dcterms:created>
  <dcterms:modified xsi:type="dcterms:W3CDTF">2023-01-25T04:08:00Z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