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F4B37" w:rsidR="003F4B37" w:rsidP="003F4B37" w:rsidRDefault="003F4B37" w14:paraId="7B35681F" w14:textId="2E31AC7D">
      <w:pPr>
        <w:pStyle w:val="VCAAHeading1"/>
        <w:rPr>
          <w:sz w:val="32"/>
          <w:szCs w:val="32"/>
        </w:rPr>
      </w:pPr>
      <w:bookmarkStart w:name="TemplateOverview" w:id="0"/>
      <w:bookmarkEnd w:id="0"/>
      <w:r w:rsidRPr="003F4B37">
        <w:rPr>
          <w:sz w:val="32"/>
          <w:szCs w:val="32"/>
        </w:rPr>
        <w:t>The Victorian Pathways Certificate and Victorian Certificate of Education Vocational Major</w:t>
      </w:r>
      <w:r>
        <w:rPr>
          <w:sz w:val="32"/>
          <w:szCs w:val="32"/>
        </w:rPr>
        <w:t xml:space="preserve"> </w:t>
      </w:r>
      <w:r w:rsidRPr="003F4B37">
        <w:rPr>
          <w:sz w:val="32"/>
          <w:szCs w:val="32"/>
        </w:rPr>
        <w:t>at Surf Coast Secondary College</w:t>
      </w:r>
    </w:p>
    <w:p w:rsidR="003F4B37" w:rsidP="003F4B37" w:rsidRDefault="003F4B37" w14:paraId="5B1F5B9C" w14:textId="77777777">
      <w:pPr>
        <w:pStyle w:val="NormalWeb"/>
        <w:spacing w:before="0" w:beforeAutospacing="0" w:after="0" w:afterAutospacing="0"/>
        <w:rPr>
          <w:rFonts w:ascii="Arial" w:hAnsi="Arial" w:cs="Arial"/>
          <w:color w:val="000000"/>
          <w:sz w:val="20"/>
          <w:szCs w:val="20"/>
        </w:rPr>
      </w:pPr>
    </w:p>
    <w:p w:rsidRPr="00386ADE" w:rsidR="003F4B37" w:rsidP="000A74E4" w:rsidRDefault="003F4B37" w14:paraId="4FAB57C6" w14:textId="2A8DAE79">
      <w:pPr>
        <w:pStyle w:val="NormalWeb"/>
        <w:spacing w:before="0" w:beforeAutospacing="0" w:after="0" w:afterAutospacing="0"/>
        <w:rPr>
          <w:rFonts w:ascii="Arial" w:hAnsi="Arial" w:cs="Arial"/>
        </w:rPr>
      </w:pPr>
      <w:r w:rsidRPr="00386ADE">
        <w:rPr>
          <w:rFonts w:ascii="Arial" w:hAnsi="Arial" w:cs="Arial"/>
          <w:color w:val="000000"/>
        </w:rPr>
        <w:t>The Victorian Pathways Certificate (VPC) and Victorian Certificate of Education Vocational Major (VCE VM) program at Surf Coast Secondary College (SCSC) strives to holistically support every student to experience success and growth in their learning. The VPC and VCE VM programs aim to prepare and develop foundational skills for every student so that students are ready to engage in further training and employment opportunities post-schooling. At SCSC the VPC and VCE VM offers a flexible timetable to ensure that students are demonstrating their learning outcomes 3 days per week, attending their compulsory Vocational Education Training (VET) program 1 day per week and engaging in Structured Workplace Learning (SWL) 1 day per week. Alternatively, some students may also undertake a School Based Apprenticeship or Traineeship facilitated by our school-based Head Start coordinator 2 days per week in lieu of VET and SWL. </w:t>
      </w:r>
    </w:p>
    <w:p w:rsidRPr="00386ADE" w:rsidR="003F4B37" w:rsidP="000A74E4" w:rsidRDefault="000A74E4" w14:paraId="3EBE1B82" w14:textId="607A5D13">
      <w:pPr>
        <w:pStyle w:val="VCAAHeading3"/>
        <w:jc w:val="center"/>
        <w:rPr>
          <w:sz w:val="24"/>
        </w:rPr>
      </w:pPr>
      <w:r w:rsidRPr="00386ADE">
        <w:rPr>
          <w:sz w:val="24"/>
        </w:rPr>
        <w:t>Wellbeing</w:t>
      </w:r>
    </w:p>
    <w:p w:rsidRPr="00386ADE" w:rsidR="003F4B37" w:rsidP="000A74E4" w:rsidRDefault="003F4B37" w14:paraId="01F250A2" w14:textId="452A7C7A">
      <w:pPr>
        <w:pStyle w:val="NormalWeb"/>
        <w:spacing w:before="0" w:beforeAutospacing="0" w:after="0" w:afterAutospacing="0"/>
        <w:rPr>
          <w:rFonts w:ascii="Arial" w:hAnsi="Arial" w:cs="Arial"/>
        </w:rPr>
      </w:pPr>
      <w:r w:rsidRPr="00386ADE">
        <w:rPr>
          <w:rFonts w:ascii="Arial" w:hAnsi="Arial" w:cs="Arial"/>
          <w:color w:val="000000"/>
        </w:rPr>
        <w:t xml:space="preserve">The SCSC integrated program has a strong emphasis on well-being to support students to be ready to learn and extend their skills and knowledge in a supportive environment. Each student in the program has a mentor teacher who is the student and </w:t>
      </w:r>
      <w:r w:rsidRPr="00386ADE" w:rsidR="000A74E4">
        <w:rPr>
          <w:rFonts w:ascii="Arial" w:hAnsi="Arial" w:cs="Arial"/>
          <w:color w:val="000000"/>
        </w:rPr>
        <w:t>family’s</w:t>
      </w:r>
      <w:r w:rsidRPr="00386ADE">
        <w:rPr>
          <w:rFonts w:ascii="Arial" w:hAnsi="Arial" w:cs="Arial"/>
          <w:color w:val="000000"/>
        </w:rPr>
        <w:t xml:space="preserve"> main point of contact. The mentor teacher takes a case management approach </w:t>
      </w:r>
      <w:r w:rsidRPr="00386ADE" w:rsidR="000A74E4">
        <w:rPr>
          <w:rFonts w:ascii="Arial" w:hAnsi="Arial" w:cs="Arial"/>
          <w:color w:val="000000"/>
        </w:rPr>
        <w:t>for</w:t>
      </w:r>
      <w:r w:rsidRPr="00386ADE">
        <w:rPr>
          <w:rFonts w:ascii="Arial" w:hAnsi="Arial" w:cs="Arial"/>
          <w:color w:val="000000"/>
        </w:rPr>
        <w:t xml:space="preserve"> each student in their mentor group and conducts fortnightly check-ins with each student. The mentor teacher acts as an advocate, facilitator of learning, pathways planning advisor and conduit to external support as needed for each individual student. All staff within the VPC and VCE VM program are trained and utilise a range of </w:t>
      </w:r>
      <w:r w:rsidRPr="00386ADE" w:rsidR="000A74E4">
        <w:rPr>
          <w:rFonts w:ascii="Arial" w:hAnsi="Arial" w:cs="Arial"/>
          <w:color w:val="000000"/>
        </w:rPr>
        <w:t>evidence-based</w:t>
      </w:r>
      <w:r w:rsidRPr="00386ADE">
        <w:rPr>
          <w:rFonts w:ascii="Arial" w:hAnsi="Arial" w:cs="Arial"/>
          <w:color w:val="000000"/>
        </w:rPr>
        <w:t xml:space="preserve"> wellbeing strategies to best support, engage and connect students to their individual educational and pathway goals.</w:t>
      </w:r>
    </w:p>
    <w:p w:rsidRPr="00386ADE" w:rsidR="003F4B37" w:rsidP="000A74E4" w:rsidRDefault="000A74E4" w14:paraId="480BF93E" w14:textId="0A327B5F">
      <w:pPr>
        <w:pStyle w:val="VCAAHeading3"/>
        <w:jc w:val="center"/>
        <w:rPr>
          <w:sz w:val="24"/>
        </w:rPr>
      </w:pPr>
      <w:r w:rsidRPr="00386ADE">
        <w:rPr>
          <w:sz w:val="24"/>
        </w:rPr>
        <w:t>Teaching and Learning</w:t>
      </w:r>
    </w:p>
    <w:p w:rsidRPr="00386ADE" w:rsidR="000A74E4" w:rsidP="003F4B37" w:rsidRDefault="003F4B37" w14:paraId="2AB13D55" w14:textId="5585E80B">
      <w:pPr>
        <w:pStyle w:val="NormalWeb"/>
        <w:spacing w:before="0" w:beforeAutospacing="0" w:after="0" w:afterAutospacing="0"/>
        <w:rPr>
          <w:rFonts w:ascii="Arial" w:hAnsi="Arial" w:cs="Arial"/>
          <w:color w:val="000000"/>
        </w:rPr>
      </w:pPr>
      <w:r w:rsidRPr="00386ADE">
        <w:rPr>
          <w:rFonts w:ascii="Arial" w:hAnsi="Arial" w:cs="Arial"/>
          <w:color w:val="000000"/>
        </w:rPr>
        <w:t xml:space="preserve">SCSC delivers </w:t>
      </w:r>
      <w:r w:rsidRPr="00386ADE" w:rsidR="000A74E4">
        <w:rPr>
          <w:rFonts w:ascii="Arial" w:hAnsi="Arial" w:cs="Arial"/>
          <w:color w:val="000000"/>
        </w:rPr>
        <w:t xml:space="preserve">the curriculum </w:t>
      </w:r>
      <w:r w:rsidRPr="00386ADE">
        <w:rPr>
          <w:rFonts w:ascii="Arial" w:hAnsi="Arial" w:cs="Arial"/>
          <w:color w:val="000000"/>
        </w:rPr>
        <w:t xml:space="preserve">through a student focused and led 5 step project system. The teaching and learning pedagogical approach </w:t>
      </w:r>
      <w:r w:rsidRPr="00386ADE" w:rsidR="00386ADE">
        <w:rPr>
          <w:rFonts w:ascii="Arial" w:hAnsi="Arial" w:cs="Arial"/>
          <w:color w:val="000000"/>
        </w:rPr>
        <w:t>are</w:t>
      </w:r>
      <w:r w:rsidRPr="00386ADE">
        <w:rPr>
          <w:rFonts w:ascii="Arial" w:hAnsi="Arial" w:cs="Arial"/>
          <w:color w:val="000000"/>
        </w:rPr>
        <w:t xml:space="preserve"> underpinned by the</w:t>
      </w:r>
      <w:r w:rsidRPr="00386ADE" w:rsidR="000A74E4">
        <w:rPr>
          <w:rFonts w:ascii="Arial" w:hAnsi="Arial" w:cs="Arial"/>
          <w:color w:val="000000"/>
        </w:rPr>
        <w:t xml:space="preserve"> Victorian Curriculum and Assessment Authority (VCAA)</w:t>
      </w:r>
      <w:r w:rsidRPr="00386ADE">
        <w:rPr>
          <w:rFonts w:ascii="Arial" w:hAnsi="Arial" w:cs="Arial"/>
          <w:color w:val="000000"/>
        </w:rPr>
        <w:t xml:space="preserve"> Pillars of Applied Learning, </w:t>
      </w:r>
      <w:r w:rsidRPr="00386ADE" w:rsidR="000A74E4">
        <w:rPr>
          <w:rFonts w:ascii="Arial" w:hAnsi="Arial" w:cs="Arial"/>
          <w:color w:val="000000"/>
        </w:rPr>
        <w:t xml:space="preserve">Department of Education </w:t>
      </w:r>
      <w:r w:rsidRPr="00386ADE">
        <w:rPr>
          <w:rFonts w:ascii="Arial" w:hAnsi="Arial" w:cs="Arial"/>
          <w:color w:val="000000"/>
        </w:rPr>
        <w:t>High Impact Teaching Strategies</w:t>
      </w:r>
      <w:r w:rsidRPr="00386ADE" w:rsidR="000A74E4">
        <w:rPr>
          <w:rFonts w:ascii="Arial" w:hAnsi="Arial" w:cs="Arial"/>
          <w:color w:val="000000"/>
        </w:rPr>
        <w:t xml:space="preserve"> (HITS)</w:t>
      </w:r>
      <w:r w:rsidRPr="00386ADE">
        <w:rPr>
          <w:rFonts w:ascii="Arial" w:hAnsi="Arial" w:cs="Arial"/>
          <w:color w:val="000000"/>
        </w:rPr>
        <w:t xml:space="preserve">, Student agency and voice </w:t>
      </w:r>
      <w:r w:rsidRPr="00386ADE" w:rsidR="000A74E4">
        <w:rPr>
          <w:rFonts w:ascii="Arial" w:hAnsi="Arial" w:cs="Arial"/>
          <w:color w:val="000000"/>
        </w:rPr>
        <w:t xml:space="preserve">as well as a range of </w:t>
      </w:r>
      <w:r w:rsidRPr="00386ADE" w:rsidR="00386ADE">
        <w:rPr>
          <w:rFonts w:ascii="Arial" w:hAnsi="Arial" w:cs="Arial"/>
          <w:color w:val="000000"/>
        </w:rPr>
        <w:t>evidence-based</w:t>
      </w:r>
      <w:r w:rsidRPr="00386ADE">
        <w:rPr>
          <w:rFonts w:ascii="Arial" w:hAnsi="Arial" w:cs="Arial"/>
          <w:color w:val="000000"/>
        </w:rPr>
        <w:t xml:space="preserve"> Literacy and Numeracy strategies that best suit the learning context</w:t>
      </w:r>
      <w:r w:rsidRPr="00386ADE" w:rsidR="000A74E4">
        <w:rPr>
          <w:rFonts w:ascii="Arial" w:hAnsi="Arial" w:cs="Arial"/>
          <w:color w:val="000000"/>
        </w:rPr>
        <w:t xml:space="preserve"> and individual student</w:t>
      </w:r>
      <w:r w:rsidRPr="00386ADE">
        <w:rPr>
          <w:rFonts w:ascii="Arial" w:hAnsi="Arial" w:cs="Arial"/>
          <w:color w:val="000000"/>
        </w:rPr>
        <w:t xml:space="preserve">. </w:t>
      </w:r>
    </w:p>
    <w:p w:rsidRPr="00386ADE" w:rsidR="000A74E4" w:rsidP="003F4B37" w:rsidRDefault="000A74E4" w14:paraId="20D8B3CE" w14:textId="77777777">
      <w:pPr>
        <w:pStyle w:val="NormalWeb"/>
        <w:spacing w:before="0" w:beforeAutospacing="0" w:after="0" w:afterAutospacing="0"/>
        <w:rPr>
          <w:rFonts w:ascii="Arial" w:hAnsi="Arial" w:cs="Arial"/>
          <w:color w:val="000000"/>
        </w:rPr>
      </w:pPr>
    </w:p>
    <w:p w:rsidRPr="00386ADE" w:rsidR="003F4B37" w:rsidP="00751C6E" w:rsidRDefault="003F4B37" w14:paraId="2D32194F" w14:textId="00E83693">
      <w:pPr>
        <w:pStyle w:val="NormalWeb"/>
        <w:spacing w:before="0" w:beforeAutospacing="0" w:after="0" w:afterAutospacing="0"/>
        <w:rPr>
          <w:rFonts w:ascii="Arial" w:hAnsi="Arial" w:cs="Arial"/>
        </w:rPr>
      </w:pPr>
      <w:r w:rsidRPr="00386ADE">
        <w:rPr>
          <w:rFonts w:ascii="Arial" w:hAnsi="Arial" w:cs="Arial"/>
          <w:color w:val="000000"/>
        </w:rPr>
        <w:t>Students are positioned as the key drivers in their learning. Students within the VPC and VCE VM are required to take a proactive approach to direct their project work and explore pathway areas of interest. Students are encouraged to utilise and demonstrate their unique strengths and capabilities. Teaching and Educational support staff take a facilitative approach to delivering learning content and offer multiple opportunities and modes of support for student</w:t>
      </w:r>
      <w:r w:rsidRPr="00386ADE" w:rsidR="000A74E4">
        <w:rPr>
          <w:rFonts w:ascii="Arial" w:hAnsi="Arial" w:cs="Arial"/>
          <w:color w:val="000000"/>
        </w:rPr>
        <w:t>s</w:t>
      </w:r>
      <w:r w:rsidRPr="00386ADE">
        <w:rPr>
          <w:rFonts w:ascii="Arial" w:hAnsi="Arial" w:cs="Arial"/>
          <w:color w:val="000000"/>
        </w:rPr>
        <w:t xml:space="preserve"> to engage in. Students are highly encouraged to develop their own intrinsic motivation and purpose for learning </w:t>
      </w:r>
      <w:r w:rsidRPr="00386ADE" w:rsidR="000A74E4">
        <w:rPr>
          <w:rFonts w:ascii="Arial" w:hAnsi="Arial" w:cs="Arial"/>
          <w:color w:val="000000"/>
        </w:rPr>
        <w:t>by establishing</w:t>
      </w:r>
      <w:r w:rsidRPr="00386ADE">
        <w:rPr>
          <w:rFonts w:ascii="Arial" w:hAnsi="Arial" w:cs="Arial"/>
          <w:color w:val="000000"/>
        </w:rPr>
        <w:t xml:space="preserve"> short-term and long-term goals through</w:t>
      </w:r>
      <w:r w:rsidRPr="00386ADE" w:rsidR="000A74E4">
        <w:rPr>
          <w:rFonts w:ascii="Arial" w:hAnsi="Arial" w:cs="Arial"/>
          <w:color w:val="000000"/>
        </w:rPr>
        <w:t xml:space="preserve"> their</w:t>
      </w:r>
      <w:r w:rsidRPr="00386ADE">
        <w:rPr>
          <w:rFonts w:ascii="Arial" w:hAnsi="Arial" w:cs="Arial"/>
          <w:color w:val="000000"/>
        </w:rPr>
        <w:t xml:space="preserve"> </w:t>
      </w:r>
      <w:r w:rsidRPr="00386ADE" w:rsidR="000A74E4">
        <w:rPr>
          <w:rFonts w:ascii="Arial" w:hAnsi="Arial" w:cs="Arial"/>
          <w:color w:val="000000"/>
        </w:rPr>
        <w:t xml:space="preserve">tailored </w:t>
      </w:r>
      <w:r w:rsidRPr="00386ADE">
        <w:rPr>
          <w:rFonts w:ascii="Arial" w:hAnsi="Arial" w:cs="Arial"/>
          <w:color w:val="000000"/>
        </w:rPr>
        <w:t>pathways planning and careers education</w:t>
      </w:r>
      <w:r w:rsidRPr="00386ADE" w:rsidR="000A74E4">
        <w:rPr>
          <w:rFonts w:ascii="Arial" w:hAnsi="Arial" w:cs="Arial"/>
          <w:color w:val="000000"/>
        </w:rPr>
        <w:t xml:space="preserve"> program</w:t>
      </w:r>
      <w:r w:rsidRPr="00386ADE">
        <w:rPr>
          <w:rFonts w:ascii="Arial" w:hAnsi="Arial" w:cs="Arial"/>
          <w:color w:val="000000"/>
        </w:rPr>
        <w:t>. As</w:t>
      </w:r>
      <w:r w:rsidRPr="00386ADE" w:rsidR="000A74E4">
        <w:rPr>
          <w:rFonts w:ascii="Arial" w:hAnsi="Arial" w:cs="Arial"/>
          <w:color w:val="000000"/>
        </w:rPr>
        <w:t xml:space="preserve"> young adults</w:t>
      </w:r>
      <w:r w:rsidRPr="00386ADE">
        <w:rPr>
          <w:rFonts w:ascii="Arial" w:hAnsi="Arial" w:cs="Arial"/>
          <w:color w:val="000000"/>
        </w:rPr>
        <w:t xml:space="preserve">, </w:t>
      </w:r>
      <w:r w:rsidRPr="00386ADE" w:rsidR="000A74E4">
        <w:rPr>
          <w:rFonts w:ascii="Arial" w:hAnsi="Arial" w:cs="Arial"/>
          <w:color w:val="000000"/>
        </w:rPr>
        <w:t xml:space="preserve">senior secondary </w:t>
      </w:r>
      <w:r w:rsidRPr="00386ADE">
        <w:rPr>
          <w:rFonts w:ascii="Arial" w:hAnsi="Arial" w:cs="Arial"/>
          <w:color w:val="000000"/>
        </w:rPr>
        <w:t xml:space="preserve">students are supported to develop their employability skills of time and </w:t>
      </w:r>
      <w:r w:rsidRPr="00386ADE" w:rsidR="00751C6E">
        <w:rPr>
          <w:rFonts w:ascii="Arial" w:hAnsi="Arial" w:cs="Arial"/>
          <w:color w:val="000000"/>
        </w:rPr>
        <w:t>self-management</w:t>
      </w:r>
      <w:r w:rsidRPr="00386ADE">
        <w:rPr>
          <w:rFonts w:ascii="Arial" w:hAnsi="Arial" w:cs="Arial"/>
          <w:color w:val="000000"/>
        </w:rPr>
        <w:t xml:space="preserve"> through planning their day, setting goals of tasks to complete during short time frames and regularly checking their canvas course progress % to ensure they remain in the</w:t>
      </w:r>
      <w:r w:rsidRPr="00386ADE" w:rsidR="00751C6E">
        <w:rPr>
          <w:rFonts w:ascii="Arial" w:hAnsi="Arial" w:cs="Arial"/>
          <w:color w:val="000000"/>
        </w:rPr>
        <w:t xml:space="preserve"> recommended</w:t>
      </w:r>
      <w:r w:rsidRPr="00386ADE">
        <w:rPr>
          <w:rFonts w:ascii="Arial" w:hAnsi="Arial" w:cs="Arial"/>
          <w:color w:val="000000"/>
        </w:rPr>
        <w:t xml:space="preserve"> 65-80% task completion range. </w:t>
      </w:r>
    </w:p>
    <w:p w:rsidRPr="00386ADE" w:rsidR="003F4B37" w:rsidP="003F4B37" w:rsidRDefault="003F4B37" w14:paraId="7601B5A7" w14:textId="7FF6CCF9">
      <w:pPr>
        <w:pStyle w:val="NormalWeb"/>
        <w:spacing w:before="0" w:beforeAutospacing="0" w:after="0" w:afterAutospacing="0"/>
        <w:rPr>
          <w:rFonts w:ascii="Arial" w:hAnsi="Arial" w:cs="Arial"/>
        </w:rPr>
      </w:pPr>
      <w:r w:rsidRPr="00386ADE">
        <w:rPr>
          <w:rFonts w:ascii="Arial" w:hAnsi="Arial" w:cs="Arial"/>
          <w:color w:val="000000"/>
        </w:rPr>
        <w:lastRenderedPageBreak/>
        <w:t xml:space="preserve">Explicit Instruction within the VPC and VCE VM is delivered </w:t>
      </w:r>
      <w:r w:rsidRPr="00386ADE" w:rsidR="00751C6E">
        <w:rPr>
          <w:rFonts w:ascii="Arial" w:hAnsi="Arial" w:cs="Arial"/>
          <w:color w:val="000000"/>
        </w:rPr>
        <w:t>through</w:t>
      </w:r>
      <w:r w:rsidRPr="00386ADE">
        <w:rPr>
          <w:rFonts w:ascii="Arial" w:hAnsi="Arial" w:cs="Arial"/>
          <w:color w:val="000000"/>
        </w:rPr>
        <w:t xml:space="preserve"> the following structure: </w:t>
      </w:r>
    </w:p>
    <w:p w:rsidRPr="00386ADE" w:rsidR="00751C6E" w:rsidP="003F4B37" w:rsidRDefault="00751C6E" w14:paraId="1B655DEB" w14:textId="77777777">
      <w:pPr>
        <w:pStyle w:val="NormalWeb"/>
        <w:spacing w:before="0" w:beforeAutospacing="0" w:after="0" w:afterAutospacing="0"/>
        <w:rPr>
          <w:rFonts w:ascii="Arial" w:hAnsi="Arial" w:cs="Arial"/>
          <w:b/>
          <w:bCs/>
          <w:color w:val="000000"/>
        </w:rPr>
      </w:pPr>
    </w:p>
    <w:p w:rsidRPr="00386ADE" w:rsidR="003F4B37" w:rsidP="003F4B37" w:rsidRDefault="003F4B37" w14:paraId="3AA2AC39" w14:textId="70DAF7E7">
      <w:pPr>
        <w:pStyle w:val="NormalWeb"/>
        <w:spacing w:before="0" w:beforeAutospacing="0" w:after="0" w:afterAutospacing="0"/>
        <w:rPr>
          <w:rFonts w:ascii="Arial" w:hAnsi="Arial" w:cs="Arial"/>
        </w:rPr>
      </w:pPr>
      <w:r w:rsidRPr="00386ADE">
        <w:rPr>
          <w:rFonts w:ascii="Arial" w:hAnsi="Arial" w:cs="Arial"/>
          <w:b/>
          <w:bCs/>
          <w:color w:val="000000"/>
        </w:rPr>
        <w:t>I do</w:t>
      </w:r>
      <w:r w:rsidRPr="00386ADE">
        <w:rPr>
          <w:rFonts w:ascii="Arial" w:hAnsi="Arial" w:cs="Arial"/>
          <w:color w:val="000000"/>
        </w:rPr>
        <w:t xml:space="preserve"> (Teacher introduces task)</w:t>
      </w:r>
    </w:p>
    <w:p w:rsidRPr="00386ADE" w:rsidR="003F4B37" w:rsidP="6D53ADFD" w:rsidRDefault="003F4B37" w14:paraId="0DB5D78F" w14:textId="10372A91">
      <w:pPr>
        <w:pStyle w:val="NormalWeb"/>
        <w:spacing w:before="0" w:beforeAutospacing="off" w:after="0" w:afterAutospacing="off"/>
        <w:rPr>
          <w:rFonts w:ascii="Arial" w:hAnsi="Arial" w:cs="Arial"/>
        </w:rPr>
      </w:pPr>
      <w:r w:rsidRPr="6D53ADFD" w:rsidR="003F4B37">
        <w:rPr>
          <w:rFonts w:ascii="Arial" w:hAnsi="Arial" w:cs="Arial"/>
          <w:b w:val="1"/>
          <w:bCs w:val="1"/>
          <w:color w:val="000000" w:themeColor="text1" w:themeTint="FF" w:themeShade="FF"/>
        </w:rPr>
        <w:t>You do</w:t>
      </w:r>
      <w:r w:rsidRPr="6D53ADFD" w:rsidR="003F4B37">
        <w:rPr>
          <w:rFonts w:ascii="Arial" w:hAnsi="Arial" w:cs="Arial"/>
          <w:color w:val="000000" w:themeColor="text1" w:themeTint="FF" w:themeShade="FF"/>
        </w:rPr>
        <w:t xml:space="preserve"> (Student attempt</w:t>
      </w:r>
      <w:r w:rsidRPr="6D53ADFD" w:rsidR="7B06C281">
        <w:rPr>
          <w:rFonts w:ascii="Arial" w:hAnsi="Arial" w:cs="Arial"/>
          <w:color w:val="000000" w:themeColor="text1" w:themeTint="FF" w:themeShade="FF"/>
        </w:rPr>
        <w:t>s</w:t>
      </w:r>
      <w:r w:rsidRPr="6D53ADFD" w:rsidR="003F4B37">
        <w:rPr>
          <w:rFonts w:ascii="Arial" w:hAnsi="Arial" w:cs="Arial"/>
          <w:color w:val="000000" w:themeColor="text1" w:themeTint="FF" w:themeShade="FF"/>
        </w:rPr>
        <w:t xml:space="preserve"> task) </w:t>
      </w:r>
    </w:p>
    <w:p w:rsidRPr="00386ADE" w:rsidR="003F4B37" w:rsidP="003F4B37" w:rsidRDefault="003F4B37" w14:paraId="141B3C0E" w14:textId="77777777">
      <w:pPr>
        <w:pStyle w:val="NormalWeb"/>
        <w:spacing w:before="0" w:beforeAutospacing="0" w:after="0" w:afterAutospacing="0"/>
        <w:rPr>
          <w:rFonts w:ascii="Arial" w:hAnsi="Arial" w:cs="Arial"/>
        </w:rPr>
      </w:pPr>
      <w:r w:rsidRPr="00386ADE">
        <w:rPr>
          <w:rFonts w:ascii="Arial" w:hAnsi="Arial" w:cs="Arial"/>
          <w:b/>
          <w:bCs/>
          <w:color w:val="000000"/>
        </w:rPr>
        <w:t xml:space="preserve">We do </w:t>
      </w:r>
      <w:r w:rsidRPr="00386ADE">
        <w:rPr>
          <w:rFonts w:ascii="Arial" w:hAnsi="Arial" w:cs="Arial"/>
          <w:color w:val="000000"/>
        </w:rPr>
        <w:t>(Student is offered additional support if needed through a focus group workshop, table group support or one-one mentor teacher support)</w:t>
      </w:r>
    </w:p>
    <w:p w:rsidRPr="00386ADE" w:rsidR="00751C6E" w:rsidP="003F4B37" w:rsidRDefault="00751C6E" w14:paraId="3E0E7ED0" w14:textId="77777777">
      <w:pPr>
        <w:pStyle w:val="NormalWeb"/>
        <w:spacing w:before="0" w:beforeAutospacing="0" w:after="0" w:afterAutospacing="0"/>
        <w:rPr>
          <w:rFonts w:ascii="Arial" w:hAnsi="Arial" w:cs="Arial"/>
          <w:color w:val="000000"/>
        </w:rPr>
      </w:pPr>
    </w:p>
    <w:p w:rsidRPr="00386ADE" w:rsidR="003F4B37" w:rsidP="003F4B37" w:rsidRDefault="003F4B37" w14:paraId="49C66601" w14:textId="101BF7A4">
      <w:pPr>
        <w:pStyle w:val="NormalWeb"/>
        <w:spacing w:before="0" w:beforeAutospacing="0" w:after="0" w:afterAutospacing="0"/>
        <w:rPr>
          <w:rFonts w:ascii="Arial" w:hAnsi="Arial" w:cs="Arial"/>
        </w:rPr>
      </w:pPr>
      <w:r w:rsidRPr="00386ADE">
        <w:rPr>
          <w:rFonts w:ascii="Arial" w:hAnsi="Arial" w:cs="Arial"/>
          <w:color w:val="000000"/>
        </w:rPr>
        <w:t xml:space="preserve">As </w:t>
      </w:r>
      <w:r w:rsidRPr="00386ADE" w:rsidR="00751C6E">
        <w:rPr>
          <w:rFonts w:ascii="Arial" w:hAnsi="Arial" w:cs="Arial"/>
          <w:color w:val="000000"/>
        </w:rPr>
        <w:t>the VCE VM certificate requires an</w:t>
      </w:r>
      <w:r w:rsidRPr="00386ADE">
        <w:rPr>
          <w:rFonts w:ascii="Arial" w:hAnsi="Arial" w:cs="Arial"/>
          <w:color w:val="000000"/>
        </w:rPr>
        <w:t xml:space="preserve"> applied learning</w:t>
      </w:r>
      <w:r w:rsidRPr="00386ADE" w:rsidR="00751C6E">
        <w:rPr>
          <w:rFonts w:ascii="Arial" w:hAnsi="Arial" w:cs="Arial"/>
          <w:color w:val="000000"/>
        </w:rPr>
        <w:t xml:space="preserve"> pedagogical approach, </w:t>
      </w:r>
      <w:r w:rsidRPr="00386ADE">
        <w:rPr>
          <w:rFonts w:ascii="Arial" w:hAnsi="Arial" w:cs="Arial"/>
          <w:color w:val="000000"/>
        </w:rPr>
        <w:t>students are required to be present and</w:t>
      </w:r>
      <w:r w:rsidRPr="00386ADE" w:rsidR="00751C6E">
        <w:rPr>
          <w:rFonts w:ascii="Arial" w:hAnsi="Arial" w:cs="Arial"/>
          <w:color w:val="000000"/>
        </w:rPr>
        <w:t xml:space="preserve"> active participants in a range of learning opportunities,</w:t>
      </w:r>
      <w:r w:rsidRPr="00386ADE">
        <w:rPr>
          <w:rFonts w:ascii="Arial" w:hAnsi="Arial" w:cs="Arial"/>
          <w:color w:val="000000"/>
        </w:rPr>
        <w:t xml:space="preserve"> community service and project activities</w:t>
      </w:r>
      <w:r w:rsidRPr="00386ADE" w:rsidR="00751C6E">
        <w:rPr>
          <w:rFonts w:ascii="Arial" w:hAnsi="Arial" w:cs="Arial"/>
          <w:color w:val="000000"/>
        </w:rPr>
        <w:t xml:space="preserve"> to</w:t>
      </w:r>
      <w:r w:rsidRPr="00386ADE">
        <w:rPr>
          <w:rFonts w:ascii="Arial" w:hAnsi="Arial" w:cs="Arial"/>
          <w:color w:val="000000"/>
        </w:rPr>
        <w:t xml:space="preserve"> demonstrate their assessable learning outcomes. Our program motto is ‘take the opportunity’ and our </w:t>
      </w:r>
      <w:r w:rsidRPr="00386ADE" w:rsidR="00751C6E">
        <w:rPr>
          <w:rFonts w:ascii="Arial" w:hAnsi="Arial" w:cs="Arial"/>
          <w:color w:val="000000"/>
        </w:rPr>
        <w:t>T</w:t>
      </w:r>
      <w:r w:rsidRPr="00386ADE">
        <w:rPr>
          <w:rFonts w:ascii="Arial" w:hAnsi="Arial" w:cs="Arial"/>
          <w:color w:val="000000"/>
        </w:rPr>
        <w:t xml:space="preserve">eaching and </w:t>
      </w:r>
      <w:r w:rsidRPr="00386ADE" w:rsidR="00751C6E">
        <w:rPr>
          <w:rFonts w:ascii="Arial" w:hAnsi="Arial" w:cs="Arial"/>
          <w:color w:val="000000"/>
        </w:rPr>
        <w:t>E</w:t>
      </w:r>
      <w:r w:rsidRPr="00386ADE">
        <w:rPr>
          <w:rFonts w:ascii="Arial" w:hAnsi="Arial" w:cs="Arial"/>
          <w:color w:val="000000"/>
        </w:rPr>
        <w:t>ducation</w:t>
      </w:r>
      <w:r w:rsidRPr="00386ADE" w:rsidR="00751C6E">
        <w:rPr>
          <w:rFonts w:ascii="Arial" w:hAnsi="Arial" w:cs="Arial"/>
          <w:color w:val="000000"/>
        </w:rPr>
        <w:t xml:space="preserve"> Support</w:t>
      </w:r>
      <w:r w:rsidRPr="00386ADE">
        <w:rPr>
          <w:rFonts w:ascii="Arial" w:hAnsi="Arial" w:cs="Arial"/>
          <w:color w:val="000000"/>
        </w:rPr>
        <w:t xml:space="preserve"> staff partner with both the students and their families to foster a growth mindset of giving things a go.  </w:t>
      </w:r>
    </w:p>
    <w:p w:rsidRPr="00386ADE" w:rsidR="00751C6E" w:rsidP="003F4B37" w:rsidRDefault="00751C6E" w14:paraId="7B884D98" w14:textId="77777777">
      <w:pPr>
        <w:pStyle w:val="NormalWeb"/>
        <w:spacing w:before="0" w:beforeAutospacing="0" w:after="0" w:afterAutospacing="0"/>
        <w:rPr>
          <w:rFonts w:ascii="Arial" w:hAnsi="Arial" w:cs="Arial"/>
          <w:b/>
          <w:bCs/>
          <w:color w:val="3D85C6"/>
        </w:rPr>
      </w:pPr>
    </w:p>
    <w:p w:rsidRPr="00386ADE" w:rsidR="00751C6E" w:rsidP="003F4B37" w:rsidRDefault="00751C6E" w14:paraId="1414C907" w14:textId="77777777">
      <w:pPr>
        <w:pStyle w:val="NormalWeb"/>
        <w:spacing w:before="0" w:beforeAutospacing="0" w:after="0" w:afterAutospacing="0"/>
        <w:rPr>
          <w:rFonts w:ascii="Arial" w:hAnsi="Arial" w:cs="Arial"/>
          <w:b/>
          <w:bCs/>
          <w:color w:val="3D85C6"/>
        </w:rPr>
      </w:pPr>
    </w:p>
    <w:p w:rsidRPr="00386ADE" w:rsidR="00812456" w:rsidP="00812456" w:rsidRDefault="00A27DFA" w14:paraId="3558755A" w14:textId="6B607DDD">
      <w:pPr>
        <w:pStyle w:val="VCAAHeading3"/>
        <w:rPr>
          <w:sz w:val="24"/>
        </w:rPr>
      </w:pPr>
      <w:r w:rsidRPr="00386ADE">
        <w:rPr>
          <w:sz w:val="24"/>
        </w:rPr>
        <w:t>Bibliography</w:t>
      </w:r>
    </w:p>
    <w:p w:rsidRPr="00386ADE" w:rsidR="00812456" w:rsidP="00812456" w:rsidRDefault="00812456" w14:paraId="2057240F" w14:textId="77777777">
      <w:pPr>
        <w:pStyle w:val="VCAAbody"/>
        <w:rPr>
          <w:sz w:val="24"/>
          <w:szCs w:val="24"/>
        </w:rPr>
      </w:pPr>
    </w:p>
    <w:p w:rsidRPr="00386ADE" w:rsidR="00A27DFA" w:rsidP="003F4B37" w:rsidRDefault="00A27DFA" w14:paraId="31605AFF" w14:textId="7C2C4816">
      <w:pPr>
        <w:pStyle w:val="NormalWeb"/>
        <w:spacing w:before="0" w:beforeAutospacing="0" w:after="0" w:afterAutospacing="0"/>
        <w:rPr>
          <w:rFonts w:ascii="Arial" w:hAnsi="Arial" w:cs="Arial"/>
          <w:b/>
          <w:bCs/>
          <w:color w:val="3D85C6"/>
        </w:rPr>
      </w:pPr>
      <w:r w:rsidRPr="00386ADE">
        <w:rPr>
          <w:rFonts w:ascii="Arial" w:hAnsi="Arial" w:cs="Arial"/>
          <w:lang w:val="en-US"/>
        </w:rPr>
        <w:t xml:space="preserve">Berry Street, Berry Street Education Model (BSEM) webpage, viewed 22 March 2024, </w:t>
      </w:r>
      <w:hyperlink w:history="1" r:id="rId11">
        <w:r w:rsidRPr="00386ADE">
          <w:rPr>
            <w:rStyle w:val="Hyperlink"/>
            <w:rFonts w:ascii="Arial" w:hAnsi="Arial" w:cs="Arial"/>
          </w:rPr>
          <w:t>Berry Street Education Model (BSEM) | Berry Street</w:t>
        </w:r>
      </w:hyperlink>
      <w:r w:rsidRPr="00386ADE">
        <w:rPr>
          <w:rFonts w:ascii="Arial" w:hAnsi="Arial" w:cs="Arial"/>
          <w:lang w:val="en-US"/>
        </w:rPr>
        <w:t xml:space="preserve"> </w:t>
      </w:r>
    </w:p>
    <w:p w:rsidRPr="00386ADE" w:rsidR="00A27DFA" w:rsidP="003F4B37" w:rsidRDefault="00A27DFA" w14:paraId="313DD623" w14:textId="1B7C4F80">
      <w:pPr>
        <w:pStyle w:val="NormalWeb"/>
        <w:spacing w:before="0" w:beforeAutospacing="0" w:after="0" w:afterAutospacing="0"/>
        <w:rPr>
          <w:rFonts w:ascii="Arial" w:hAnsi="Arial" w:cs="Arial"/>
          <w:b/>
          <w:bCs/>
          <w:color w:val="3D85C6"/>
        </w:rPr>
      </w:pPr>
    </w:p>
    <w:p w:rsidRPr="00386ADE" w:rsidR="00812456" w:rsidP="003F4B37" w:rsidRDefault="00812456" w14:paraId="63E2489C" w14:textId="3853FCCD">
      <w:pPr>
        <w:pStyle w:val="NormalWeb"/>
        <w:spacing w:before="0" w:beforeAutospacing="0" w:after="0" w:afterAutospacing="0"/>
        <w:rPr>
          <w:rFonts w:ascii="Arial" w:hAnsi="Arial" w:cs="Arial"/>
          <w:b/>
          <w:bCs/>
          <w:color w:val="3D85C6"/>
        </w:rPr>
      </w:pPr>
      <w:r w:rsidRPr="00386ADE">
        <w:rPr>
          <w:rFonts w:ascii="Arial" w:hAnsi="Arial" w:cs="Arial"/>
        </w:rPr>
        <w:t xml:space="preserve">Department of Education webpage viewed 22 March 2024, </w:t>
      </w:r>
      <w:hyperlink w:history="1" r:id="rId12">
        <w:r w:rsidRPr="00386ADE">
          <w:rPr>
            <w:rStyle w:val="Hyperlink"/>
            <w:rFonts w:ascii="Arial" w:hAnsi="Arial" w:cs="Arial"/>
          </w:rPr>
          <w:t>Diverse Learners Hub | vic.gov.au (www.vic.gov.au)</w:t>
        </w:r>
      </w:hyperlink>
    </w:p>
    <w:p w:rsidRPr="00386ADE" w:rsidR="00812456" w:rsidP="003F4B37" w:rsidRDefault="00812456" w14:paraId="587B33E0" w14:textId="77777777">
      <w:pPr>
        <w:pStyle w:val="NormalWeb"/>
        <w:spacing w:before="0" w:beforeAutospacing="0" w:after="0" w:afterAutospacing="0"/>
        <w:rPr>
          <w:rFonts w:ascii="Arial" w:hAnsi="Arial" w:cs="Arial"/>
        </w:rPr>
      </w:pPr>
    </w:p>
    <w:p w:rsidRPr="00386ADE" w:rsidR="00812456" w:rsidP="003F4B37" w:rsidRDefault="00812456" w14:paraId="390E3A35" w14:textId="4F21A31B">
      <w:pPr>
        <w:pStyle w:val="NormalWeb"/>
        <w:spacing w:before="0" w:beforeAutospacing="0" w:after="0" w:afterAutospacing="0"/>
        <w:rPr>
          <w:rFonts w:ascii="Arial" w:hAnsi="Arial" w:cs="Arial"/>
        </w:rPr>
      </w:pPr>
      <w:r w:rsidRPr="00386ADE">
        <w:rPr>
          <w:rFonts w:ascii="Arial" w:hAnsi="Arial" w:cs="Arial"/>
        </w:rPr>
        <w:t xml:space="preserve">Department of Education webpage viewed 22 March 2024, </w:t>
      </w:r>
      <w:hyperlink w:history="1" r:id="rId13">
        <w:r w:rsidRPr="00386ADE">
          <w:rPr>
            <w:rStyle w:val="Hyperlink"/>
            <w:rFonts w:ascii="Arial" w:hAnsi="Arial" w:cs="Arial"/>
          </w:rPr>
          <w:t>High impact teaching strategies (HITS) (education.vic.gov.au)</w:t>
        </w:r>
      </w:hyperlink>
    </w:p>
    <w:p w:rsidRPr="00386ADE" w:rsidR="00812456" w:rsidP="003F4B37" w:rsidRDefault="00812456" w14:paraId="227462AD" w14:textId="77777777">
      <w:pPr>
        <w:pStyle w:val="NormalWeb"/>
        <w:spacing w:before="0" w:beforeAutospacing="0" w:after="0" w:afterAutospacing="0"/>
        <w:rPr>
          <w:rFonts w:ascii="Arial" w:hAnsi="Arial" w:cs="Arial"/>
        </w:rPr>
      </w:pPr>
    </w:p>
    <w:p w:rsidRPr="00386ADE" w:rsidR="00A27DFA" w:rsidP="003F4B37" w:rsidRDefault="00A27DFA" w14:paraId="288A8CDB" w14:textId="0634F7AC">
      <w:pPr>
        <w:pStyle w:val="NormalWeb"/>
        <w:spacing w:before="0" w:beforeAutospacing="0" w:after="0" w:afterAutospacing="0"/>
        <w:rPr>
          <w:rFonts w:ascii="Arial" w:hAnsi="Arial" w:cs="Arial"/>
        </w:rPr>
      </w:pPr>
      <w:r w:rsidRPr="00386ADE">
        <w:rPr>
          <w:rFonts w:ascii="Arial" w:hAnsi="Arial" w:cs="Arial"/>
        </w:rPr>
        <w:t xml:space="preserve">Department of Education webpage viewed 22 March 2024, </w:t>
      </w:r>
      <w:hyperlink w:history="1" r:id="rId14">
        <w:r w:rsidRPr="00386ADE">
          <w:rPr>
            <w:rStyle w:val="Hyperlink"/>
            <w:rFonts w:ascii="Arial" w:hAnsi="Arial" w:cs="Arial"/>
          </w:rPr>
          <w:t>High-Impact-Wellbeing-Strategies-supporting-resource.pdf</w:t>
        </w:r>
      </w:hyperlink>
      <w:r w:rsidRPr="00386ADE">
        <w:rPr>
          <w:rFonts w:ascii="Arial" w:hAnsi="Arial" w:cs="Arial"/>
        </w:rPr>
        <w:t xml:space="preserve"> </w:t>
      </w:r>
    </w:p>
    <w:p w:rsidRPr="00386ADE" w:rsidR="00A27DFA" w:rsidP="003F4B37" w:rsidRDefault="00A27DFA" w14:paraId="4E8A28F2" w14:textId="77777777">
      <w:pPr>
        <w:pStyle w:val="NormalWeb"/>
        <w:spacing w:before="0" w:beforeAutospacing="0" w:after="0" w:afterAutospacing="0"/>
        <w:rPr>
          <w:rFonts w:ascii="Arial" w:hAnsi="Arial" w:cs="Arial"/>
        </w:rPr>
      </w:pPr>
    </w:p>
    <w:p w:rsidRPr="00386ADE" w:rsidR="00812456" w:rsidP="003F4B37" w:rsidRDefault="00812456" w14:paraId="0E045F7A" w14:textId="068967A3">
      <w:pPr>
        <w:pStyle w:val="NormalWeb"/>
        <w:spacing w:before="0" w:beforeAutospacing="0" w:after="0" w:afterAutospacing="0"/>
        <w:rPr>
          <w:rFonts w:ascii="Arial" w:hAnsi="Arial" w:cs="Arial"/>
        </w:rPr>
      </w:pPr>
      <w:r w:rsidRPr="00386ADE">
        <w:rPr>
          <w:rFonts w:ascii="Arial" w:hAnsi="Arial" w:cs="Arial"/>
        </w:rPr>
        <w:t xml:space="preserve">Department of Education webpage viewed 22 March 2024, </w:t>
      </w:r>
      <w:hyperlink w:history="1" r:id="rId15">
        <w:r w:rsidRPr="00386ADE">
          <w:rPr>
            <w:rStyle w:val="Hyperlink"/>
            <w:rFonts w:ascii="Arial" w:hAnsi="Arial" w:cs="Arial"/>
          </w:rPr>
          <w:t>Literacy Teaching Toolkit (education.vic.gov.au)</w:t>
        </w:r>
      </w:hyperlink>
    </w:p>
    <w:p w:rsidRPr="00386ADE" w:rsidR="00812456" w:rsidP="003F4B37" w:rsidRDefault="00812456" w14:paraId="74CA3068" w14:textId="77777777">
      <w:pPr>
        <w:pStyle w:val="NormalWeb"/>
        <w:spacing w:before="0" w:beforeAutospacing="0" w:after="0" w:afterAutospacing="0"/>
        <w:rPr>
          <w:rFonts w:ascii="Arial" w:hAnsi="Arial" w:cs="Arial"/>
        </w:rPr>
      </w:pPr>
    </w:p>
    <w:p w:rsidRPr="00386ADE" w:rsidR="00812456" w:rsidP="003F4B37" w:rsidRDefault="00812456" w14:paraId="785023FB" w14:textId="7DB551FD">
      <w:pPr>
        <w:pStyle w:val="NormalWeb"/>
        <w:spacing w:before="0" w:beforeAutospacing="0" w:after="0" w:afterAutospacing="0"/>
        <w:rPr>
          <w:rFonts w:ascii="Arial" w:hAnsi="Arial" w:cs="Arial"/>
        </w:rPr>
      </w:pPr>
      <w:r w:rsidRPr="00386ADE">
        <w:rPr>
          <w:rFonts w:ascii="Arial" w:hAnsi="Arial" w:cs="Arial"/>
        </w:rPr>
        <w:t xml:space="preserve">Department of Education webpage viewed 22 March 2024, </w:t>
      </w:r>
      <w:hyperlink w:history="1" r:id="rId16">
        <w:r w:rsidRPr="00386ADE">
          <w:rPr>
            <w:rStyle w:val="Hyperlink"/>
            <w:rFonts w:ascii="Arial" w:hAnsi="Arial" w:cs="Arial"/>
          </w:rPr>
          <w:t>Mathematics Teaching Toolkit (education.vic.gov.au)</w:t>
        </w:r>
      </w:hyperlink>
    </w:p>
    <w:p w:rsidRPr="00386ADE" w:rsidR="00812456" w:rsidP="003F4B37" w:rsidRDefault="00812456" w14:paraId="4E655DC6" w14:textId="77777777">
      <w:pPr>
        <w:pStyle w:val="NormalWeb"/>
        <w:spacing w:before="0" w:beforeAutospacing="0" w:after="0" w:afterAutospacing="0"/>
        <w:rPr>
          <w:rFonts w:ascii="Arial" w:hAnsi="Arial" w:cs="Arial"/>
        </w:rPr>
      </w:pPr>
    </w:p>
    <w:p w:rsidRPr="00386ADE" w:rsidR="00A27DFA" w:rsidP="003F4B37" w:rsidRDefault="00812456" w14:paraId="14C0B358" w14:textId="1A6C78DC">
      <w:pPr>
        <w:pStyle w:val="NormalWeb"/>
        <w:spacing w:before="0" w:beforeAutospacing="0" w:after="0" w:afterAutospacing="0"/>
        <w:rPr>
          <w:rFonts w:ascii="Arial" w:hAnsi="Arial" w:cs="Arial"/>
        </w:rPr>
      </w:pPr>
      <w:r w:rsidRPr="00386ADE">
        <w:rPr>
          <w:rFonts w:ascii="Arial" w:hAnsi="Arial" w:cs="Arial"/>
        </w:rPr>
        <w:t xml:space="preserve">Department of Education webpage viewed 22 March 2024, </w:t>
      </w:r>
      <w:hyperlink w:history="1" r:id="rId17">
        <w:r w:rsidRPr="00386ADE">
          <w:rPr>
            <w:rStyle w:val="Hyperlink"/>
            <w:rFonts w:ascii="Arial" w:hAnsi="Arial" w:cs="Arial"/>
          </w:rPr>
          <w:t>Student voice practice guide (Amplify) (education.vic.gov.au)</w:t>
        </w:r>
      </w:hyperlink>
    </w:p>
    <w:p w:rsidRPr="00386ADE" w:rsidR="00812456" w:rsidP="003F4B37" w:rsidRDefault="00812456" w14:paraId="05AF4336" w14:textId="77777777">
      <w:pPr>
        <w:pStyle w:val="NormalWeb"/>
        <w:spacing w:before="0" w:beforeAutospacing="0" w:after="0" w:afterAutospacing="0"/>
        <w:rPr>
          <w:rFonts w:ascii="Arial" w:hAnsi="Arial" w:cs="Arial"/>
          <w:b/>
          <w:bCs/>
          <w:color w:val="3D85C6"/>
        </w:rPr>
      </w:pPr>
    </w:p>
    <w:p w:rsidRPr="00386ADE" w:rsidR="00812456" w:rsidP="00812456" w:rsidRDefault="00812456" w14:paraId="366B69D0" w14:textId="77777777">
      <w:pPr>
        <w:pStyle w:val="NormalWeb"/>
        <w:spacing w:before="0" w:beforeAutospacing="0" w:after="0" w:afterAutospacing="0"/>
        <w:rPr>
          <w:rFonts w:ascii="Arial" w:hAnsi="Arial" w:cs="Arial"/>
        </w:rPr>
      </w:pPr>
      <w:r w:rsidRPr="00386ADE">
        <w:rPr>
          <w:rFonts w:ascii="Arial" w:hAnsi="Arial" w:cs="Arial"/>
        </w:rPr>
        <w:t xml:space="preserve">Institute of Positive Education webpage, viewed 22 March 2024, </w:t>
      </w:r>
      <w:hyperlink w:history="1" r:id="rId18">
        <w:r w:rsidRPr="00386ADE">
          <w:rPr>
            <w:rStyle w:val="Hyperlink"/>
            <w:rFonts w:ascii="Arial" w:hAnsi="Arial" w:cs="Arial"/>
          </w:rPr>
          <w:t>Institute of Positive Education</w:t>
        </w:r>
      </w:hyperlink>
      <w:r w:rsidRPr="00386ADE">
        <w:rPr>
          <w:rFonts w:ascii="Arial" w:hAnsi="Arial" w:cs="Arial"/>
        </w:rPr>
        <w:t xml:space="preserve"> </w:t>
      </w:r>
    </w:p>
    <w:p w:rsidRPr="00386ADE" w:rsidR="00812456" w:rsidP="00812456" w:rsidRDefault="00812456" w14:paraId="51C72FF2" w14:textId="77777777">
      <w:pPr>
        <w:pStyle w:val="NormalWeb"/>
        <w:spacing w:before="0" w:beforeAutospacing="0" w:after="0" w:afterAutospacing="0"/>
        <w:rPr>
          <w:rFonts w:ascii="Arial" w:hAnsi="Arial" w:cs="Arial"/>
        </w:rPr>
      </w:pPr>
    </w:p>
    <w:p w:rsidRPr="00386ADE" w:rsidR="00812456" w:rsidP="00812456" w:rsidRDefault="00812456" w14:paraId="61873985" w14:textId="77777777">
      <w:pPr>
        <w:pStyle w:val="NormalWeb"/>
        <w:spacing w:before="0" w:beforeAutospacing="0" w:after="0" w:afterAutospacing="0"/>
        <w:rPr>
          <w:rFonts w:ascii="Arial" w:hAnsi="Arial" w:cs="Arial"/>
        </w:rPr>
      </w:pPr>
      <w:r w:rsidRPr="00386ADE">
        <w:rPr>
          <w:rFonts w:ascii="Arial" w:hAnsi="Arial" w:cs="Arial"/>
          <w:color w:val="333333"/>
          <w:shd w:val="clear" w:color="auto" w:fill="FFFFFF"/>
        </w:rPr>
        <w:t>Kunc, N. (1992). The need to belong: Rediscovering Maslow's hierarchy of needs. In R. A. Villa, J. S. Thousand, W. Stainback, &amp; S. Stainback (Eds.), </w:t>
      </w:r>
      <w:r w:rsidRPr="00386ADE">
        <w:rPr>
          <w:rStyle w:val="Emphasis"/>
          <w:rFonts w:ascii="Arial" w:hAnsi="Arial" w:cs="Arial"/>
          <w:color w:val="333333"/>
          <w:shd w:val="clear" w:color="auto" w:fill="FFFFFF"/>
        </w:rPr>
        <w:t>Restructuring for caring and effective education: An administrative guide to creating heterogeneous schools</w:t>
      </w:r>
      <w:r w:rsidRPr="00386ADE">
        <w:rPr>
          <w:rFonts w:ascii="Arial" w:hAnsi="Arial" w:cs="Arial"/>
          <w:color w:val="333333"/>
          <w:shd w:val="clear" w:color="auto" w:fill="FFFFFF"/>
        </w:rPr>
        <w:t> (pp. 25–39). Paul H. Brookes Publishing.</w:t>
      </w:r>
    </w:p>
    <w:p w:rsidRPr="003A00B4" w:rsidR="002647BB" w:rsidP="005D3D78" w:rsidRDefault="002647BB" w14:paraId="2B976676" w14:textId="761CDAD3">
      <w:pPr>
        <w:rPr>
          <w:rFonts w:ascii="Arial" w:hAnsi="Arial" w:cs="Arial"/>
          <w:noProof/>
          <w:sz w:val="18"/>
          <w:szCs w:val="18"/>
        </w:rPr>
      </w:pPr>
    </w:p>
    <w:sectPr w:rsidRPr="003A00B4" w:rsidR="002647BB" w:rsidSect="00B230DB">
      <w:headerReference w:type="default" r:id="rId19"/>
      <w:footerReference w:type="default" r:id="rId20"/>
      <w:headerReference w:type="first" r:id="rId21"/>
      <w:footerReference w:type="first" r:id="rId22"/>
      <w:type w:val="continuous"/>
      <w:pgSz w:w="11907" w:h="16840" w:orient="portrait"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29D3" w:rsidP="00304EA1" w:rsidRDefault="00FD29D3" w14:paraId="39CCD8F9" w14:textId="77777777">
      <w:pPr>
        <w:spacing w:after="0" w:line="240" w:lineRule="auto"/>
      </w:pPr>
      <w:r>
        <w:separator/>
      </w:r>
    </w:p>
  </w:endnote>
  <w:endnote w:type="continuationSeparator" w:id="0">
    <w:p w:rsidR="00FD29D3" w:rsidP="00304EA1" w:rsidRDefault="00FD29D3" w14:paraId="3270DF9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Pr="00D06414" w:rsidR="00FD29D3" w:rsidTr="00BB3BAB" w14:paraId="6474FD3B" w14:textId="77777777">
      <w:trPr>
        <w:trHeight w:val="476"/>
      </w:trPr>
      <w:tc>
        <w:tcPr>
          <w:tcW w:w="1667" w:type="pct"/>
          <w:tcMar>
            <w:left w:w="0" w:type="dxa"/>
            <w:right w:w="0" w:type="dxa"/>
          </w:tcMar>
        </w:tcPr>
        <w:p w:rsidRPr="00D06414" w:rsidR="00FD29D3" w:rsidP="00BB3BAB" w:rsidRDefault="00FD29D3" w14:paraId="0EC15F2D" w14:textId="77777777">
          <w:pPr>
            <w:tabs>
              <w:tab w:val="left" w:pos="142"/>
              <w:tab w:val="right" w:pos="9639"/>
            </w:tabs>
            <w:spacing w:before="120" w:line="240" w:lineRule="exact"/>
            <w:rPr>
              <w:rFonts w:cs="Arial" w:asciiTheme="majorHAnsi" w:hAnsiTheme="majorHAnsi"/>
              <w:color w:val="999999" w:themeColor="accent2"/>
              <w:sz w:val="18"/>
              <w:szCs w:val="18"/>
            </w:rPr>
          </w:pPr>
          <w:r w:rsidRPr="00BB3BAB">
            <w:rPr>
              <w:rFonts w:cs="Arial" w:asciiTheme="majorHAnsi" w:hAnsiTheme="majorHAnsi"/>
              <w:color w:val="FFFFFF" w:themeColor="background1"/>
              <w:sz w:val="18"/>
              <w:szCs w:val="18"/>
            </w:rPr>
            <w:t xml:space="preserve">© </w:t>
          </w:r>
          <w:hyperlink w:history="1" r:id="rId1">
            <w:r w:rsidRPr="00BB3BAB">
              <w:rPr>
                <w:rFonts w:cs="Arial" w:asciiTheme="majorHAnsi" w:hAnsiTheme="majorHAnsi"/>
                <w:color w:val="FFFFFF" w:themeColor="background1"/>
                <w:sz w:val="18"/>
                <w:szCs w:val="18"/>
                <w:u w:val="single"/>
              </w:rPr>
              <w:t>VCAA</w:t>
            </w:r>
          </w:hyperlink>
        </w:p>
      </w:tc>
      <w:tc>
        <w:tcPr>
          <w:tcW w:w="1667" w:type="pct"/>
          <w:tcMar>
            <w:left w:w="0" w:type="dxa"/>
            <w:right w:w="0" w:type="dxa"/>
          </w:tcMar>
        </w:tcPr>
        <w:p w:rsidRPr="00D06414" w:rsidR="00FD29D3" w:rsidP="00D06414" w:rsidRDefault="00FD29D3" w14:paraId="2B6CFA85" w14:textId="77777777">
          <w:pPr>
            <w:tabs>
              <w:tab w:val="right" w:pos="9639"/>
            </w:tabs>
            <w:spacing w:before="120" w:line="240" w:lineRule="exact"/>
            <w:rPr>
              <w:rFonts w:cs="Arial" w:asciiTheme="majorHAnsi" w:hAnsiTheme="majorHAnsi"/>
              <w:color w:val="999999" w:themeColor="accent2"/>
              <w:sz w:val="18"/>
              <w:szCs w:val="18"/>
            </w:rPr>
          </w:pPr>
        </w:p>
      </w:tc>
      <w:tc>
        <w:tcPr>
          <w:tcW w:w="1666" w:type="pct"/>
          <w:tcMar>
            <w:left w:w="0" w:type="dxa"/>
            <w:right w:w="0" w:type="dxa"/>
          </w:tcMar>
        </w:tcPr>
        <w:p w:rsidRPr="00D06414" w:rsidR="00FD29D3" w:rsidP="00D06414" w:rsidRDefault="00FD29D3" w14:paraId="0ED38A80" w14:textId="388A096B">
          <w:pPr>
            <w:tabs>
              <w:tab w:val="right" w:pos="9639"/>
            </w:tabs>
            <w:spacing w:before="120" w:line="240" w:lineRule="exact"/>
            <w:jc w:val="right"/>
            <w:rPr>
              <w:rFonts w:cs="Arial" w:asciiTheme="majorHAnsi" w:hAnsiTheme="majorHAnsi"/>
              <w:color w:val="999999" w:themeColor="accent2"/>
              <w:sz w:val="18"/>
              <w:szCs w:val="18"/>
            </w:rPr>
          </w:pPr>
          <w:r w:rsidRPr="00D06414">
            <w:rPr>
              <w:rFonts w:cs="Arial" w:asciiTheme="majorHAnsi" w:hAnsiTheme="majorHAnsi"/>
              <w:color w:val="999999" w:themeColor="accent2"/>
              <w:sz w:val="18"/>
              <w:szCs w:val="18"/>
            </w:rPr>
            <w:t xml:space="preserve">Page </w:t>
          </w:r>
          <w:r w:rsidRPr="00D06414">
            <w:rPr>
              <w:rFonts w:cs="Arial" w:asciiTheme="majorHAnsi" w:hAnsiTheme="majorHAnsi"/>
              <w:color w:val="999999" w:themeColor="accent2"/>
              <w:sz w:val="18"/>
              <w:szCs w:val="18"/>
            </w:rPr>
            <w:fldChar w:fldCharType="begin"/>
          </w:r>
          <w:r w:rsidRPr="00D06414">
            <w:rPr>
              <w:rFonts w:cs="Arial" w:asciiTheme="majorHAnsi" w:hAnsiTheme="majorHAnsi"/>
              <w:color w:val="999999" w:themeColor="accent2"/>
              <w:sz w:val="18"/>
              <w:szCs w:val="18"/>
            </w:rPr>
            <w:instrText xml:space="preserve"> PAGE   \* MERGEFORMAT </w:instrText>
          </w:r>
          <w:r w:rsidRPr="00D06414">
            <w:rPr>
              <w:rFonts w:cs="Arial" w:asciiTheme="majorHAnsi" w:hAnsiTheme="majorHAnsi"/>
              <w:color w:val="999999" w:themeColor="accent2"/>
              <w:sz w:val="18"/>
              <w:szCs w:val="18"/>
            </w:rPr>
            <w:fldChar w:fldCharType="separate"/>
          </w:r>
          <w:r w:rsidR="00850410">
            <w:rPr>
              <w:rFonts w:cs="Arial" w:asciiTheme="majorHAnsi" w:hAnsiTheme="majorHAnsi"/>
              <w:noProof/>
              <w:color w:val="999999" w:themeColor="accent2"/>
              <w:sz w:val="18"/>
              <w:szCs w:val="18"/>
            </w:rPr>
            <w:t>3</w:t>
          </w:r>
          <w:r w:rsidRPr="00D06414">
            <w:rPr>
              <w:rFonts w:cs="Arial" w:asciiTheme="majorHAnsi" w:hAnsiTheme="majorHAnsi"/>
              <w:color w:val="999999" w:themeColor="accent2"/>
              <w:sz w:val="18"/>
              <w:szCs w:val="18"/>
            </w:rPr>
            <w:fldChar w:fldCharType="end"/>
          </w:r>
        </w:p>
      </w:tc>
    </w:tr>
  </w:tbl>
  <w:p w:rsidRPr="00D06414" w:rsidR="00FD29D3" w:rsidP="00D06414" w:rsidRDefault="00FD29D3" w14:paraId="7723AB21" w14:textId="77777777">
    <w:pPr>
      <w:pStyle w:val="Footer"/>
      <w:rPr>
        <w:sz w:val="2"/>
      </w:rPr>
    </w:pPr>
    <w:r>
      <w:rPr>
        <w:rFonts w:cs="Arial" w:asciiTheme="majorHAnsi" w:hAnsiTheme="majorHAnsi"/>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Pr="00D06414" w:rsidR="00FD29D3" w:rsidTr="000F5AAF" w14:paraId="36A4ADC1" w14:textId="77777777">
      <w:tc>
        <w:tcPr>
          <w:tcW w:w="1459" w:type="pct"/>
          <w:tcMar>
            <w:left w:w="0" w:type="dxa"/>
            <w:right w:w="0" w:type="dxa"/>
          </w:tcMar>
        </w:tcPr>
        <w:p w:rsidRPr="00D06414" w:rsidR="00FD29D3" w:rsidP="00D06414" w:rsidRDefault="00FD29D3" w14:paraId="74DB1FC2" w14:textId="77777777">
          <w:pPr>
            <w:tabs>
              <w:tab w:val="right" w:pos="9639"/>
            </w:tabs>
            <w:spacing w:before="120" w:line="240" w:lineRule="exact"/>
            <w:rPr>
              <w:rFonts w:cs="Arial" w:asciiTheme="majorHAnsi" w:hAnsiTheme="majorHAnsi"/>
              <w:color w:val="999999" w:themeColor="accent2"/>
              <w:sz w:val="18"/>
              <w:szCs w:val="18"/>
            </w:rPr>
          </w:pPr>
          <w:r w:rsidRPr="000F5AAF">
            <w:rPr>
              <w:rFonts w:cs="Arial" w:asciiTheme="majorHAnsi" w:hAnsiTheme="majorHAnsi"/>
              <w:color w:val="FFFFFF" w:themeColor="background1"/>
              <w:sz w:val="18"/>
              <w:szCs w:val="18"/>
            </w:rPr>
            <w:t xml:space="preserve">© </w:t>
          </w:r>
          <w:hyperlink w:history="1" r:id="rId1">
            <w:r w:rsidRPr="000F5AAF">
              <w:rPr>
                <w:rFonts w:cs="Arial" w:asciiTheme="majorHAnsi" w:hAnsiTheme="majorHAnsi"/>
                <w:color w:val="FFFFFF" w:themeColor="background1"/>
                <w:sz w:val="18"/>
                <w:szCs w:val="18"/>
                <w:u w:val="single"/>
              </w:rPr>
              <w:t>VCAA</w:t>
            </w:r>
          </w:hyperlink>
        </w:p>
      </w:tc>
      <w:tc>
        <w:tcPr>
          <w:tcW w:w="1771" w:type="pct"/>
          <w:tcMar>
            <w:left w:w="0" w:type="dxa"/>
            <w:right w:w="0" w:type="dxa"/>
          </w:tcMar>
        </w:tcPr>
        <w:p w:rsidRPr="00D06414" w:rsidR="00FD29D3" w:rsidP="00D06414" w:rsidRDefault="00FD29D3" w14:paraId="155E4DF7" w14:textId="77777777">
          <w:pPr>
            <w:tabs>
              <w:tab w:val="right" w:pos="9639"/>
            </w:tabs>
            <w:spacing w:before="120" w:line="240" w:lineRule="exact"/>
            <w:rPr>
              <w:rFonts w:cs="Arial" w:asciiTheme="majorHAnsi" w:hAnsiTheme="majorHAnsi"/>
              <w:color w:val="999999" w:themeColor="accent2"/>
              <w:sz w:val="18"/>
              <w:szCs w:val="18"/>
            </w:rPr>
          </w:pPr>
        </w:p>
      </w:tc>
      <w:tc>
        <w:tcPr>
          <w:tcW w:w="1770" w:type="pct"/>
          <w:tcMar>
            <w:left w:w="0" w:type="dxa"/>
            <w:right w:w="0" w:type="dxa"/>
          </w:tcMar>
        </w:tcPr>
        <w:p w:rsidRPr="00D06414" w:rsidR="00FD29D3" w:rsidP="00D06414" w:rsidRDefault="00FD29D3" w14:paraId="5DE1B334" w14:textId="77777777">
          <w:pPr>
            <w:tabs>
              <w:tab w:val="right" w:pos="9639"/>
            </w:tabs>
            <w:spacing w:before="120" w:line="240" w:lineRule="exact"/>
            <w:jc w:val="right"/>
            <w:rPr>
              <w:rFonts w:cs="Arial" w:asciiTheme="majorHAnsi" w:hAnsiTheme="majorHAnsi"/>
              <w:color w:val="999999" w:themeColor="accent2"/>
              <w:sz w:val="18"/>
              <w:szCs w:val="18"/>
            </w:rPr>
          </w:pPr>
        </w:p>
      </w:tc>
    </w:tr>
  </w:tbl>
  <w:p w:rsidRPr="00D06414" w:rsidR="00FD29D3" w:rsidP="00D06414" w:rsidRDefault="000F5AAF" w14:paraId="66AA931D" w14:textId="10D75063">
    <w:pPr>
      <w:pStyle w:val="Footer"/>
      <w:rPr>
        <w:sz w:val="2"/>
      </w:rPr>
    </w:pPr>
    <w:r>
      <w:rPr>
        <w:rFonts w:cs="Arial" w:asciiTheme="majorHAnsi" w:hAnsiTheme="majorHAnsi"/>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29D3" w:rsidP="00304EA1" w:rsidRDefault="00FD29D3" w14:paraId="6A427F40" w14:textId="77777777">
      <w:pPr>
        <w:spacing w:after="0" w:line="240" w:lineRule="auto"/>
      </w:pPr>
      <w:r>
        <w:separator/>
      </w:r>
    </w:p>
  </w:footnote>
  <w:footnote w:type="continuationSeparator" w:id="0">
    <w:p w:rsidR="00FD29D3" w:rsidP="00304EA1" w:rsidRDefault="00FD29D3" w14:paraId="13540A3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86DE4" w:rsidR="00FD29D3" w:rsidP="00D86DE4" w:rsidRDefault="000B783C" w14:paraId="56221396" w14:textId="2E45D900">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A27DFA">
          <w:rPr>
            <w:color w:val="999999" w:themeColor="accent2"/>
          </w:rPr>
          <w:t>Surf Coast Secondary College Program Summary</w:t>
        </w:r>
      </w:sdtContent>
    </w:sdt>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370BC" w:rsidR="00FD29D3" w:rsidP="00970580" w:rsidRDefault="00FD29D3" w14:paraId="0DCB6D50" w14:textId="512449EE">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hint="default" w:ascii="Symbol" w:hAnsi="Symbol"/>
      </w:rPr>
    </w:lvl>
    <w:lvl w:ilvl="1" w:tplc="0C090003" w:tentative="1">
      <w:start w:val="1"/>
      <w:numFmt w:val="bullet"/>
      <w:lvlText w:val="o"/>
      <w:lvlJc w:val="left"/>
      <w:pPr>
        <w:ind w:left="2007" w:hanging="360"/>
      </w:pPr>
      <w:rPr>
        <w:rFonts w:hint="default" w:ascii="Courier New" w:hAnsi="Courier New" w:cs="Courier New"/>
      </w:rPr>
    </w:lvl>
    <w:lvl w:ilvl="2" w:tplc="0C090005" w:tentative="1">
      <w:start w:val="1"/>
      <w:numFmt w:val="bullet"/>
      <w:lvlText w:val=""/>
      <w:lvlJc w:val="left"/>
      <w:pPr>
        <w:ind w:left="2727" w:hanging="360"/>
      </w:pPr>
      <w:rPr>
        <w:rFonts w:hint="default" w:ascii="Wingdings" w:hAnsi="Wingdings"/>
      </w:rPr>
    </w:lvl>
    <w:lvl w:ilvl="3" w:tplc="0C090001" w:tentative="1">
      <w:start w:val="1"/>
      <w:numFmt w:val="bullet"/>
      <w:lvlText w:val=""/>
      <w:lvlJc w:val="left"/>
      <w:pPr>
        <w:ind w:left="3447" w:hanging="360"/>
      </w:pPr>
      <w:rPr>
        <w:rFonts w:hint="default" w:ascii="Symbol" w:hAnsi="Symbol"/>
      </w:rPr>
    </w:lvl>
    <w:lvl w:ilvl="4" w:tplc="0C090003" w:tentative="1">
      <w:start w:val="1"/>
      <w:numFmt w:val="bullet"/>
      <w:lvlText w:val="o"/>
      <w:lvlJc w:val="left"/>
      <w:pPr>
        <w:ind w:left="4167" w:hanging="360"/>
      </w:pPr>
      <w:rPr>
        <w:rFonts w:hint="default" w:ascii="Courier New" w:hAnsi="Courier New" w:cs="Courier New"/>
      </w:rPr>
    </w:lvl>
    <w:lvl w:ilvl="5" w:tplc="0C090005" w:tentative="1">
      <w:start w:val="1"/>
      <w:numFmt w:val="bullet"/>
      <w:lvlText w:val=""/>
      <w:lvlJc w:val="left"/>
      <w:pPr>
        <w:ind w:left="4887" w:hanging="360"/>
      </w:pPr>
      <w:rPr>
        <w:rFonts w:hint="default" w:ascii="Wingdings" w:hAnsi="Wingdings"/>
      </w:rPr>
    </w:lvl>
    <w:lvl w:ilvl="6" w:tplc="0C090001" w:tentative="1">
      <w:start w:val="1"/>
      <w:numFmt w:val="bullet"/>
      <w:lvlText w:val=""/>
      <w:lvlJc w:val="left"/>
      <w:pPr>
        <w:ind w:left="5607" w:hanging="360"/>
      </w:pPr>
      <w:rPr>
        <w:rFonts w:hint="default" w:ascii="Symbol" w:hAnsi="Symbol"/>
      </w:rPr>
    </w:lvl>
    <w:lvl w:ilvl="7" w:tplc="0C090003" w:tentative="1">
      <w:start w:val="1"/>
      <w:numFmt w:val="bullet"/>
      <w:lvlText w:val="o"/>
      <w:lvlJc w:val="left"/>
      <w:pPr>
        <w:ind w:left="6327" w:hanging="360"/>
      </w:pPr>
      <w:rPr>
        <w:rFonts w:hint="default" w:ascii="Courier New" w:hAnsi="Courier New" w:cs="Courier New"/>
      </w:rPr>
    </w:lvl>
    <w:lvl w:ilvl="8" w:tplc="0C090005" w:tentative="1">
      <w:start w:val="1"/>
      <w:numFmt w:val="bullet"/>
      <w:lvlText w:val=""/>
      <w:lvlJc w:val="left"/>
      <w:pPr>
        <w:ind w:left="7047" w:hanging="360"/>
      </w:pPr>
      <w:rPr>
        <w:rFonts w:hint="default" w:ascii="Wingdings" w:hAnsi="Wingdings"/>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hint="default" w:ascii="Symbol" w:hAnsi="Symbol"/>
      </w:rPr>
    </w:lvl>
    <w:lvl w:ilvl="1" w:tplc="0C090003" w:tentative="1">
      <w:start w:val="1"/>
      <w:numFmt w:val="bullet"/>
      <w:lvlText w:val="o"/>
      <w:lvlJc w:val="left"/>
      <w:pPr>
        <w:ind w:left="6468" w:hanging="360"/>
      </w:pPr>
      <w:rPr>
        <w:rFonts w:hint="default" w:ascii="Courier New" w:hAnsi="Courier New" w:cs="Courier New"/>
      </w:rPr>
    </w:lvl>
    <w:lvl w:ilvl="2" w:tplc="0C090005" w:tentative="1">
      <w:start w:val="1"/>
      <w:numFmt w:val="bullet"/>
      <w:lvlText w:val=""/>
      <w:lvlJc w:val="left"/>
      <w:pPr>
        <w:ind w:left="7188" w:hanging="360"/>
      </w:pPr>
      <w:rPr>
        <w:rFonts w:hint="default" w:ascii="Wingdings" w:hAnsi="Wingdings"/>
      </w:rPr>
    </w:lvl>
    <w:lvl w:ilvl="3" w:tplc="0C090001" w:tentative="1">
      <w:start w:val="1"/>
      <w:numFmt w:val="bullet"/>
      <w:lvlText w:val=""/>
      <w:lvlJc w:val="left"/>
      <w:pPr>
        <w:ind w:left="7908" w:hanging="360"/>
      </w:pPr>
      <w:rPr>
        <w:rFonts w:hint="default" w:ascii="Symbol" w:hAnsi="Symbol"/>
      </w:rPr>
    </w:lvl>
    <w:lvl w:ilvl="4" w:tplc="0C090003" w:tentative="1">
      <w:start w:val="1"/>
      <w:numFmt w:val="bullet"/>
      <w:lvlText w:val="o"/>
      <w:lvlJc w:val="left"/>
      <w:pPr>
        <w:ind w:left="8628" w:hanging="360"/>
      </w:pPr>
      <w:rPr>
        <w:rFonts w:hint="default" w:ascii="Courier New" w:hAnsi="Courier New" w:cs="Courier New"/>
      </w:rPr>
    </w:lvl>
    <w:lvl w:ilvl="5" w:tplc="0C090005" w:tentative="1">
      <w:start w:val="1"/>
      <w:numFmt w:val="bullet"/>
      <w:lvlText w:val=""/>
      <w:lvlJc w:val="left"/>
      <w:pPr>
        <w:ind w:left="9348" w:hanging="360"/>
      </w:pPr>
      <w:rPr>
        <w:rFonts w:hint="default" w:ascii="Wingdings" w:hAnsi="Wingdings"/>
      </w:rPr>
    </w:lvl>
    <w:lvl w:ilvl="6" w:tplc="0C090001" w:tentative="1">
      <w:start w:val="1"/>
      <w:numFmt w:val="bullet"/>
      <w:lvlText w:val=""/>
      <w:lvlJc w:val="left"/>
      <w:pPr>
        <w:ind w:left="10068" w:hanging="360"/>
      </w:pPr>
      <w:rPr>
        <w:rFonts w:hint="default" w:ascii="Symbol" w:hAnsi="Symbol"/>
      </w:rPr>
    </w:lvl>
    <w:lvl w:ilvl="7" w:tplc="0C090003" w:tentative="1">
      <w:start w:val="1"/>
      <w:numFmt w:val="bullet"/>
      <w:lvlText w:val="o"/>
      <w:lvlJc w:val="left"/>
      <w:pPr>
        <w:ind w:left="10788" w:hanging="360"/>
      </w:pPr>
      <w:rPr>
        <w:rFonts w:hint="default" w:ascii="Courier New" w:hAnsi="Courier New" w:cs="Courier New"/>
      </w:rPr>
    </w:lvl>
    <w:lvl w:ilvl="8" w:tplc="0C090005" w:tentative="1">
      <w:start w:val="1"/>
      <w:numFmt w:val="bullet"/>
      <w:lvlText w:val=""/>
      <w:lvlJc w:val="left"/>
      <w:pPr>
        <w:ind w:left="11508" w:hanging="360"/>
      </w:pPr>
      <w:rPr>
        <w:rFonts w:hint="default" w:ascii="Wingdings" w:hAnsi="Wingdings"/>
      </w:rPr>
    </w:lvl>
  </w:abstractNum>
  <w:num w:numId="1" w16cid:durableId="238515443">
    <w:abstractNumId w:val="4"/>
  </w:num>
  <w:num w:numId="2" w16cid:durableId="1842963058">
    <w:abstractNumId w:val="2"/>
  </w:num>
  <w:num w:numId="3" w16cid:durableId="1514808351">
    <w:abstractNumId w:val="1"/>
  </w:num>
  <w:num w:numId="4" w16cid:durableId="2079791242">
    <w:abstractNumId w:val="0"/>
  </w:num>
  <w:num w:numId="5" w16cid:durableId="1169491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trackRevisions w:val="fals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780E"/>
    <w:rsid w:val="00065CC6"/>
    <w:rsid w:val="000A71F7"/>
    <w:rsid w:val="000A74E4"/>
    <w:rsid w:val="000A7AF3"/>
    <w:rsid w:val="000B783C"/>
    <w:rsid w:val="000F09E4"/>
    <w:rsid w:val="000F16FD"/>
    <w:rsid w:val="000F5AAF"/>
    <w:rsid w:val="00143520"/>
    <w:rsid w:val="00153AD2"/>
    <w:rsid w:val="001779EA"/>
    <w:rsid w:val="001D3246"/>
    <w:rsid w:val="002279BA"/>
    <w:rsid w:val="002329F3"/>
    <w:rsid w:val="00243F0D"/>
    <w:rsid w:val="00260767"/>
    <w:rsid w:val="002647BB"/>
    <w:rsid w:val="002754C1"/>
    <w:rsid w:val="002841C8"/>
    <w:rsid w:val="0028516B"/>
    <w:rsid w:val="002C6F90"/>
    <w:rsid w:val="002E4FB5"/>
    <w:rsid w:val="00302FB8"/>
    <w:rsid w:val="00304EA1"/>
    <w:rsid w:val="00314D81"/>
    <w:rsid w:val="00322FC6"/>
    <w:rsid w:val="0035293F"/>
    <w:rsid w:val="00386ADE"/>
    <w:rsid w:val="00391986"/>
    <w:rsid w:val="003A00B4"/>
    <w:rsid w:val="003C5E71"/>
    <w:rsid w:val="003F4B37"/>
    <w:rsid w:val="00417AA3"/>
    <w:rsid w:val="00425DFE"/>
    <w:rsid w:val="00434EDB"/>
    <w:rsid w:val="00440B32"/>
    <w:rsid w:val="0046078D"/>
    <w:rsid w:val="00495C80"/>
    <w:rsid w:val="004A2ED8"/>
    <w:rsid w:val="004F5BDA"/>
    <w:rsid w:val="0051631E"/>
    <w:rsid w:val="00537A1F"/>
    <w:rsid w:val="00566029"/>
    <w:rsid w:val="005923CB"/>
    <w:rsid w:val="005B391B"/>
    <w:rsid w:val="005D3D78"/>
    <w:rsid w:val="005E2EF0"/>
    <w:rsid w:val="005F4092"/>
    <w:rsid w:val="0068471E"/>
    <w:rsid w:val="00684F98"/>
    <w:rsid w:val="00693FFD"/>
    <w:rsid w:val="006D2159"/>
    <w:rsid w:val="006F787C"/>
    <w:rsid w:val="00702636"/>
    <w:rsid w:val="00724507"/>
    <w:rsid w:val="00751C6E"/>
    <w:rsid w:val="00773E6C"/>
    <w:rsid w:val="00781FB1"/>
    <w:rsid w:val="007B526A"/>
    <w:rsid w:val="007D1B6D"/>
    <w:rsid w:val="00812456"/>
    <w:rsid w:val="00813C37"/>
    <w:rsid w:val="008154B5"/>
    <w:rsid w:val="00823962"/>
    <w:rsid w:val="00850410"/>
    <w:rsid w:val="00852719"/>
    <w:rsid w:val="00860115"/>
    <w:rsid w:val="0088783C"/>
    <w:rsid w:val="009325D2"/>
    <w:rsid w:val="009370BC"/>
    <w:rsid w:val="00970580"/>
    <w:rsid w:val="0098739B"/>
    <w:rsid w:val="009B61E5"/>
    <w:rsid w:val="009D1E89"/>
    <w:rsid w:val="009E5707"/>
    <w:rsid w:val="00A17661"/>
    <w:rsid w:val="00A24B2D"/>
    <w:rsid w:val="00A27DFA"/>
    <w:rsid w:val="00A40966"/>
    <w:rsid w:val="00A921E0"/>
    <w:rsid w:val="00A922F4"/>
    <w:rsid w:val="00AE5526"/>
    <w:rsid w:val="00AF051B"/>
    <w:rsid w:val="00B01578"/>
    <w:rsid w:val="00B0738F"/>
    <w:rsid w:val="00B13D3B"/>
    <w:rsid w:val="00B230DB"/>
    <w:rsid w:val="00B26601"/>
    <w:rsid w:val="00B41951"/>
    <w:rsid w:val="00B53229"/>
    <w:rsid w:val="00B62480"/>
    <w:rsid w:val="00B81B70"/>
    <w:rsid w:val="00BB3BAB"/>
    <w:rsid w:val="00BD0724"/>
    <w:rsid w:val="00BD2B91"/>
    <w:rsid w:val="00BE5521"/>
    <w:rsid w:val="00BF6C23"/>
    <w:rsid w:val="00C53263"/>
    <w:rsid w:val="00C75F1D"/>
    <w:rsid w:val="00C95156"/>
    <w:rsid w:val="00CA0DC2"/>
    <w:rsid w:val="00CB68E8"/>
    <w:rsid w:val="00D04F01"/>
    <w:rsid w:val="00D06414"/>
    <w:rsid w:val="00D24E5A"/>
    <w:rsid w:val="00D338E4"/>
    <w:rsid w:val="00D51947"/>
    <w:rsid w:val="00D532F0"/>
    <w:rsid w:val="00D56E0F"/>
    <w:rsid w:val="00D77413"/>
    <w:rsid w:val="00D82759"/>
    <w:rsid w:val="00D86DE4"/>
    <w:rsid w:val="00DE1909"/>
    <w:rsid w:val="00DE51DB"/>
    <w:rsid w:val="00E23F1D"/>
    <w:rsid w:val="00E30E05"/>
    <w:rsid w:val="00E36361"/>
    <w:rsid w:val="00E55AE9"/>
    <w:rsid w:val="00EB0C84"/>
    <w:rsid w:val="00F17FDE"/>
    <w:rsid w:val="00F40D53"/>
    <w:rsid w:val="00F4525C"/>
    <w:rsid w:val="00F50D86"/>
    <w:rsid w:val="00FD29D3"/>
    <w:rsid w:val="00FE3F0B"/>
    <w:rsid w:val="6D53ADFD"/>
    <w:rsid w:val="7B06C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qFormat/>
    <w:rsid w:val="00C5326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04EA1"/>
    <w:rPr>
      <w:rFonts w:ascii="Tahoma" w:hAnsi="Tahoma" w:cs="Tahoma"/>
      <w:sz w:val="16"/>
      <w:szCs w:val="16"/>
    </w:rPr>
  </w:style>
  <w:style w:type="paragraph" w:styleId="VCAADocumenttitle" w:customStyle="1">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styleId="VCAAHeading1" w:customStyle="1">
    <w:name w:val="VCAA Heading 1"/>
    <w:qFormat/>
    <w:rsid w:val="00DE1909"/>
    <w:pPr>
      <w:spacing w:before="480" w:after="120" w:line="560" w:lineRule="exact"/>
      <w:outlineLvl w:val="1"/>
    </w:pPr>
    <w:rPr>
      <w:rFonts w:ascii="Arial" w:hAnsi="Arial" w:cs="Arial"/>
      <w:color w:val="0F7EB4"/>
      <w:sz w:val="48"/>
      <w:szCs w:val="40"/>
    </w:rPr>
  </w:style>
  <w:style w:type="paragraph" w:styleId="VCAAHeading2" w:customStyle="1">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styleId="VCAAHeading3" w:customStyle="1">
    <w:name w:val="VCAA Heading 3"/>
    <w:next w:val="VCAAbody"/>
    <w:qFormat/>
    <w:rsid w:val="00DE1909"/>
    <w:pPr>
      <w:spacing w:before="320" w:after="120" w:line="400" w:lineRule="exact"/>
      <w:outlineLvl w:val="3"/>
    </w:pPr>
    <w:rPr>
      <w:rFonts w:ascii="Arial" w:hAnsi="Arial" w:cs="Arial"/>
      <w:color w:val="0F7EB4"/>
      <w:sz w:val="32"/>
      <w:szCs w:val="24"/>
    </w:rPr>
  </w:style>
  <w:style w:type="paragraph" w:styleId="VCAAbody" w:customStyle="1">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VCAAtablecondensed" w:customStyle="1">
    <w:name w:val="VCAA table condensed"/>
    <w:qFormat/>
    <w:rsid w:val="00495C80"/>
    <w:pPr>
      <w:spacing w:before="80" w:after="80" w:line="280" w:lineRule="exact"/>
    </w:pPr>
    <w:rPr>
      <w:rFonts w:ascii="Arial Narrow" w:hAnsi="Arial Narrow" w:cs="Arial"/>
      <w:sz w:val="20"/>
    </w:rPr>
  </w:style>
  <w:style w:type="paragraph" w:styleId="VCAAtablecondensedheading" w:customStyle="1">
    <w:name w:val="VCAA table condensed heading"/>
    <w:basedOn w:val="VCAAtablecondensed"/>
    <w:qFormat/>
    <w:rsid w:val="00B13D3B"/>
    <w:rPr>
      <w:color w:val="FFFFFF" w:themeColor="background1"/>
    </w:rPr>
  </w:style>
  <w:style w:type="paragraph" w:styleId="VCAAbullet" w:customStyle="1">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styleId="VCAAbulletlevel2" w:customStyle="1">
    <w:name w:val="VCAA bullet level 2"/>
    <w:basedOn w:val="VCAAbullet"/>
    <w:qFormat/>
    <w:rsid w:val="00DE51DB"/>
    <w:pPr>
      <w:numPr>
        <w:numId w:val="2"/>
      </w:numPr>
      <w:ind w:left="850" w:hanging="425"/>
    </w:pPr>
  </w:style>
  <w:style w:type="paragraph" w:styleId="VCAAnumbers" w:customStyle="1">
    <w:name w:val="VCAA numbers"/>
    <w:basedOn w:val="VCAAbullet"/>
    <w:qFormat/>
    <w:rsid w:val="0035293F"/>
    <w:pPr>
      <w:numPr>
        <w:numId w:val="3"/>
      </w:numPr>
      <w:ind w:left="425" w:hanging="425"/>
    </w:pPr>
    <w:rPr>
      <w:lang w:val="en-US"/>
    </w:rPr>
  </w:style>
  <w:style w:type="paragraph" w:styleId="VCAAtablecondensedbullet" w:customStyle="1">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hAnsi="Arial Narrow" w:eastAsia="Times New Roman" w:cs="Arial"/>
      <w:sz w:val="20"/>
      <w:lang w:val="en-GB" w:eastAsia="ja-JP"/>
    </w:rPr>
  </w:style>
  <w:style w:type="paragraph" w:styleId="VCAAHeading4" w:customStyle="1">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styleId="VCAAcaptionsandfootnotes" w:customStyle="1">
    <w:name w:val="VCAA captions and footnotes"/>
    <w:basedOn w:val="VCAAbody"/>
    <w:qFormat/>
    <w:rsid w:val="00153AD2"/>
    <w:pPr>
      <w:spacing w:after="360"/>
    </w:pPr>
    <w:rPr>
      <w:sz w:val="18"/>
      <w:szCs w:val="18"/>
    </w:rPr>
  </w:style>
  <w:style w:type="paragraph" w:styleId="VCAAHeading5" w:customStyle="1">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styleId="VCAAtrademarkinfo" w:customStyle="1">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color="999999" w:themeColor="accent2" w:sz="8" w:space="0"/>
        <w:bottom w:val="single" w:color="999999" w:themeColor="accent2" w:sz="8" w:space="0"/>
      </w:tblBorders>
    </w:tblPr>
    <w:tblStylePr w:type="firstRow">
      <w:pPr>
        <w:spacing w:before="0" w:after="0" w:line="240" w:lineRule="auto"/>
      </w:pPr>
      <w:rPr>
        <w:b/>
        <w:bCs/>
      </w:rPr>
      <w:tblPr/>
      <w:tcPr>
        <w:tcBorders>
          <w:top w:val="single" w:color="999999" w:themeColor="accent2" w:sz="8" w:space="0"/>
          <w:left w:val="nil"/>
          <w:bottom w:val="single" w:color="999999" w:themeColor="accent2" w:sz="8" w:space="0"/>
          <w:right w:val="nil"/>
          <w:insideH w:val="nil"/>
          <w:insideV w:val="nil"/>
        </w:tcBorders>
      </w:tcPr>
    </w:tblStylePr>
    <w:tblStylePr w:type="lastRow">
      <w:pPr>
        <w:spacing w:before="0" w:after="0" w:line="240" w:lineRule="auto"/>
      </w:pPr>
      <w:rPr>
        <w:b/>
        <w:bCs/>
      </w:rPr>
      <w:tblPr/>
      <w:tcPr>
        <w:tcBorders>
          <w:top w:val="single" w:color="999999" w:themeColor="accent2" w:sz="8" w:space="0"/>
          <w:left w:val="nil"/>
          <w:bottom w:val="single" w:color="999999"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color="8DC63F" w:themeColor="accent4" w:sz="8" w:space="0"/>
        <w:bottom w:val="single" w:color="8DC63F" w:themeColor="accent4" w:sz="8" w:space="0"/>
      </w:tblBorders>
    </w:tblPr>
    <w:tblStylePr w:type="firstRow">
      <w:pPr>
        <w:spacing w:before="0" w:after="0" w:line="240" w:lineRule="auto"/>
      </w:pPr>
      <w:rPr>
        <w:b/>
        <w:bCs/>
      </w:rPr>
      <w:tblPr/>
      <w:tcPr>
        <w:tcBorders>
          <w:top w:val="single" w:color="8DC63F" w:themeColor="accent4" w:sz="8" w:space="0"/>
          <w:left w:val="nil"/>
          <w:bottom w:val="single" w:color="8DC63F" w:themeColor="accent4" w:sz="8" w:space="0"/>
          <w:right w:val="nil"/>
          <w:insideH w:val="nil"/>
          <w:insideV w:val="nil"/>
        </w:tcBorders>
      </w:tcPr>
    </w:tblStylePr>
    <w:tblStylePr w:type="lastRow">
      <w:pPr>
        <w:spacing w:before="0" w:after="0" w:line="240" w:lineRule="auto"/>
      </w:pPr>
      <w:rPr>
        <w:b/>
        <w:bCs/>
      </w:rPr>
      <w:tblPr/>
      <w:tcPr>
        <w:tcBorders>
          <w:top w:val="single" w:color="8DC63F" w:themeColor="accent4" w:sz="8" w:space="0"/>
          <w:left w:val="nil"/>
          <w:bottom w:val="single" w:color="8DC63F"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color="F78E1E" w:themeColor="accent5" w:sz="8" w:space="0"/>
        <w:bottom w:val="single" w:color="F78E1E" w:themeColor="accent5" w:sz="8" w:space="0"/>
      </w:tblBorders>
    </w:tblPr>
    <w:tblStylePr w:type="firstRow">
      <w:pPr>
        <w:spacing w:before="0" w:after="0" w:line="240" w:lineRule="auto"/>
      </w:pPr>
      <w:rPr>
        <w:b/>
        <w:bCs/>
      </w:rPr>
      <w:tblPr/>
      <w:tcPr>
        <w:tcBorders>
          <w:top w:val="single" w:color="F78E1E" w:themeColor="accent5" w:sz="8" w:space="0"/>
          <w:left w:val="nil"/>
          <w:bottom w:val="single" w:color="F78E1E" w:themeColor="accent5" w:sz="8" w:space="0"/>
          <w:right w:val="nil"/>
          <w:insideH w:val="nil"/>
          <w:insideV w:val="nil"/>
        </w:tcBorders>
      </w:tcPr>
    </w:tblStylePr>
    <w:tblStylePr w:type="lastRow">
      <w:pPr>
        <w:spacing w:before="0" w:after="0" w:line="240" w:lineRule="auto"/>
      </w:pPr>
      <w:rPr>
        <w:b/>
        <w:bCs/>
      </w:rPr>
      <w:tblPr/>
      <w:tcPr>
        <w:tcBorders>
          <w:top w:val="single" w:color="F78E1E" w:themeColor="accent5" w:sz="8" w:space="0"/>
          <w:left w:val="nil"/>
          <w:bottom w:val="single" w:color="F78E1E"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color="517AB7" w:themeColor="accent6" w:sz="8" w:space="0"/>
        <w:bottom w:val="single" w:color="517AB7" w:themeColor="accent6" w:sz="8" w:space="0"/>
      </w:tblBorders>
    </w:tblPr>
    <w:tblStylePr w:type="firstRow">
      <w:pPr>
        <w:spacing w:before="0" w:after="0" w:line="240" w:lineRule="auto"/>
      </w:pPr>
      <w:rPr>
        <w:b/>
        <w:bCs/>
      </w:rPr>
      <w:tblPr/>
      <w:tcPr>
        <w:tcBorders>
          <w:top w:val="single" w:color="517AB7" w:themeColor="accent6" w:sz="8" w:space="0"/>
          <w:left w:val="nil"/>
          <w:bottom w:val="single" w:color="517AB7" w:themeColor="accent6" w:sz="8" w:space="0"/>
          <w:right w:val="nil"/>
          <w:insideH w:val="nil"/>
          <w:insideV w:val="nil"/>
        </w:tcBorders>
      </w:tcPr>
    </w:tblStylePr>
    <w:tblStylePr w:type="lastRow">
      <w:pPr>
        <w:spacing w:before="0" w:after="0" w:line="240" w:lineRule="auto"/>
      </w:pPr>
      <w:rPr>
        <w:b/>
        <w:bCs/>
      </w:rPr>
      <w:tblPr/>
      <w:tcPr>
        <w:tcBorders>
          <w:top w:val="single" w:color="517AB7" w:themeColor="accent6" w:sz="8" w:space="0"/>
          <w:left w:val="nil"/>
          <w:bottom w:val="single" w:color="517AB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color="0099E3" w:themeColor="accent1" w:sz="8" w:space="0"/>
        <w:left w:val="single" w:color="0099E3" w:themeColor="accent1" w:sz="8" w:space="0"/>
        <w:bottom w:val="single" w:color="0099E3" w:themeColor="accent1" w:sz="8" w:space="0"/>
        <w:right w:val="single" w:color="0099E3" w:themeColor="accent1" w:sz="8" w:space="0"/>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color="0099E3" w:themeColor="accent1" w:sz="6" w:space="0"/>
          <w:left w:val="single" w:color="0099E3" w:themeColor="accent1" w:sz="8" w:space="0"/>
          <w:bottom w:val="single" w:color="0099E3" w:themeColor="accent1" w:sz="8" w:space="0"/>
          <w:right w:val="single" w:color="0099E3" w:themeColor="accent1" w:sz="8" w:space="0"/>
        </w:tcBorders>
      </w:tcPr>
    </w:tblStylePr>
    <w:tblStylePr w:type="firstCol">
      <w:rPr>
        <w:b/>
        <w:bCs/>
      </w:rPr>
    </w:tblStylePr>
    <w:tblStylePr w:type="lastCol">
      <w:rPr>
        <w:b/>
        <w:bCs/>
      </w:rPr>
    </w:tblStylePr>
    <w:tblStylePr w:type="band1Vert">
      <w:tblPr/>
      <w:tcPr>
        <w:tcBorders>
          <w:top w:val="single" w:color="0099E3" w:themeColor="accent1" w:sz="8" w:space="0"/>
          <w:left w:val="single" w:color="0099E3" w:themeColor="accent1" w:sz="8" w:space="0"/>
          <w:bottom w:val="single" w:color="0099E3" w:themeColor="accent1" w:sz="8" w:space="0"/>
          <w:right w:val="single" w:color="0099E3" w:themeColor="accent1" w:sz="8" w:space="0"/>
        </w:tcBorders>
      </w:tcPr>
    </w:tblStylePr>
    <w:tblStylePr w:type="band1Horz">
      <w:tblPr/>
      <w:tcPr>
        <w:tcBorders>
          <w:top w:val="single" w:color="0099E3" w:themeColor="accent1" w:sz="8" w:space="0"/>
          <w:left w:val="single" w:color="0099E3" w:themeColor="accent1" w:sz="8" w:space="0"/>
          <w:bottom w:val="single" w:color="0099E3" w:themeColor="accent1" w:sz="8" w:space="0"/>
          <w:right w:val="single" w:color="0099E3" w:themeColor="accent1" w:sz="8" w:space="0"/>
        </w:tcBorders>
      </w:tcPr>
    </w:tblStylePr>
  </w:style>
  <w:style w:type="table" w:styleId="VCAATable" w:customStyle="1">
    <w:name w:val="VCAA Table"/>
    <w:basedOn w:val="TableNormal"/>
    <w:uiPriority w:val="99"/>
    <w:rsid w:val="00434EDB"/>
    <w:pPr>
      <w:spacing w:before="40" w:after="40" w:line="240" w:lineRule="auto"/>
    </w:pPr>
    <w:rPr>
      <w:rFonts w:ascii="Arial Narrow" w:hAnsi="Arial Narrow"/>
      <w:color w:val="000000" w:themeColor="text1"/>
    </w:rPr>
    <w:tblPr>
      <w:tblBorders>
        <w:insideH w:val="single" w:color="auto" w:sz="4" w:space="0"/>
      </w:tblBorders>
    </w:tblPr>
    <w:tblStylePr w:type="firstRow">
      <w:rPr>
        <w:rFonts w:ascii="Arial Narrow" w:hAnsi="Arial Narrow"/>
        <w:b/>
        <w:color w:val="FFFFFF" w:themeColor="background1"/>
        <w:sz w:val="22"/>
      </w:rPr>
      <w:tblPr/>
      <w:trPr>
        <w:tblHeader/>
      </w:trPr>
      <w:tcPr>
        <w:tcBorders>
          <w:insideV w:val="single" w:color="FFFFFF" w:themeColor="background1" w:sz="4" w:space="0"/>
        </w:tcBorders>
        <w:shd w:val="clear" w:color="auto" w:fill="0F7EB4"/>
      </w:tcPr>
    </w:tblStylePr>
  </w:style>
  <w:style w:type="paragraph" w:styleId="VCAAtablecondensedbullet2" w:customStyle="1">
    <w:name w:val="VCAA table condensed bullet 2"/>
    <w:basedOn w:val="VCAAtablecondensedbullet"/>
    <w:qFormat/>
    <w:rsid w:val="00495C80"/>
    <w:pPr>
      <w:numPr>
        <w:numId w:val="5"/>
      </w:numPr>
      <w:ind w:left="850" w:hanging="425"/>
    </w:pPr>
    <w:rPr>
      <w:color w:val="000000" w:themeColor="text1"/>
    </w:rPr>
  </w:style>
  <w:style w:type="table" w:styleId="VCAATableClosed" w:customStyle="1">
    <w:name w:val="VCAA Table Closed"/>
    <w:basedOn w:val="VCAATable"/>
    <w:uiPriority w:val="99"/>
    <w:rsid w:val="00434EDB"/>
    <w:pPr>
      <w:spacing w:after="0"/>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cPr>
      <w:shd w:val="clear" w:color="auto" w:fill="auto"/>
    </w:tcPr>
    <w:tblStylePr w:type="firstRow">
      <w:rPr>
        <w:rFonts w:ascii="Arial Narrow" w:hAnsi="Arial Narrow"/>
        <w:b/>
        <w:color w:val="FFFFFF" w:themeColor="background1"/>
        <w:sz w:val="22"/>
      </w:rPr>
      <w:tblPr/>
      <w:trPr>
        <w:tblHeader/>
      </w:trPr>
      <w:tcPr>
        <w:tcBorders>
          <w:insideV w:val="single" w:color="FFFFFF" w:themeColor="background1" w:sz="4" w:space="0"/>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styleId="VCAAtableheading" w:customStyle="1">
    <w:name w:val="VCAA table heading"/>
    <w:basedOn w:val="VCAAbody"/>
    <w:qFormat/>
    <w:rsid w:val="00417AA3"/>
    <w:rPr>
      <w:color w:val="FFFFFF" w:themeColor="background1"/>
    </w:rPr>
  </w:style>
  <w:style w:type="character" w:styleId="EmphasisBold" w:customStyle="1">
    <w:name w:val="Emphasis (Bold)"/>
    <w:basedOn w:val="DefaultParagraphFont"/>
    <w:uiPriority w:val="1"/>
    <w:qFormat/>
    <w:rsid w:val="00F50D86"/>
    <w:rPr>
      <w:b/>
    </w:rPr>
  </w:style>
  <w:style w:type="character" w:styleId="TitlesItalics" w:customStyle="1">
    <w:name w:val="Titles (Italics)"/>
    <w:basedOn w:val="DefaultParagraphFont"/>
    <w:uiPriority w:val="1"/>
    <w:qFormat/>
    <w:rsid w:val="00F50D86"/>
    <w:rPr>
      <w:i/>
    </w:rPr>
  </w:style>
  <w:style w:type="paragraph" w:styleId="VCAADocumentsubtitle" w:customStyle="1">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styleId="VCAAfigures" w:customStyle="1">
    <w:name w:val="VCAA figures"/>
    <w:basedOn w:val="VCAAbody"/>
    <w:link w:val="VCAAfiguresChar"/>
    <w:qFormat/>
    <w:rsid w:val="00425DFE"/>
    <w:pPr>
      <w:spacing w:line="240" w:lineRule="auto"/>
      <w:jc w:val="center"/>
    </w:pPr>
    <w:rPr>
      <w:noProof/>
    </w:rPr>
  </w:style>
  <w:style w:type="character" w:styleId="VCAAbodyChar" w:customStyle="1">
    <w:name w:val="VCAA body Char"/>
    <w:basedOn w:val="DefaultParagraphFont"/>
    <w:link w:val="VCAAbody"/>
    <w:rsid w:val="00495C80"/>
    <w:rPr>
      <w:rFonts w:ascii="Arial" w:hAnsi="Arial" w:cs="Arial"/>
      <w:color w:val="000000" w:themeColor="text1"/>
      <w:sz w:val="20"/>
    </w:rPr>
  </w:style>
  <w:style w:type="character" w:styleId="VCAAfiguresChar" w:customStyle="1">
    <w:name w:val="VCAA figures Char"/>
    <w:basedOn w:val="VCAAbodyChar"/>
    <w:link w:val="VCAAfigures"/>
    <w:rsid w:val="00425DFE"/>
    <w:rPr>
      <w:rFonts w:ascii="Arial" w:hAnsi="Arial" w:cs="Arial"/>
      <w:noProof/>
      <w:color w:val="000000" w:themeColor="text1"/>
      <w:sz w:val="20"/>
    </w:rPr>
  </w:style>
  <w:style w:type="paragraph" w:styleId="NormalWeb">
    <w:name w:val="Normal (Web)"/>
    <w:basedOn w:val="Normal"/>
    <w:uiPriority w:val="99"/>
    <w:unhideWhenUsed/>
    <w:rsid w:val="003F4B37"/>
    <w:pPr>
      <w:spacing w:before="100" w:beforeAutospacing="1" w:after="100" w:afterAutospacing="1" w:line="240" w:lineRule="auto"/>
    </w:pPr>
    <w:rPr>
      <w:rFonts w:ascii="Times New Roman" w:hAnsi="Times New Roman" w:eastAsia="Times New Roman" w:cs="Times New Roman"/>
      <w:sz w:val="24"/>
      <w:szCs w:val="24"/>
      <w:lang w:val="en-AU" w:eastAsia="en-AU"/>
    </w:rPr>
  </w:style>
  <w:style w:type="character" w:styleId="FollowedHyperlink">
    <w:name w:val="FollowedHyperlink"/>
    <w:basedOn w:val="DefaultParagraphFont"/>
    <w:uiPriority w:val="99"/>
    <w:semiHidden/>
    <w:unhideWhenUsed/>
    <w:rsid w:val="00A27DFA"/>
    <w:rPr>
      <w:color w:val="8DB3E2" w:themeColor="followedHyperlink"/>
      <w:u w:val="single"/>
    </w:rPr>
  </w:style>
  <w:style w:type="character" w:styleId="UnresolvedMention">
    <w:name w:val="Unresolved Mention"/>
    <w:basedOn w:val="DefaultParagraphFont"/>
    <w:uiPriority w:val="99"/>
    <w:semiHidden/>
    <w:unhideWhenUsed/>
    <w:rsid w:val="00A27DFA"/>
    <w:rPr>
      <w:color w:val="605E5C"/>
      <w:shd w:val="clear" w:color="auto" w:fill="E1DFDD"/>
    </w:rPr>
  </w:style>
  <w:style w:type="character" w:styleId="Emphasis">
    <w:name w:val="Emphasis"/>
    <w:basedOn w:val="DefaultParagraphFont"/>
    <w:uiPriority w:val="20"/>
    <w:qFormat/>
    <w:rsid w:val="008124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77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education.vic.gov.au/school/teachers/teachingresources/practice/improve/Pages/hits.aspx" TargetMode="External" Id="rId13" /><Relationship Type="http://schemas.openxmlformats.org/officeDocument/2006/relationships/hyperlink" Target="https://instituteofpositiveeducation.com/" TargetMode="Externa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hyperlink" Target="https://www.vic.gov.au/diverse-learners-hub" TargetMode="External" Id="rId12" /><Relationship Type="http://schemas.openxmlformats.org/officeDocument/2006/relationships/hyperlink" Target="https://www.education.vic.gov.au/school/teachers/teachingresources/practice/improve/Pages/amplify.aspx"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education.vic.gov.au/school/teachers/teachingresources/discipline/maths/Pages/mathsteachingtoolkit.aspx"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berrystreet.org.au/what-we-do/education-services/berry-street-education-model" TargetMode="Externa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yperlink" Target="https://www.education.vic.gov.au/school/teachers/teachingresources/discipline/english/literacy/Pages/default.aspx"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education.vic.gov.au/Documents/school/teachers/teachingresources/practice/High-Impact-Wellbeing-Strategies-supporting-resource.pdf" TargetMode="External" Id="rId14" /><Relationship Type="http://schemas.openxmlformats.org/officeDocument/2006/relationships/footer" Target="footer2.xml" Id="rId22" /></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1C328D"/>
    <w:rsid w:val="002C5B2B"/>
    <w:rsid w:val="009325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848B5-61E6-45CE-88A6-73FD729D8E9B}">
  <ds:schemaRefs>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4.xml><?xml version="1.0" encoding="utf-8"?>
<ds:datastoreItem xmlns:ds="http://schemas.openxmlformats.org/officeDocument/2006/customXml" ds:itemID="{9C1E878B-F4BB-4355-99CF-9DD2373797A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Victorian Curriculum and Assessment Authority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Surf Coast Secondary College Program Summary</dc:title>
  <dc:creator>Derek Tolan</dc:creator>
  <cp:lastModifiedBy>Alexandra Shepherd</cp:lastModifiedBy>
  <cp:revision>6</cp:revision>
  <cp:lastPrinted>2015-05-15T02:36:00Z</cp:lastPrinted>
  <dcterms:created xsi:type="dcterms:W3CDTF">2024-03-22T03:56:00Z</dcterms:created>
  <dcterms:modified xsi:type="dcterms:W3CDTF">2024-05-07T04:12:00Z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ies>
</file>