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7CAE9560" w:rsidR="00F4525C" w:rsidRDefault="00EE0B87" w:rsidP="009B61E5">
          <w:pPr>
            <w:pStyle w:val="VCAADocumenttitle"/>
          </w:pPr>
          <w:r>
            <w:t>T</w:t>
          </w:r>
          <w:r w:rsidRPr="00DB1A14">
            <w:t xml:space="preserve">ransition </w:t>
          </w:r>
          <w:r>
            <w:t>a</w:t>
          </w:r>
          <w:r w:rsidRPr="00DB1A14">
            <w:t>dvice</w:t>
          </w:r>
          <w:r>
            <w:t xml:space="preserve"> for VCE VET programs in 2024</w:t>
          </w:r>
        </w:p>
      </w:sdtContent>
    </w:sdt>
    <w:p w14:paraId="4A43AF58" w14:textId="49B0F5CD" w:rsidR="00EE0B87" w:rsidRDefault="00EE0B87" w:rsidP="00DB1A14">
      <w:pPr>
        <w:pStyle w:val="VCAAbody"/>
      </w:pPr>
      <w:bookmarkStart w:id="0" w:name="TemplateOverview"/>
      <w:bookmarkEnd w:id="0"/>
      <w:r>
        <w:t xml:space="preserve">This document provides transition advice for schools and RTOs about the 12 VCE VET programs that were reviewed in 2023. </w:t>
      </w:r>
      <w:r w:rsidR="00DB1A14">
        <w:t xml:space="preserve">VCE VET program changes that have been approved for </w:t>
      </w:r>
      <w:r w:rsidR="00A35BAE">
        <w:t xml:space="preserve">implementation in </w:t>
      </w:r>
      <w:r w:rsidR="00DB1A14">
        <w:t xml:space="preserve">2024 will be published on the </w:t>
      </w:r>
      <w:proofErr w:type="gramStart"/>
      <w:r w:rsidR="00FD19DF">
        <w:t>program-specific</w:t>
      </w:r>
      <w:proofErr w:type="gramEnd"/>
      <w:r w:rsidR="00FD19DF">
        <w:t xml:space="preserve"> </w:t>
      </w:r>
      <w:r w:rsidR="00DB1A14">
        <w:t xml:space="preserve">VCE VET </w:t>
      </w:r>
      <w:r w:rsidR="00FD19DF">
        <w:t>web</w:t>
      </w:r>
      <w:r w:rsidR="00DB1A14">
        <w:t xml:space="preserve">page. </w:t>
      </w:r>
    </w:p>
    <w:p w14:paraId="0A36052F" w14:textId="77777777" w:rsidR="004067FF" w:rsidRPr="00CD4F8C" w:rsidRDefault="004067FF" w:rsidP="00DB1A14">
      <w:pPr>
        <w:pStyle w:val="VCAAbody"/>
      </w:pPr>
    </w:p>
    <w:tbl>
      <w:tblPr>
        <w:tblStyle w:val="VCAATableClosed"/>
        <w:tblW w:w="5000" w:type="pct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3399"/>
        <w:gridCol w:w="4110"/>
        <w:gridCol w:w="2120"/>
      </w:tblGrid>
      <w:tr w:rsidR="0014284F" w:rsidRPr="00B13D3B" w14:paraId="27BFE34A" w14:textId="1170F021" w:rsidTr="00E02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65" w:type="pct"/>
            <w:tcBorders>
              <w:bottom w:val="single" w:sz="4" w:space="0" w:color="auto"/>
            </w:tcBorders>
          </w:tcPr>
          <w:p w14:paraId="2EAD0C86" w14:textId="12E9BE22" w:rsidR="0014284F" w:rsidRPr="00DB1A14" w:rsidRDefault="0014284F" w:rsidP="00DB1A14">
            <w:pPr>
              <w:pStyle w:val="VCAAtablecondensedheading"/>
            </w:pPr>
            <w:r w:rsidRPr="00DB1A14">
              <w:t>VCE VET Program and certificate</w:t>
            </w:r>
          </w:p>
        </w:tc>
        <w:tc>
          <w:tcPr>
            <w:tcW w:w="2134" w:type="pct"/>
            <w:tcBorders>
              <w:bottom w:val="single" w:sz="4" w:space="0" w:color="auto"/>
            </w:tcBorders>
          </w:tcPr>
          <w:p w14:paraId="3FC6328B" w14:textId="707C372D" w:rsidR="0014284F" w:rsidRPr="00DB1A14" w:rsidRDefault="0014284F" w:rsidP="00DB1A14">
            <w:pPr>
              <w:pStyle w:val="VCAAtablecondensedheading"/>
            </w:pPr>
            <w:r>
              <w:t xml:space="preserve">2024 </w:t>
            </w:r>
            <w:r w:rsidRPr="00DB1A14">
              <w:t>Transition advice</w:t>
            </w:r>
          </w:p>
        </w:tc>
        <w:tc>
          <w:tcPr>
            <w:tcW w:w="1101" w:type="pct"/>
            <w:tcBorders>
              <w:bottom w:val="single" w:sz="4" w:space="0" w:color="auto"/>
            </w:tcBorders>
          </w:tcPr>
          <w:p w14:paraId="34B8E75F" w14:textId="119433B7" w:rsidR="0014284F" w:rsidRPr="00DB1A14" w:rsidRDefault="0014284F" w:rsidP="00DB1A14">
            <w:pPr>
              <w:pStyle w:val="VCAAtablecondensedheading"/>
            </w:pPr>
            <w:r>
              <w:t>E</w:t>
            </w:r>
            <w:r w:rsidRPr="004A74DB">
              <w:t>quivalence status</w:t>
            </w:r>
          </w:p>
        </w:tc>
      </w:tr>
      <w:tr w:rsidR="006B10E6" w14:paraId="5BE52DCE" w14:textId="349108FF" w:rsidTr="006B10E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DE2D" w14:textId="5FBAEA1E" w:rsidR="006B10E6" w:rsidRDefault="006B10E6" w:rsidP="0020020B">
            <w:pPr>
              <w:pStyle w:val="VCAAtablecondensed"/>
            </w:pPr>
            <w:r w:rsidRPr="0020020B">
              <w:rPr>
                <w:b/>
                <w:bCs/>
              </w:rPr>
              <w:t>VCE VET Agriculture, Horticulture, Conservation and Ecosystem Management</w:t>
            </w:r>
          </w:p>
        </w:tc>
      </w:tr>
      <w:tr w:rsidR="0014284F" w14:paraId="19B3EB2E" w14:textId="77777777" w:rsidTr="00E02ABD">
        <w:tc>
          <w:tcPr>
            <w:tcW w:w="1765" w:type="pct"/>
            <w:tcBorders>
              <w:top w:val="single" w:sz="4" w:space="0" w:color="auto"/>
            </w:tcBorders>
          </w:tcPr>
          <w:p w14:paraId="17EBC7E7" w14:textId="21C81881" w:rsidR="0014284F" w:rsidRPr="00D15CA7" w:rsidRDefault="0014284F" w:rsidP="00D15CA7">
            <w:pPr>
              <w:pStyle w:val="VCAAtablecondensed"/>
            </w:pPr>
            <w:r w:rsidRPr="00D15CA7">
              <w:t>AHC20122 Certificate II in Agriculture</w:t>
            </w:r>
            <w:r w:rsidR="00D15CA7">
              <w:br/>
            </w:r>
            <w:r w:rsidRPr="00D15CA7">
              <w:t>(Release 1)</w:t>
            </w:r>
          </w:p>
        </w:tc>
        <w:tc>
          <w:tcPr>
            <w:tcW w:w="2134" w:type="pct"/>
            <w:tcBorders>
              <w:top w:val="single" w:sz="4" w:space="0" w:color="auto"/>
            </w:tcBorders>
          </w:tcPr>
          <w:p w14:paraId="61AD2B65" w14:textId="6851AAA6" w:rsidR="0014284F" w:rsidRPr="000C4EF3" w:rsidRDefault="0014284F" w:rsidP="00D15CA7">
            <w:pPr>
              <w:pStyle w:val="VCAAtablecondensedbullet"/>
            </w:pPr>
            <w:r w:rsidRPr="000C4EF3">
              <w:t>All new enrolments will enrol in AHC20122 Certificate II in Agriculture</w:t>
            </w:r>
            <w:r w:rsidR="006317FF" w:rsidRPr="000C4EF3">
              <w:t>.</w:t>
            </w:r>
          </w:p>
          <w:p w14:paraId="4170780E" w14:textId="77777777" w:rsidR="0014284F" w:rsidRDefault="0014284F" w:rsidP="00D15CA7">
            <w:pPr>
              <w:pStyle w:val="VCAAtablecondensedbullet"/>
            </w:pPr>
            <w:r w:rsidRPr="000C4EF3">
              <w:t>All continuing students will remain in the existing program AHC20116 Certificate II in Agriculture</w:t>
            </w:r>
            <w:r w:rsidR="00FD19DF">
              <w:t xml:space="preserve"> to allow for the accrual of a Unit 3–4 sequence</w:t>
            </w:r>
            <w:r w:rsidR="006317FF" w:rsidRPr="000C4EF3">
              <w:t>.</w:t>
            </w:r>
          </w:p>
          <w:p w14:paraId="4B60B798" w14:textId="414B11BC" w:rsidR="00272737" w:rsidRPr="000C4EF3" w:rsidRDefault="00272737" w:rsidP="00D15CA7">
            <w:pPr>
              <w:pStyle w:val="VCAAtablecondensedbullet"/>
            </w:pPr>
            <w:r>
              <w:t xml:space="preserve">An </w:t>
            </w:r>
            <w:hyperlink r:id="rId11" w:history="1">
              <w:r w:rsidRPr="00272737">
                <w:rPr>
                  <w:rStyle w:val="Hyperlink"/>
                </w:rPr>
                <w:t>extension has been granted</w:t>
              </w:r>
            </w:hyperlink>
            <w:r>
              <w:t xml:space="preserve"> for AHC20116 Certificate II in Agriculture until 22 January 2025.</w:t>
            </w:r>
          </w:p>
        </w:tc>
        <w:tc>
          <w:tcPr>
            <w:tcW w:w="1101" w:type="pct"/>
            <w:tcBorders>
              <w:top w:val="single" w:sz="4" w:space="0" w:color="auto"/>
            </w:tcBorders>
          </w:tcPr>
          <w:p w14:paraId="5E590F7C" w14:textId="4379E99A" w:rsidR="0014284F" w:rsidRPr="0020020B" w:rsidRDefault="0014284F" w:rsidP="0020020B">
            <w:pPr>
              <w:pStyle w:val="VCAAtablecondensed"/>
            </w:pPr>
            <w:r w:rsidRPr="0020020B">
              <w:t>Not equivalent</w:t>
            </w:r>
          </w:p>
        </w:tc>
      </w:tr>
      <w:tr w:rsidR="0014284F" w14:paraId="7B621F43" w14:textId="77777777" w:rsidTr="00E02ABD">
        <w:tc>
          <w:tcPr>
            <w:tcW w:w="1765" w:type="pct"/>
          </w:tcPr>
          <w:p w14:paraId="5CD502B6" w14:textId="1460C510" w:rsidR="0014284F" w:rsidRPr="00D15CA7" w:rsidRDefault="0014284F" w:rsidP="00D15CA7">
            <w:pPr>
              <w:pStyle w:val="VCAAtablecondensed"/>
            </w:pPr>
            <w:r w:rsidRPr="00D15CA7">
              <w:t>AHC20422 Certificate II in Horticulture</w:t>
            </w:r>
            <w:r w:rsidR="00D15CA7">
              <w:br/>
            </w:r>
            <w:r w:rsidRPr="00D15CA7">
              <w:t>(Release 1)</w:t>
            </w:r>
          </w:p>
        </w:tc>
        <w:tc>
          <w:tcPr>
            <w:tcW w:w="2134" w:type="pct"/>
          </w:tcPr>
          <w:p w14:paraId="7F9673B8" w14:textId="17CAEF9D" w:rsidR="0014284F" w:rsidRPr="000C4EF3" w:rsidRDefault="0014284F" w:rsidP="0020020B">
            <w:pPr>
              <w:pStyle w:val="VCAAtablecondensedbullet"/>
            </w:pPr>
            <w:r w:rsidRPr="000C4EF3">
              <w:t>All new enrolments will enrol in AHC20422 Certificate II in Horticulture</w:t>
            </w:r>
            <w:r w:rsidR="00BA4047" w:rsidRPr="000C4EF3">
              <w:t>.</w:t>
            </w:r>
          </w:p>
          <w:p w14:paraId="61C80AD2" w14:textId="5F74B321" w:rsidR="0014284F" w:rsidRDefault="0014284F" w:rsidP="0020020B">
            <w:pPr>
              <w:pStyle w:val="VCAAtablecondensedbullet"/>
            </w:pPr>
            <w:r w:rsidRPr="000C4EF3">
              <w:t xml:space="preserve">All continuing students will </w:t>
            </w:r>
            <w:r w:rsidR="00BA4047" w:rsidRPr="000C4EF3">
              <w:t xml:space="preserve">remain </w:t>
            </w:r>
            <w:r w:rsidRPr="000C4EF3">
              <w:t>in the existing program AHC20416 Certificate II in Horticulture</w:t>
            </w:r>
            <w:r w:rsidR="00FD19DF">
              <w:t xml:space="preserve"> to allow for the accrual of a Unit 3–4 sequence</w:t>
            </w:r>
            <w:r w:rsidR="00BA4047" w:rsidRPr="000C4EF3">
              <w:t>.</w:t>
            </w:r>
          </w:p>
          <w:p w14:paraId="72D5F54D" w14:textId="34840F18" w:rsidR="00D721D2" w:rsidRPr="000C4EF3" w:rsidRDefault="00D721D2" w:rsidP="0020020B">
            <w:pPr>
              <w:pStyle w:val="VCAAtablecondensedbullet"/>
            </w:pPr>
            <w:r>
              <w:t xml:space="preserve">An </w:t>
            </w:r>
            <w:hyperlink r:id="rId12" w:history="1">
              <w:r w:rsidRPr="00D721D2">
                <w:rPr>
                  <w:rStyle w:val="Hyperlink"/>
                </w:rPr>
                <w:t>extension has been granted</w:t>
              </w:r>
            </w:hyperlink>
            <w:r>
              <w:t xml:space="preserve"> for AHC20416 Certificate II in Horticulture until 22 January 2025.</w:t>
            </w:r>
          </w:p>
        </w:tc>
        <w:tc>
          <w:tcPr>
            <w:tcW w:w="1101" w:type="pct"/>
          </w:tcPr>
          <w:p w14:paraId="02D68968" w14:textId="1DFDC7E3" w:rsidR="0014284F" w:rsidRPr="0020020B" w:rsidRDefault="0014284F" w:rsidP="0020020B">
            <w:pPr>
              <w:pStyle w:val="VCAAtablecondensed"/>
            </w:pPr>
            <w:r w:rsidRPr="0020020B">
              <w:t>Not equivalent</w:t>
            </w:r>
          </w:p>
        </w:tc>
      </w:tr>
      <w:tr w:rsidR="0014284F" w14:paraId="7FD0DD5B" w14:textId="77777777" w:rsidTr="00E02ABD">
        <w:tc>
          <w:tcPr>
            <w:tcW w:w="1765" w:type="pct"/>
            <w:tcBorders>
              <w:bottom w:val="single" w:sz="4" w:space="0" w:color="auto"/>
            </w:tcBorders>
          </w:tcPr>
          <w:p w14:paraId="7F99308D" w14:textId="1B08DB4C" w:rsidR="0014284F" w:rsidRPr="00D15CA7" w:rsidRDefault="0014284F" w:rsidP="00D15CA7">
            <w:pPr>
              <w:pStyle w:val="VCAAtablecondensed"/>
            </w:pPr>
            <w:r w:rsidRPr="00D15CA7">
              <w:t>AHC21216 Certificate II in Rural Operations</w:t>
            </w:r>
            <w:r w:rsidR="00D15CA7">
              <w:br/>
            </w:r>
            <w:r w:rsidRPr="00D15CA7">
              <w:t>(Release 1)</w:t>
            </w:r>
          </w:p>
        </w:tc>
        <w:tc>
          <w:tcPr>
            <w:tcW w:w="2134" w:type="pct"/>
            <w:tcBorders>
              <w:bottom w:val="single" w:sz="4" w:space="0" w:color="auto"/>
            </w:tcBorders>
          </w:tcPr>
          <w:p w14:paraId="481BB40A" w14:textId="3DD1B213" w:rsidR="0014284F" w:rsidRPr="00D15CA7" w:rsidRDefault="00BA4047" w:rsidP="0020020B">
            <w:pPr>
              <w:pStyle w:val="VCAAtablecondensedbullet"/>
            </w:pPr>
            <w:r w:rsidRPr="00D15CA7">
              <w:t xml:space="preserve">2024 is the </w:t>
            </w:r>
            <w:r w:rsidR="0014284F" w:rsidRPr="00D15CA7">
              <w:t>first year of implementation</w:t>
            </w:r>
            <w:r w:rsidRPr="00D15CA7">
              <w:t>.</w:t>
            </w:r>
          </w:p>
          <w:p w14:paraId="32E89A91" w14:textId="30A956F9" w:rsidR="0014284F" w:rsidRPr="00D15CA7" w:rsidRDefault="0014284F" w:rsidP="0020020B">
            <w:pPr>
              <w:pStyle w:val="VCAAtablecondensedbullet"/>
            </w:pPr>
            <w:r w:rsidRPr="00D15CA7">
              <w:t>All new enrolments will enrol in AHC21216 Certificate II in Rural Operation</w:t>
            </w:r>
            <w:r w:rsidR="00BA4047" w:rsidRPr="00D15CA7">
              <w:t>s.</w:t>
            </w:r>
          </w:p>
        </w:tc>
        <w:tc>
          <w:tcPr>
            <w:tcW w:w="1101" w:type="pct"/>
            <w:tcBorders>
              <w:bottom w:val="single" w:sz="4" w:space="0" w:color="auto"/>
            </w:tcBorders>
          </w:tcPr>
          <w:p w14:paraId="30B08AFD" w14:textId="6FC9E87B" w:rsidR="0014284F" w:rsidRPr="0020020B" w:rsidRDefault="0014284F" w:rsidP="0020020B">
            <w:pPr>
              <w:pStyle w:val="VCAAtablecondensed"/>
            </w:pPr>
            <w:r w:rsidRPr="0020020B">
              <w:t>N</w:t>
            </w:r>
            <w:r>
              <w:t>ew</w:t>
            </w:r>
          </w:p>
        </w:tc>
      </w:tr>
      <w:tr w:rsidR="006B10E6" w14:paraId="1ADD3AC7" w14:textId="5DE23F62" w:rsidTr="006B10E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870A" w14:textId="3D94461C" w:rsidR="006B10E6" w:rsidRPr="006B10E6" w:rsidRDefault="006B10E6" w:rsidP="0020020B">
            <w:pPr>
              <w:pStyle w:val="VCAAtablecondensed"/>
              <w:rPr>
                <w:b/>
                <w:bCs/>
              </w:rPr>
            </w:pPr>
            <w:r w:rsidRPr="0020020B">
              <w:rPr>
                <w:b/>
                <w:bCs/>
              </w:rPr>
              <w:t>VCE VET Apparel, Fashion and Textiles</w:t>
            </w:r>
          </w:p>
        </w:tc>
      </w:tr>
      <w:tr w:rsidR="0014284F" w14:paraId="279A430D" w14:textId="77777777" w:rsidTr="00E02ABD">
        <w:tc>
          <w:tcPr>
            <w:tcW w:w="1765" w:type="pct"/>
            <w:tcBorders>
              <w:top w:val="single" w:sz="4" w:space="0" w:color="auto"/>
            </w:tcBorders>
          </w:tcPr>
          <w:p w14:paraId="126B4593" w14:textId="74965BB2" w:rsidR="0014284F" w:rsidRPr="00D15CA7" w:rsidRDefault="0014284F" w:rsidP="00D15CA7">
            <w:pPr>
              <w:pStyle w:val="VCAAtablecondensed"/>
            </w:pPr>
            <w:r w:rsidRPr="00D15CA7">
              <w:t xml:space="preserve">MST20722 Certificate II in </w:t>
            </w:r>
            <w:r w:rsidR="00A35BAE" w:rsidRPr="00D15CA7">
              <w:t xml:space="preserve">Apparel, </w:t>
            </w:r>
            <w:r w:rsidRPr="00D15CA7">
              <w:t xml:space="preserve">Fashion </w:t>
            </w:r>
            <w:r w:rsidR="00A35BAE" w:rsidRPr="00D15CA7">
              <w:t>and Textiles</w:t>
            </w:r>
            <w:r w:rsidR="00D15CA7">
              <w:t xml:space="preserve"> </w:t>
            </w:r>
            <w:r w:rsidRPr="00D15CA7">
              <w:t>(Release 1)</w:t>
            </w:r>
          </w:p>
        </w:tc>
        <w:tc>
          <w:tcPr>
            <w:tcW w:w="2134" w:type="pct"/>
            <w:tcBorders>
              <w:top w:val="single" w:sz="4" w:space="0" w:color="auto"/>
            </w:tcBorders>
          </w:tcPr>
          <w:p w14:paraId="282CAC8D" w14:textId="7D5A632C" w:rsidR="0014284F" w:rsidRPr="00D15CA7" w:rsidRDefault="0014284F" w:rsidP="006E337A">
            <w:pPr>
              <w:pStyle w:val="VCAAtablecondensedbullet"/>
            </w:pPr>
            <w:r w:rsidRPr="00D15CA7">
              <w:t>All new enrolments will enrol in MST20722 Certificate II in Apparel, Fashion and Textiles</w:t>
            </w:r>
            <w:r w:rsidR="00F77889" w:rsidRPr="00D15CA7">
              <w:t>.</w:t>
            </w:r>
          </w:p>
          <w:p w14:paraId="780AA368" w14:textId="78CEE1BC" w:rsidR="0014284F" w:rsidRPr="00D15CA7" w:rsidRDefault="0014284F" w:rsidP="006E337A">
            <w:pPr>
              <w:pStyle w:val="VCAAtablecondensedbullet"/>
            </w:pPr>
            <w:r w:rsidRPr="00D15CA7">
              <w:t xml:space="preserve">All continuing students will remain in the existing program MST20616 Certificate II in Applied Fashion Design and Technology to allow for </w:t>
            </w:r>
            <w:r w:rsidR="00F77889" w:rsidRPr="00D15CA7">
              <w:t xml:space="preserve">the </w:t>
            </w:r>
            <w:r w:rsidRPr="00D15CA7">
              <w:t xml:space="preserve">accrual of </w:t>
            </w:r>
            <w:r w:rsidR="00F77889" w:rsidRPr="00D15CA7">
              <w:t xml:space="preserve">a </w:t>
            </w:r>
            <w:r w:rsidRPr="00D15CA7">
              <w:t>Unit 3–4 sequence</w:t>
            </w:r>
            <w:r w:rsidR="00F77889" w:rsidRPr="00D15CA7">
              <w:t>.</w:t>
            </w:r>
          </w:p>
          <w:p w14:paraId="3858CD61" w14:textId="4748B067" w:rsidR="0014284F" w:rsidRPr="000D2A08" w:rsidRDefault="000D2A08" w:rsidP="000D2A08">
            <w:pPr>
              <w:pStyle w:val="VCAAtablecondensedbullet"/>
            </w:pPr>
            <w:r w:rsidRPr="00C10E73">
              <w:rPr>
                <w:rStyle w:val="cf01"/>
                <w:rFonts w:ascii="Arial Narrow" w:hAnsi="Arial Narrow" w:cs="Arial"/>
                <w:sz w:val="20"/>
                <w:szCs w:val="22"/>
              </w:rPr>
              <w:t xml:space="preserve">An </w:t>
            </w:r>
            <w:hyperlink r:id="rId13" w:history="1">
              <w:r w:rsidRPr="00C10E73">
                <w:rPr>
                  <w:rStyle w:val="Hyperlink"/>
                </w:rPr>
                <w:t>extension has been granted</w:t>
              </w:r>
            </w:hyperlink>
            <w:r w:rsidRPr="00C10E73">
              <w:rPr>
                <w:rStyle w:val="cf01"/>
                <w:rFonts w:ascii="Arial Narrow" w:hAnsi="Arial Narrow" w:cs="Arial"/>
                <w:sz w:val="20"/>
                <w:szCs w:val="22"/>
              </w:rPr>
              <w:t xml:space="preserve"> for MST20616 Certificate II in Applied Fashion Design and Technology until 31 January 2025. </w:t>
            </w:r>
          </w:p>
        </w:tc>
        <w:tc>
          <w:tcPr>
            <w:tcW w:w="1101" w:type="pct"/>
            <w:tcBorders>
              <w:top w:val="single" w:sz="4" w:space="0" w:color="auto"/>
            </w:tcBorders>
          </w:tcPr>
          <w:p w14:paraId="41710359" w14:textId="601505B1" w:rsidR="0014284F" w:rsidRPr="0020020B" w:rsidRDefault="0014284F" w:rsidP="0020020B">
            <w:pPr>
              <w:pStyle w:val="VCAAtablecondensed"/>
            </w:pPr>
            <w:r w:rsidRPr="0020020B">
              <w:t>Not equivalent</w:t>
            </w:r>
          </w:p>
        </w:tc>
      </w:tr>
      <w:tr w:rsidR="006B10E6" w14:paraId="68D06BC3" w14:textId="77777777" w:rsidTr="00E02ABD">
        <w:trPr>
          <w:cantSplit/>
        </w:trPr>
        <w:tc>
          <w:tcPr>
            <w:tcW w:w="5000" w:type="pct"/>
            <w:gridSpan w:val="3"/>
          </w:tcPr>
          <w:p w14:paraId="37E860A5" w14:textId="68B08032" w:rsidR="006B10E6" w:rsidRDefault="006B10E6" w:rsidP="0020020B">
            <w:pPr>
              <w:pStyle w:val="VCAAtablecondensed"/>
            </w:pPr>
            <w:r w:rsidRPr="008C4E7D">
              <w:rPr>
                <w:b/>
                <w:bCs/>
              </w:rPr>
              <w:lastRenderedPageBreak/>
              <w:t>VCE VET Building and Construction</w:t>
            </w:r>
          </w:p>
        </w:tc>
      </w:tr>
      <w:tr w:rsidR="0014284F" w14:paraId="766A98ED" w14:textId="77777777" w:rsidTr="00E02ABD">
        <w:tc>
          <w:tcPr>
            <w:tcW w:w="1765" w:type="pct"/>
          </w:tcPr>
          <w:p w14:paraId="1BC4B4E9" w14:textId="718B6D16" w:rsidR="0014284F" w:rsidRPr="00D15CA7" w:rsidRDefault="0014284F" w:rsidP="008C4E7D">
            <w:pPr>
              <w:pStyle w:val="VCAAtablecondensed"/>
            </w:pPr>
            <w:r w:rsidRPr="00D15CA7">
              <w:t>22614VIC Certificate II in Building and Construction Pre-apprenticeship</w:t>
            </w:r>
            <w:r w:rsidR="00563A89" w:rsidRPr="00D15CA7">
              <w:t xml:space="preserve"> </w:t>
            </w:r>
            <w:bookmarkStart w:id="1" w:name="_Hlk149827388"/>
            <w:r w:rsidR="000C7BB5" w:rsidRPr="00D15CA7">
              <w:br/>
            </w:r>
            <w:r w:rsidR="00563A89" w:rsidRPr="00D15CA7">
              <w:t>(Version 1.0)</w:t>
            </w:r>
            <w:bookmarkEnd w:id="1"/>
          </w:p>
          <w:p w14:paraId="45EA476A" w14:textId="77777777" w:rsidR="0014284F" w:rsidRPr="00D15CA7" w:rsidRDefault="0014284F" w:rsidP="008C4E7D">
            <w:pPr>
              <w:pStyle w:val="VCAAtablecondensed"/>
            </w:pPr>
          </w:p>
        </w:tc>
        <w:tc>
          <w:tcPr>
            <w:tcW w:w="2134" w:type="pct"/>
          </w:tcPr>
          <w:p w14:paraId="7185B025" w14:textId="7D93AAB4" w:rsidR="0014284F" w:rsidRPr="00D15CA7" w:rsidRDefault="0014284F" w:rsidP="008C4E7D">
            <w:pPr>
              <w:pStyle w:val="VCAAtablecondensedbullet"/>
            </w:pPr>
            <w:r w:rsidRPr="00D15CA7">
              <w:t xml:space="preserve">All new enrolments will enrol in 22614VIC Certificate II in Building and Construction </w:t>
            </w:r>
            <w:r w:rsidR="00CD4F18" w:rsidRPr="00D15CA7">
              <w:br/>
            </w:r>
            <w:r w:rsidRPr="00D15CA7">
              <w:t>Pre-apprenticeship</w:t>
            </w:r>
            <w:r w:rsidR="00CD4F18" w:rsidRPr="00D15CA7">
              <w:t>.</w:t>
            </w:r>
          </w:p>
          <w:p w14:paraId="47C281A7" w14:textId="3D882FC5" w:rsidR="0014284F" w:rsidRPr="00D15CA7" w:rsidRDefault="0014284F" w:rsidP="008C4E7D">
            <w:pPr>
              <w:pStyle w:val="VCAAtablecondensedbullet"/>
            </w:pPr>
            <w:r w:rsidRPr="00D15CA7">
              <w:t xml:space="preserve">All continuing students, enrolled prior to 30 June 2023, will remain in the existing program 22338VIC Certificate II in Building and Construction Pre-apprenticeship to allow for </w:t>
            </w:r>
            <w:r w:rsidR="00CD4F18" w:rsidRPr="00D15CA7">
              <w:t xml:space="preserve">the </w:t>
            </w:r>
            <w:r w:rsidRPr="00D15CA7">
              <w:t xml:space="preserve">accrual of </w:t>
            </w:r>
            <w:r w:rsidR="00CD4F18" w:rsidRPr="00D15CA7">
              <w:t xml:space="preserve">a </w:t>
            </w:r>
            <w:r w:rsidRPr="00D15CA7">
              <w:t>Unit 3–4 sequence</w:t>
            </w:r>
            <w:r w:rsidR="00CD4F18" w:rsidRPr="00D15CA7">
              <w:t>.</w:t>
            </w:r>
          </w:p>
        </w:tc>
        <w:tc>
          <w:tcPr>
            <w:tcW w:w="1101" w:type="pct"/>
          </w:tcPr>
          <w:p w14:paraId="46FD1710" w14:textId="3DF22F92" w:rsidR="0014284F" w:rsidRPr="008C4E7D" w:rsidRDefault="0014284F" w:rsidP="008C4E7D">
            <w:pPr>
              <w:pStyle w:val="VCAAtablecondensed"/>
            </w:pPr>
            <w:r w:rsidRPr="008C4E7D">
              <w:t>Equivalent</w:t>
            </w:r>
          </w:p>
        </w:tc>
      </w:tr>
      <w:tr w:rsidR="006B10E6" w14:paraId="391F7D56" w14:textId="77777777" w:rsidTr="006B10E6">
        <w:tc>
          <w:tcPr>
            <w:tcW w:w="5000" w:type="pct"/>
            <w:gridSpan w:val="3"/>
          </w:tcPr>
          <w:p w14:paraId="75903A74" w14:textId="696D33E5" w:rsidR="006B10E6" w:rsidRDefault="006B10E6" w:rsidP="0020020B">
            <w:pPr>
              <w:pStyle w:val="VCAAtablecondensed"/>
            </w:pPr>
            <w:r w:rsidRPr="00FA38F1">
              <w:rPr>
                <w:b/>
                <w:bCs/>
              </w:rPr>
              <w:t>VCE VET Community Services</w:t>
            </w:r>
          </w:p>
        </w:tc>
      </w:tr>
      <w:tr w:rsidR="0014284F" w14:paraId="04E08459" w14:textId="77777777" w:rsidTr="00E02ABD">
        <w:tc>
          <w:tcPr>
            <w:tcW w:w="1765" w:type="pct"/>
          </w:tcPr>
          <w:p w14:paraId="23FAF3E5" w14:textId="77777777" w:rsidR="0014284F" w:rsidRPr="00D15CA7" w:rsidRDefault="0014284F" w:rsidP="00FA38F1">
            <w:pPr>
              <w:pStyle w:val="VCAAtablecondensed"/>
            </w:pPr>
            <w:r w:rsidRPr="00D15CA7">
              <w:t>CHC22015 Certificate II in Community Services (Release 4)</w:t>
            </w:r>
          </w:p>
          <w:p w14:paraId="6EC527DE" w14:textId="77777777" w:rsidR="0014284F" w:rsidRPr="00D15CA7" w:rsidRDefault="0014284F" w:rsidP="00FA38F1">
            <w:pPr>
              <w:pStyle w:val="VCAAtablecondensed"/>
            </w:pPr>
          </w:p>
        </w:tc>
        <w:tc>
          <w:tcPr>
            <w:tcW w:w="2134" w:type="pct"/>
          </w:tcPr>
          <w:p w14:paraId="2B33E445" w14:textId="3D0278A2" w:rsidR="0014284F" w:rsidRPr="00D15CA7" w:rsidRDefault="0014284F" w:rsidP="00FA38F1">
            <w:pPr>
              <w:pStyle w:val="VCAAtablecondensedbullet"/>
            </w:pPr>
            <w:r w:rsidRPr="00D15CA7">
              <w:t xml:space="preserve">All new and continuing students will enrol in </w:t>
            </w:r>
            <w:r w:rsidR="005C1C60" w:rsidRPr="00D15CA7">
              <w:t>CHC22015 Certificate II in Community Services</w:t>
            </w:r>
            <w:r w:rsidR="00A02591" w:rsidRPr="00D15CA7">
              <w:t>.</w:t>
            </w:r>
          </w:p>
          <w:p w14:paraId="1C976FB4" w14:textId="3BA379E7" w:rsidR="0014284F" w:rsidRPr="00D15CA7" w:rsidRDefault="00A02591" w:rsidP="00FA38F1">
            <w:pPr>
              <w:pStyle w:val="VCAAtablecondensedbullet"/>
            </w:pPr>
            <w:r w:rsidRPr="00D15CA7">
              <w:t xml:space="preserve">There have been updates </w:t>
            </w:r>
            <w:r w:rsidR="0014284F" w:rsidRPr="00D15CA7">
              <w:t>to</w:t>
            </w:r>
            <w:r w:rsidRPr="00D15CA7">
              <w:t xml:space="preserve"> the</w:t>
            </w:r>
            <w:r w:rsidR="0014284F" w:rsidRPr="00D15CA7">
              <w:t xml:space="preserve"> </w:t>
            </w:r>
            <w:r w:rsidRPr="00D15CA7">
              <w:t xml:space="preserve">first aid </w:t>
            </w:r>
            <w:r w:rsidR="0014284F" w:rsidRPr="00D15CA7">
              <w:t xml:space="preserve">and </w:t>
            </w:r>
            <w:r w:rsidRPr="00D15CA7">
              <w:t>i</w:t>
            </w:r>
            <w:r w:rsidR="0014284F" w:rsidRPr="00D15CA7">
              <w:t xml:space="preserve">nfection </w:t>
            </w:r>
            <w:r w:rsidRPr="00D15CA7">
              <w:t>control units of competency.</w:t>
            </w:r>
          </w:p>
        </w:tc>
        <w:tc>
          <w:tcPr>
            <w:tcW w:w="1101" w:type="pct"/>
          </w:tcPr>
          <w:p w14:paraId="6F6B5D20" w14:textId="1DD1391C" w:rsidR="0014284F" w:rsidRPr="00FA38F1" w:rsidRDefault="0014284F" w:rsidP="00FA38F1">
            <w:pPr>
              <w:pStyle w:val="VCAAtablecondensed"/>
            </w:pPr>
            <w:r w:rsidRPr="00FA38F1">
              <w:t>Equivalent</w:t>
            </w:r>
          </w:p>
        </w:tc>
      </w:tr>
      <w:tr w:rsidR="0014284F" w14:paraId="6A12D874" w14:textId="77777777" w:rsidTr="00E02ABD">
        <w:tc>
          <w:tcPr>
            <w:tcW w:w="1765" w:type="pct"/>
          </w:tcPr>
          <w:p w14:paraId="6C737393" w14:textId="77777777" w:rsidR="0014284F" w:rsidRPr="00D15CA7" w:rsidRDefault="0014284F" w:rsidP="00FA38F1">
            <w:pPr>
              <w:pStyle w:val="VCAAtablecondensed"/>
            </w:pPr>
            <w:r w:rsidRPr="00D15CA7">
              <w:t>CHC32015 Certificate III in Community Services (Release 3)</w:t>
            </w:r>
          </w:p>
          <w:p w14:paraId="1E88806A" w14:textId="77777777" w:rsidR="0014284F" w:rsidRPr="00D15CA7" w:rsidRDefault="0014284F" w:rsidP="00FA38F1">
            <w:pPr>
              <w:pStyle w:val="VCAAtablecondensed"/>
            </w:pPr>
          </w:p>
        </w:tc>
        <w:tc>
          <w:tcPr>
            <w:tcW w:w="2134" w:type="pct"/>
          </w:tcPr>
          <w:p w14:paraId="53B45F4B" w14:textId="40398BE7" w:rsidR="0014284F" w:rsidRPr="00D15CA7" w:rsidRDefault="0014284F" w:rsidP="00FA38F1">
            <w:pPr>
              <w:pStyle w:val="VCAAtablecondensedbullet"/>
            </w:pPr>
            <w:r w:rsidRPr="00D15CA7">
              <w:t xml:space="preserve">All new and continuing students will enrol in </w:t>
            </w:r>
            <w:r w:rsidR="005C1C60" w:rsidRPr="00D15CA7">
              <w:t>CHC32015 Certificate III in Community Services</w:t>
            </w:r>
            <w:r w:rsidR="00A02591" w:rsidRPr="00D15CA7">
              <w:t>.</w:t>
            </w:r>
          </w:p>
          <w:p w14:paraId="75B3159B" w14:textId="09886CE9" w:rsidR="00877D52" w:rsidRPr="00D15CA7" w:rsidRDefault="00A02591" w:rsidP="007F39CB">
            <w:pPr>
              <w:pStyle w:val="VCAAtablecondensedbullet"/>
            </w:pPr>
            <w:r w:rsidRPr="00D15CA7">
              <w:t>There have been updates to the first aid and infection control imported units of competency.</w:t>
            </w:r>
          </w:p>
        </w:tc>
        <w:tc>
          <w:tcPr>
            <w:tcW w:w="1101" w:type="pct"/>
          </w:tcPr>
          <w:p w14:paraId="224FCA5B" w14:textId="5AA17877" w:rsidR="0014284F" w:rsidRPr="00FA38F1" w:rsidRDefault="0014284F" w:rsidP="00FA38F1">
            <w:pPr>
              <w:pStyle w:val="VCAAtablecondensed"/>
            </w:pPr>
            <w:r w:rsidRPr="00FA38F1">
              <w:t>Equivalent</w:t>
            </w:r>
          </w:p>
        </w:tc>
      </w:tr>
      <w:tr w:rsidR="006B10E6" w14:paraId="25C760D6" w14:textId="77777777" w:rsidTr="00F86F11">
        <w:tc>
          <w:tcPr>
            <w:tcW w:w="5000" w:type="pct"/>
            <w:gridSpan w:val="3"/>
            <w:tcBorders>
              <w:bottom w:val="single" w:sz="4" w:space="0" w:color="000000" w:themeColor="text1"/>
            </w:tcBorders>
          </w:tcPr>
          <w:p w14:paraId="6CFFA0C4" w14:textId="02FC4A30" w:rsidR="006B10E6" w:rsidRDefault="006B10E6" w:rsidP="0020020B">
            <w:pPr>
              <w:pStyle w:val="VCAAtablecondensed"/>
            </w:pPr>
            <w:r w:rsidRPr="00C72797">
              <w:rPr>
                <w:b/>
                <w:bCs/>
              </w:rPr>
              <w:t>VCE VET Engineering Studies</w:t>
            </w:r>
          </w:p>
        </w:tc>
      </w:tr>
      <w:tr w:rsidR="0014284F" w14:paraId="7CB5ECB8" w14:textId="77777777" w:rsidTr="00F86F11">
        <w:tc>
          <w:tcPr>
            <w:tcW w:w="1765" w:type="pct"/>
            <w:tcBorders>
              <w:bottom w:val="single" w:sz="4" w:space="0" w:color="auto"/>
            </w:tcBorders>
          </w:tcPr>
          <w:p w14:paraId="5F374CA9" w14:textId="6736939A" w:rsidR="0014284F" w:rsidRPr="00D15CA7" w:rsidRDefault="0014284F" w:rsidP="00C72797">
            <w:pPr>
              <w:pStyle w:val="VCAAtablecondensed"/>
            </w:pPr>
            <w:r w:rsidRPr="00D15CA7">
              <w:t>22632VIC Certificate II in Engineering Studies</w:t>
            </w:r>
            <w:r w:rsidR="000E6F94" w:rsidRPr="00D15CA7">
              <w:t xml:space="preserve"> (Version 1.0)</w:t>
            </w:r>
          </w:p>
        </w:tc>
        <w:tc>
          <w:tcPr>
            <w:tcW w:w="2134" w:type="pct"/>
            <w:tcBorders>
              <w:bottom w:val="single" w:sz="4" w:space="0" w:color="auto"/>
            </w:tcBorders>
          </w:tcPr>
          <w:p w14:paraId="3B10C848" w14:textId="2B830775" w:rsidR="0014284F" w:rsidRPr="00D15CA7" w:rsidRDefault="0014284F" w:rsidP="00C72797">
            <w:pPr>
              <w:pStyle w:val="VCAAtablecondensedbullet"/>
            </w:pPr>
            <w:r w:rsidRPr="00D15CA7">
              <w:t>All new enrolments will enrol in 22632VIC Certificate II in Engineering Studies</w:t>
            </w:r>
            <w:r w:rsidR="00371C98" w:rsidRPr="00D15CA7">
              <w:t>.</w:t>
            </w:r>
          </w:p>
          <w:p w14:paraId="70534D50" w14:textId="1DBBB6FA" w:rsidR="0014284F" w:rsidRPr="00D15CA7" w:rsidRDefault="0014284F" w:rsidP="00C72797">
            <w:pPr>
              <w:pStyle w:val="VCAAtablecondensedbullet"/>
              <w:rPr>
                <w:color w:val="auto"/>
              </w:rPr>
            </w:pPr>
            <w:r w:rsidRPr="00D15CA7">
              <w:t>All continuing students will remain in the existing program 22470VIC Certificate II in Engineering Studies to allow for</w:t>
            </w:r>
            <w:r w:rsidR="00371C98" w:rsidRPr="00D15CA7">
              <w:t xml:space="preserve"> the</w:t>
            </w:r>
            <w:r w:rsidRPr="00D15CA7">
              <w:t xml:space="preserve"> accrual of </w:t>
            </w:r>
            <w:r w:rsidR="00371C98" w:rsidRPr="00D15CA7">
              <w:t xml:space="preserve">a </w:t>
            </w:r>
            <w:r w:rsidRPr="00D15CA7">
              <w:t>Unit 3–4 sequence</w:t>
            </w:r>
            <w:r w:rsidR="00371C98" w:rsidRPr="00D15CA7">
              <w:t>.</w:t>
            </w:r>
            <w:r w:rsidRPr="00D15CA7">
              <w:t xml:space="preserve"> </w:t>
            </w:r>
          </w:p>
          <w:p w14:paraId="4FE536B0" w14:textId="1E11703F" w:rsidR="0014284F" w:rsidRPr="00D15CA7" w:rsidRDefault="0014284F" w:rsidP="0071613D">
            <w:pPr>
              <w:pStyle w:val="VCAAtablecondensedbullet"/>
            </w:pPr>
            <w:r w:rsidRPr="00D15CA7">
              <w:t>There can be no new enrolments in 22470VIC Certificate II in Engineering Studies in 2024</w:t>
            </w:r>
            <w:r w:rsidR="00EE5179" w:rsidRPr="00D15CA7">
              <w:t>.</w:t>
            </w:r>
          </w:p>
          <w:p w14:paraId="6784D61E" w14:textId="51C6DFE4" w:rsidR="0078011D" w:rsidRPr="00D15CA7" w:rsidRDefault="00EE5179" w:rsidP="0071613D">
            <w:pPr>
              <w:pStyle w:val="VCAAtablecondensedbullet"/>
              <w:rPr>
                <w:b/>
                <w:bCs/>
                <w:color w:val="auto"/>
              </w:rPr>
            </w:pPr>
            <w:r w:rsidRPr="00D15CA7">
              <w:t xml:space="preserve">The new scored program will be implemented in </w:t>
            </w:r>
            <w:r w:rsidR="0078011D" w:rsidRPr="00D15CA7">
              <w:t>202</w:t>
            </w:r>
            <w:r w:rsidR="00B76A3A" w:rsidRPr="00D15CA7">
              <w:t>5</w:t>
            </w:r>
            <w:r w:rsidRPr="00D15CA7">
              <w:t>.</w:t>
            </w:r>
          </w:p>
        </w:tc>
        <w:tc>
          <w:tcPr>
            <w:tcW w:w="1101" w:type="pct"/>
            <w:tcBorders>
              <w:bottom w:val="single" w:sz="4" w:space="0" w:color="auto"/>
            </w:tcBorders>
          </w:tcPr>
          <w:p w14:paraId="0CBAFE2E" w14:textId="33E6C443" w:rsidR="0014284F" w:rsidRPr="00C72797" w:rsidRDefault="0014284F" w:rsidP="00C72797">
            <w:pPr>
              <w:pStyle w:val="VCAAtablecondensed"/>
            </w:pPr>
            <w:r w:rsidRPr="00C72797">
              <w:t>Not equivalent</w:t>
            </w:r>
          </w:p>
        </w:tc>
      </w:tr>
      <w:tr w:rsidR="00F86F11" w14:paraId="3332248F" w14:textId="77777777" w:rsidTr="00F86F11">
        <w:tc>
          <w:tcPr>
            <w:tcW w:w="17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703F8" w14:textId="77777777" w:rsidR="00F86F11" w:rsidRDefault="00F86F11" w:rsidP="00C72797">
            <w:pPr>
              <w:pStyle w:val="VCAAtablecondensed"/>
            </w:pPr>
          </w:p>
          <w:p w14:paraId="099D89D8" w14:textId="77777777" w:rsidR="00F86F11" w:rsidRDefault="00F86F11" w:rsidP="00C72797">
            <w:pPr>
              <w:pStyle w:val="VCAAtablecondensed"/>
            </w:pPr>
          </w:p>
          <w:p w14:paraId="3BC0E109" w14:textId="77777777" w:rsidR="00F86F11" w:rsidRDefault="00F86F11" w:rsidP="00C72797">
            <w:pPr>
              <w:pStyle w:val="VCAAtablecondensed"/>
            </w:pPr>
          </w:p>
          <w:p w14:paraId="3B4AA8FB" w14:textId="77777777" w:rsidR="00F86F11" w:rsidRDefault="00F86F11" w:rsidP="00C72797">
            <w:pPr>
              <w:pStyle w:val="VCAAtablecondensed"/>
            </w:pPr>
          </w:p>
          <w:p w14:paraId="7D84DCEB" w14:textId="77777777" w:rsidR="00F86F11" w:rsidRDefault="00F86F11" w:rsidP="00C72797">
            <w:pPr>
              <w:pStyle w:val="VCAAtablecondensed"/>
            </w:pPr>
          </w:p>
          <w:p w14:paraId="69DE638C" w14:textId="77777777" w:rsidR="00F86F11" w:rsidRDefault="00F86F11" w:rsidP="00C72797">
            <w:pPr>
              <w:pStyle w:val="VCAAtablecondensed"/>
            </w:pPr>
          </w:p>
          <w:p w14:paraId="294010D2" w14:textId="77777777" w:rsidR="00F86F11" w:rsidRDefault="00F86F11" w:rsidP="00C72797">
            <w:pPr>
              <w:pStyle w:val="VCAAtablecondensed"/>
            </w:pPr>
          </w:p>
          <w:p w14:paraId="2974CBB4" w14:textId="77777777" w:rsidR="00F86F11" w:rsidRDefault="00F86F11" w:rsidP="00C72797">
            <w:pPr>
              <w:pStyle w:val="VCAAtablecondensed"/>
            </w:pPr>
          </w:p>
          <w:p w14:paraId="19052610" w14:textId="77777777" w:rsidR="00F86F11" w:rsidRDefault="00F86F11" w:rsidP="00C72797">
            <w:pPr>
              <w:pStyle w:val="VCAAtablecondensed"/>
            </w:pPr>
          </w:p>
          <w:p w14:paraId="187EA639" w14:textId="77777777" w:rsidR="00F86F11" w:rsidRPr="00D15CA7" w:rsidRDefault="00F86F11" w:rsidP="00C72797">
            <w:pPr>
              <w:pStyle w:val="VCAAtablecondensed"/>
            </w:pP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BB8C55" w14:textId="77777777" w:rsidR="00F86F11" w:rsidRPr="00D15CA7" w:rsidRDefault="00F86F11" w:rsidP="00F86F11">
            <w:pPr>
              <w:pStyle w:val="VCAAtablecondensed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03787D" w14:textId="77777777" w:rsidR="00F86F11" w:rsidRPr="00C72797" w:rsidRDefault="00F86F11" w:rsidP="00C72797">
            <w:pPr>
              <w:pStyle w:val="VCAAtablecondensed"/>
            </w:pPr>
          </w:p>
        </w:tc>
      </w:tr>
      <w:tr w:rsidR="006B10E6" w14:paraId="0F0C7457" w14:textId="77777777" w:rsidTr="00F86F11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7D3C" w14:textId="27201E8C" w:rsidR="006B10E6" w:rsidRDefault="006B10E6" w:rsidP="0020020B">
            <w:pPr>
              <w:pStyle w:val="VCAAtablecondensed"/>
            </w:pPr>
            <w:r w:rsidRPr="00EE7CE6">
              <w:rPr>
                <w:b/>
                <w:bCs/>
              </w:rPr>
              <w:lastRenderedPageBreak/>
              <w:t>VCE VET Equine Studies</w:t>
            </w:r>
          </w:p>
        </w:tc>
      </w:tr>
      <w:tr w:rsidR="0014284F" w14:paraId="0BAF1934" w14:textId="77777777" w:rsidTr="00F86F11">
        <w:tc>
          <w:tcPr>
            <w:tcW w:w="1765" w:type="pct"/>
            <w:tcBorders>
              <w:top w:val="single" w:sz="4" w:space="0" w:color="auto"/>
            </w:tcBorders>
          </w:tcPr>
          <w:p w14:paraId="33EDDF3A" w14:textId="1E4DE37C" w:rsidR="00B8782F" w:rsidRPr="00D15CA7" w:rsidRDefault="00B8782F" w:rsidP="00EE7CE6">
            <w:pPr>
              <w:pStyle w:val="VCAAtablecondensed"/>
            </w:pPr>
            <w:r w:rsidRPr="00D15CA7">
              <w:t>22513VIC Certificate III in Equine Studies (Version 1.2)</w:t>
            </w:r>
          </w:p>
          <w:p w14:paraId="0C16DA39" w14:textId="02F8D5D3" w:rsidR="0014284F" w:rsidRPr="00D15CA7" w:rsidRDefault="0014284F" w:rsidP="00EE7CE6">
            <w:pPr>
              <w:pStyle w:val="VCAAtablecondensed"/>
            </w:pPr>
          </w:p>
        </w:tc>
        <w:tc>
          <w:tcPr>
            <w:tcW w:w="2134" w:type="pct"/>
            <w:tcBorders>
              <w:top w:val="single" w:sz="4" w:space="0" w:color="auto"/>
            </w:tcBorders>
          </w:tcPr>
          <w:p w14:paraId="108CF19A" w14:textId="44D0682B" w:rsidR="0014284F" w:rsidRPr="00C10E73" w:rsidRDefault="00B8782F" w:rsidP="00B8782F">
            <w:pPr>
              <w:pStyle w:val="VCAAtablecondensedbullet"/>
              <w:rPr>
                <w:color w:val="auto"/>
              </w:rPr>
            </w:pPr>
            <w:r w:rsidRPr="00D15CA7">
              <w:t xml:space="preserve">22513VIC Certificate III in Equine Studies expires on </w:t>
            </w:r>
            <w:r w:rsidR="00851741">
              <w:t xml:space="preserve">31 </w:t>
            </w:r>
            <w:r w:rsidRPr="00D15CA7">
              <w:t>March 202</w:t>
            </w:r>
            <w:r w:rsidR="0087161C">
              <w:t xml:space="preserve">4 and has a </w:t>
            </w:r>
            <w:hyperlink r:id="rId14" w:history="1">
              <w:r w:rsidR="0087161C" w:rsidRPr="00084FF4">
                <w:rPr>
                  <w:rStyle w:val="Hyperlink"/>
                </w:rPr>
                <w:t>two-year teach-out period</w:t>
              </w:r>
            </w:hyperlink>
            <w:r w:rsidR="0092574F" w:rsidRPr="00D15CA7">
              <w:t>.</w:t>
            </w:r>
          </w:p>
          <w:p w14:paraId="0614EDCC" w14:textId="77777777" w:rsidR="00F86F11" w:rsidRPr="00F86F11" w:rsidRDefault="0087161C" w:rsidP="0087161C">
            <w:pPr>
              <w:pStyle w:val="VCAAtablecondensedbullet"/>
              <w:rPr>
                <w:color w:val="auto"/>
              </w:rPr>
            </w:pPr>
            <w:r w:rsidRPr="00D15CA7">
              <w:t>All new and continuing students will enrol in 22513VIC Certificate III in Equine Studies</w:t>
            </w:r>
            <w:r>
              <w:t xml:space="preserve"> in 2024</w:t>
            </w:r>
            <w:r w:rsidRPr="00D15CA7">
              <w:t>.</w:t>
            </w:r>
          </w:p>
          <w:p w14:paraId="1CE8D4C3" w14:textId="0928061C" w:rsidR="0087161C" w:rsidRPr="00D15CA7" w:rsidRDefault="00F86F11" w:rsidP="0087161C">
            <w:pPr>
              <w:pStyle w:val="VCAAtablecondensedbullet"/>
              <w:rPr>
                <w:color w:val="auto"/>
              </w:rPr>
            </w:pPr>
            <w:r>
              <w:t xml:space="preserve">The scored program will remain in </w:t>
            </w:r>
            <w:r w:rsidRPr="00D15CA7">
              <w:t>22513VIC Certificate III in Equine Studies</w:t>
            </w:r>
            <w:r>
              <w:t xml:space="preserve"> for 2024 and 2025.</w:t>
            </w:r>
          </w:p>
          <w:p w14:paraId="63BE77D3" w14:textId="25107639" w:rsidR="00BE69C1" w:rsidRPr="00D15CA7" w:rsidRDefault="00DF3987" w:rsidP="00BE69C1">
            <w:pPr>
              <w:pStyle w:val="VCAAtablecondensedbullet"/>
              <w:rPr>
                <w:color w:val="auto"/>
              </w:rPr>
            </w:pPr>
            <w:r>
              <w:t xml:space="preserve">The new scored program in </w:t>
            </w:r>
            <w:r w:rsidR="0087161C">
              <w:t>22647VIC Certificate III in Equine Studies</w:t>
            </w:r>
            <w:r>
              <w:t xml:space="preserve"> </w:t>
            </w:r>
            <w:r w:rsidR="002977B9" w:rsidRPr="00D15CA7">
              <w:t>will be</w:t>
            </w:r>
            <w:r w:rsidR="003A53B9" w:rsidRPr="00D15CA7">
              <w:t xml:space="preserve"> implemented in</w:t>
            </w:r>
            <w:r w:rsidR="002977B9" w:rsidRPr="00D15CA7">
              <w:t xml:space="preserve"> </w:t>
            </w:r>
            <w:r w:rsidR="0087161C" w:rsidRPr="00D15CA7">
              <w:t>202</w:t>
            </w:r>
            <w:r w:rsidR="0087161C">
              <w:t>6</w:t>
            </w:r>
            <w:r w:rsidR="003A53B9" w:rsidRPr="00D15CA7">
              <w:t>.</w:t>
            </w:r>
          </w:p>
        </w:tc>
        <w:tc>
          <w:tcPr>
            <w:tcW w:w="1101" w:type="pct"/>
            <w:tcBorders>
              <w:top w:val="single" w:sz="4" w:space="0" w:color="auto"/>
            </w:tcBorders>
          </w:tcPr>
          <w:p w14:paraId="4D4C85A0" w14:textId="6B243D42" w:rsidR="0014284F" w:rsidRPr="00EE7CE6" w:rsidRDefault="0014284F" w:rsidP="00EE7CE6">
            <w:pPr>
              <w:pStyle w:val="VCAAtablecondensed"/>
            </w:pPr>
            <w:r w:rsidRPr="00EE7CE6">
              <w:t>Not equivalent</w:t>
            </w:r>
          </w:p>
        </w:tc>
      </w:tr>
      <w:tr w:rsidR="006B10E6" w14:paraId="4A2B5939" w14:textId="77777777" w:rsidTr="006B10E6">
        <w:tc>
          <w:tcPr>
            <w:tcW w:w="5000" w:type="pct"/>
            <w:gridSpan w:val="3"/>
          </w:tcPr>
          <w:p w14:paraId="76057375" w14:textId="3E3A1D54" w:rsidR="006B10E6" w:rsidRDefault="006B10E6" w:rsidP="0020020B">
            <w:pPr>
              <w:pStyle w:val="VCAAtablecondensed"/>
            </w:pPr>
            <w:r w:rsidRPr="00247082">
              <w:rPr>
                <w:b/>
                <w:bCs/>
              </w:rPr>
              <w:t>VCE VET Events and Tourism</w:t>
            </w:r>
          </w:p>
        </w:tc>
      </w:tr>
      <w:tr w:rsidR="0014284F" w14:paraId="3DAF8B9F" w14:textId="77777777" w:rsidTr="00E02ABD">
        <w:tc>
          <w:tcPr>
            <w:tcW w:w="1765" w:type="pct"/>
          </w:tcPr>
          <w:p w14:paraId="453EA841" w14:textId="3EAA63C2" w:rsidR="0014284F" w:rsidRPr="00D15CA7" w:rsidRDefault="0014284F" w:rsidP="00247082">
            <w:pPr>
              <w:pStyle w:val="VCAAtablecondensed"/>
            </w:pPr>
            <w:r w:rsidRPr="00D15CA7">
              <w:t xml:space="preserve">SIT20122 Certificate II in Tourism </w:t>
            </w:r>
            <w:r w:rsidR="002E0781" w:rsidRPr="00D15CA7">
              <w:br/>
            </w:r>
            <w:r w:rsidRPr="00D15CA7">
              <w:t>(Release 1)</w:t>
            </w:r>
          </w:p>
          <w:p w14:paraId="1E30DD2C" w14:textId="77777777" w:rsidR="0014284F" w:rsidRPr="00D15CA7" w:rsidRDefault="0014284F" w:rsidP="00247082">
            <w:pPr>
              <w:pStyle w:val="VCAAtablecondensed"/>
            </w:pPr>
          </w:p>
        </w:tc>
        <w:tc>
          <w:tcPr>
            <w:tcW w:w="2134" w:type="pct"/>
          </w:tcPr>
          <w:p w14:paraId="53A1A3D2" w14:textId="7C3DA452" w:rsidR="0014284F" w:rsidRPr="00D15CA7" w:rsidRDefault="0014284F" w:rsidP="00247082">
            <w:pPr>
              <w:pStyle w:val="VCAAtablecondensedbullet"/>
            </w:pPr>
            <w:r w:rsidRPr="00D15CA7">
              <w:t>All new enrolments will enrol in SIT20122 Certificate II in Tourism (VE1)</w:t>
            </w:r>
            <w:r w:rsidR="00E85E32" w:rsidRPr="00D15CA7">
              <w:t>.</w:t>
            </w:r>
          </w:p>
        </w:tc>
        <w:tc>
          <w:tcPr>
            <w:tcW w:w="1101" w:type="pct"/>
          </w:tcPr>
          <w:p w14:paraId="2ABA071C" w14:textId="6CE975D3" w:rsidR="0014284F" w:rsidRPr="00247082" w:rsidRDefault="0014284F" w:rsidP="00247082">
            <w:pPr>
              <w:pStyle w:val="VCAAtablecondensed"/>
            </w:pPr>
            <w:r w:rsidRPr="00247082">
              <w:t>New</w:t>
            </w:r>
          </w:p>
        </w:tc>
      </w:tr>
      <w:tr w:rsidR="0014284F" w14:paraId="70A3A8AB" w14:textId="77777777" w:rsidTr="00E02ABD">
        <w:trPr>
          <w:cantSplit/>
        </w:trPr>
        <w:tc>
          <w:tcPr>
            <w:tcW w:w="1765" w:type="pct"/>
          </w:tcPr>
          <w:p w14:paraId="4DE8AF9E" w14:textId="0FD21A4A" w:rsidR="0014284F" w:rsidRPr="00D15CA7" w:rsidRDefault="0014284F" w:rsidP="00D15CA7">
            <w:pPr>
              <w:pStyle w:val="VCAAtablecondensed"/>
            </w:pPr>
            <w:r w:rsidRPr="00D15CA7">
              <w:t>SIT30122 Certificate III in Tourism</w:t>
            </w:r>
            <w:r w:rsidR="00D15CA7">
              <w:br/>
            </w:r>
            <w:r w:rsidRPr="00D15CA7">
              <w:t>(Release 1)</w:t>
            </w:r>
          </w:p>
        </w:tc>
        <w:tc>
          <w:tcPr>
            <w:tcW w:w="2134" w:type="pct"/>
          </w:tcPr>
          <w:p w14:paraId="2FB29D33" w14:textId="68A85A4E" w:rsidR="0014284F" w:rsidRPr="00D15CA7" w:rsidRDefault="0014284F" w:rsidP="00247082">
            <w:pPr>
              <w:pStyle w:val="VCAAtablecondensedbullet"/>
            </w:pPr>
            <w:r w:rsidRPr="00D15CA7">
              <w:t>All new enrolments will enrol in SIT30122 Certificate III in Tourism (VE1)</w:t>
            </w:r>
            <w:r w:rsidR="00E85E32" w:rsidRPr="00D15CA7">
              <w:t>.</w:t>
            </w:r>
          </w:p>
          <w:p w14:paraId="72A61511" w14:textId="71393FFE" w:rsidR="0014284F" w:rsidRPr="00D15CA7" w:rsidRDefault="0014284F" w:rsidP="00247082">
            <w:pPr>
              <w:pStyle w:val="VCAAtablecondensedbullet"/>
              <w:rPr>
                <w:color w:val="auto"/>
              </w:rPr>
            </w:pPr>
            <w:r w:rsidRPr="00D15CA7">
              <w:t xml:space="preserve">All continuing students will remain in the existing program SIT30116 Certificate III in Tourism (VE3) to allow for </w:t>
            </w:r>
            <w:r w:rsidR="00E85E32" w:rsidRPr="00D15CA7">
              <w:t xml:space="preserve">the </w:t>
            </w:r>
            <w:r w:rsidRPr="00D15CA7">
              <w:t xml:space="preserve">accrual of </w:t>
            </w:r>
            <w:r w:rsidR="00E85E32" w:rsidRPr="00D15CA7">
              <w:t xml:space="preserve">a </w:t>
            </w:r>
            <w:r w:rsidRPr="00D15CA7">
              <w:t>Unit 3–4 sequence</w:t>
            </w:r>
            <w:r w:rsidR="00E85E32" w:rsidRPr="00D15CA7">
              <w:t>.</w:t>
            </w:r>
          </w:p>
        </w:tc>
        <w:tc>
          <w:tcPr>
            <w:tcW w:w="1101" w:type="pct"/>
          </w:tcPr>
          <w:p w14:paraId="0726A564" w14:textId="434B68E4" w:rsidR="0014284F" w:rsidRPr="00247082" w:rsidRDefault="0014284F" w:rsidP="00247082">
            <w:pPr>
              <w:pStyle w:val="VCAAtablecondensed"/>
            </w:pPr>
            <w:r w:rsidRPr="00247082">
              <w:t>New</w:t>
            </w:r>
          </w:p>
        </w:tc>
      </w:tr>
      <w:tr w:rsidR="0014284F" w14:paraId="480ADEA8" w14:textId="77777777" w:rsidTr="00E02ABD">
        <w:tc>
          <w:tcPr>
            <w:tcW w:w="1765" w:type="pct"/>
          </w:tcPr>
          <w:p w14:paraId="109BE08F" w14:textId="22D61D20" w:rsidR="0014284F" w:rsidRPr="00D15CA7" w:rsidRDefault="0014284F" w:rsidP="00D176D1">
            <w:pPr>
              <w:pStyle w:val="VCAAtablecondensed"/>
            </w:pPr>
            <w:r w:rsidRPr="00D15CA7">
              <w:t>SIT30522 Certificate III in Events</w:t>
            </w:r>
            <w:r w:rsidR="002E0781" w:rsidRPr="00D15CA7">
              <w:t xml:space="preserve"> </w:t>
            </w:r>
            <w:r w:rsidR="002E0781" w:rsidRPr="00D15CA7">
              <w:br/>
            </w:r>
            <w:r w:rsidRPr="00D15CA7">
              <w:t>(Release 1)</w:t>
            </w:r>
          </w:p>
        </w:tc>
        <w:tc>
          <w:tcPr>
            <w:tcW w:w="2134" w:type="pct"/>
          </w:tcPr>
          <w:p w14:paraId="664AA34E" w14:textId="4843D965" w:rsidR="0014284F" w:rsidRPr="00D15CA7" w:rsidRDefault="0014284F" w:rsidP="00247082">
            <w:pPr>
              <w:pStyle w:val="VCAAtablecondensedbullet"/>
            </w:pPr>
            <w:r w:rsidRPr="00D15CA7">
              <w:t>All new enrolments will enrol in SIT30522 Certificate III in Events (VE1)</w:t>
            </w:r>
            <w:r w:rsidR="0052173A" w:rsidRPr="00D15CA7">
              <w:t>.</w:t>
            </w:r>
          </w:p>
          <w:p w14:paraId="47029A87" w14:textId="575F44B2" w:rsidR="0014284F" w:rsidRPr="00D15CA7" w:rsidRDefault="0014284F" w:rsidP="00247082">
            <w:pPr>
              <w:pStyle w:val="VCAAtablecondensedbullet"/>
              <w:rPr>
                <w:color w:val="auto"/>
              </w:rPr>
            </w:pPr>
            <w:r w:rsidRPr="00D15CA7">
              <w:t>All continuing students will remain in the existing program SIT30516 Certificate III in Events (VE3) to allow for</w:t>
            </w:r>
            <w:r w:rsidR="007B7F70" w:rsidRPr="00D15CA7">
              <w:t xml:space="preserve"> the</w:t>
            </w:r>
            <w:r w:rsidRPr="00D15CA7">
              <w:t xml:space="preserve"> accrual of</w:t>
            </w:r>
            <w:r w:rsidR="007B7F70" w:rsidRPr="00D15CA7">
              <w:t xml:space="preserve"> a</w:t>
            </w:r>
            <w:r w:rsidRPr="00D15CA7">
              <w:t xml:space="preserve"> Unit 3–4 sequence</w:t>
            </w:r>
            <w:r w:rsidR="007B7F70" w:rsidRPr="00D15CA7">
              <w:t>.</w:t>
            </w:r>
          </w:p>
        </w:tc>
        <w:tc>
          <w:tcPr>
            <w:tcW w:w="1101" w:type="pct"/>
          </w:tcPr>
          <w:p w14:paraId="6FD135D3" w14:textId="11A418B7" w:rsidR="0014284F" w:rsidRPr="00247082" w:rsidRDefault="0014284F" w:rsidP="00247082">
            <w:pPr>
              <w:pStyle w:val="VCAAtablecondensed"/>
            </w:pPr>
            <w:r w:rsidRPr="00247082">
              <w:t>New</w:t>
            </w:r>
          </w:p>
        </w:tc>
      </w:tr>
      <w:tr w:rsidR="006B10E6" w14:paraId="1E3F27BA" w14:textId="77777777" w:rsidTr="00502B9C">
        <w:tc>
          <w:tcPr>
            <w:tcW w:w="5000" w:type="pct"/>
            <w:gridSpan w:val="3"/>
            <w:tcBorders>
              <w:bottom w:val="single" w:sz="4" w:space="0" w:color="000000" w:themeColor="text1"/>
            </w:tcBorders>
          </w:tcPr>
          <w:p w14:paraId="4D6B08D8" w14:textId="435821D6" w:rsidR="006B10E6" w:rsidRDefault="006B10E6" w:rsidP="0020020B">
            <w:pPr>
              <w:pStyle w:val="VCAAtablecondensed"/>
            </w:pPr>
            <w:r w:rsidRPr="005C1C60">
              <w:rPr>
                <w:b/>
                <w:bCs/>
              </w:rPr>
              <w:t>VCE VET Furnishing</w:t>
            </w:r>
          </w:p>
        </w:tc>
      </w:tr>
      <w:tr w:rsidR="005C1C60" w14:paraId="42FFC7E6" w14:textId="77777777" w:rsidTr="00502B9C">
        <w:tc>
          <w:tcPr>
            <w:tcW w:w="1765" w:type="pct"/>
            <w:tcBorders>
              <w:bottom w:val="single" w:sz="4" w:space="0" w:color="auto"/>
            </w:tcBorders>
          </w:tcPr>
          <w:p w14:paraId="46546D5A" w14:textId="1AB75484" w:rsidR="005C1C60" w:rsidRPr="00D15CA7" w:rsidRDefault="002E0781" w:rsidP="005C1C60">
            <w:pPr>
              <w:pStyle w:val="VCAAtablecondensed"/>
            </w:pPr>
            <w:r w:rsidRPr="00D15CA7">
              <w:t>MSF20522 Certificate II in Furniture Making Pathways (Release 1)</w:t>
            </w:r>
          </w:p>
        </w:tc>
        <w:tc>
          <w:tcPr>
            <w:tcW w:w="2134" w:type="pct"/>
            <w:tcBorders>
              <w:bottom w:val="single" w:sz="4" w:space="0" w:color="auto"/>
            </w:tcBorders>
          </w:tcPr>
          <w:p w14:paraId="5817D525" w14:textId="77777777" w:rsidR="005C1C60" w:rsidRDefault="002E0781" w:rsidP="00C10E73">
            <w:pPr>
              <w:pStyle w:val="VCAAtablecondensedbullet"/>
            </w:pPr>
            <w:r w:rsidRPr="00D15CA7">
              <w:t>All new and continuing students will enrol in MSF20522 Certificate II in Furniture Making Pathways.</w:t>
            </w:r>
          </w:p>
          <w:p w14:paraId="2FF3F980" w14:textId="11C2B3F3" w:rsidR="006342D7" w:rsidRPr="00D15CA7" w:rsidRDefault="006342D7" w:rsidP="00C10E73">
            <w:pPr>
              <w:pStyle w:val="VCAAtablecondensedbullet"/>
            </w:pPr>
            <w:r>
              <w:t>The new scored program will be implemented in 2024.</w:t>
            </w:r>
          </w:p>
        </w:tc>
        <w:tc>
          <w:tcPr>
            <w:tcW w:w="1101" w:type="pct"/>
            <w:tcBorders>
              <w:bottom w:val="single" w:sz="4" w:space="0" w:color="auto"/>
            </w:tcBorders>
          </w:tcPr>
          <w:p w14:paraId="3DB77B3E" w14:textId="60BE413B" w:rsidR="005C1C60" w:rsidRPr="005C1C60" w:rsidRDefault="002E0781" w:rsidP="005C1C60">
            <w:pPr>
              <w:pStyle w:val="VCAAtablecondensed"/>
            </w:pPr>
            <w:r>
              <w:t>E</w:t>
            </w:r>
            <w:r w:rsidR="00201955" w:rsidRPr="00840649">
              <w:t>quivalent</w:t>
            </w:r>
          </w:p>
        </w:tc>
      </w:tr>
      <w:tr w:rsidR="00502B9C" w14:paraId="64D2813B" w14:textId="77777777" w:rsidTr="00502B9C">
        <w:tc>
          <w:tcPr>
            <w:tcW w:w="17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7D171" w14:textId="77777777" w:rsidR="00502B9C" w:rsidRDefault="00502B9C" w:rsidP="005C1C60">
            <w:pPr>
              <w:pStyle w:val="VCAAtablecondensed"/>
            </w:pPr>
          </w:p>
          <w:p w14:paraId="4BE2119B" w14:textId="77777777" w:rsidR="00502B9C" w:rsidRDefault="00502B9C" w:rsidP="005C1C60">
            <w:pPr>
              <w:pStyle w:val="VCAAtablecondensed"/>
            </w:pPr>
          </w:p>
          <w:p w14:paraId="7A2CB7C1" w14:textId="77777777" w:rsidR="00502B9C" w:rsidRDefault="00502B9C" w:rsidP="005C1C60">
            <w:pPr>
              <w:pStyle w:val="VCAAtablecondensed"/>
            </w:pPr>
          </w:p>
          <w:p w14:paraId="27AFCCEC" w14:textId="77777777" w:rsidR="00502B9C" w:rsidRDefault="00502B9C" w:rsidP="005C1C60">
            <w:pPr>
              <w:pStyle w:val="VCAAtablecondensed"/>
            </w:pPr>
          </w:p>
          <w:p w14:paraId="46A58BEA" w14:textId="77777777" w:rsidR="00502B9C" w:rsidRDefault="00502B9C" w:rsidP="005C1C60">
            <w:pPr>
              <w:pStyle w:val="VCAAtablecondensed"/>
            </w:pPr>
          </w:p>
          <w:p w14:paraId="0FDE91BB" w14:textId="77777777" w:rsidR="00502B9C" w:rsidRPr="00D15CA7" w:rsidRDefault="00502B9C" w:rsidP="005C1C60">
            <w:pPr>
              <w:pStyle w:val="VCAAtablecondensed"/>
            </w:pP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D95760" w14:textId="77777777" w:rsidR="00502B9C" w:rsidRDefault="00502B9C" w:rsidP="00502B9C">
            <w:pPr>
              <w:pStyle w:val="VCAAtablecondensedbullet"/>
              <w:numPr>
                <w:ilvl w:val="0"/>
                <w:numId w:val="0"/>
              </w:numPr>
            </w:pPr>
          </w:p>
          <w:p w14:paraId="6C32299B" w14:textId="77777777" w:rsidR="00C10302" w:rsidRPr="00C10302" w:rsidRDefault="00C10302" w:rsidP="00C10302">
            <w:pPr>
              <w:rPr>
                <w:lang w:val="en-GB" w:eastAsia="ja-JP"/>
              </w:rPr>
            </w:pPr>
          </w:p>
          <w:p w14:paraId="6A9C85A9" w14:textId="77777777" w:rsidR="00C10302" w:rsidRPr="00C10302" w:rsidRDefault="00C10302" w:rsidP="00C10302">
            <w:pPr>
              <w:rPr>
                <w:lang w:val="en-GB" w:eastAsia="ja-JP"/>
              </w:rPr>
            </w:pPr>
          </w:p>
          <w:p w14:paraId="2491891D" w14:textId="77777777" w:rsidR="00C10302" w:rsidRPr="00C10302" w:rsidRDefault="00C10302" w:rsidP="00C10302">
            <w:pPr>
              <w:rPr>
                <w:lang w:val="en-GB" w:eastAsia="ja-JP"/>
              </w:rPr>
            </w:pPr>
          </w:p>
          <w:p w14:paraId="58420852" w14:textId="77777777" w:rsidR="00C10302" w:rsidRDefault="00C10302" w:rsidP="00C10302">
            <w:pPr>
              <w:rPr>
                <w:rFonts w:eastAsia="Times New Roman" w:cs="Arial"/>
                <w:sz w:val="20"/>
                <w:lang w:val="en-GB" w:eastAsia="ja-JP"/>
              </w:rPr>
            </w:pPr>
          </w:p>
          <w:p w14:paraId="33136755" w14:textId="77777777" w:rsidR="00C10302" w:rsidRPr="00C10302" w:rsidRDefault="00C10302" w:rsidP="00C10302">
            <w:pPr>
              <w:rPr>
                <w:lang w:val="en-GB" w:eastAsia="ja-JP"/>
              </w:rPr>
            </w:pPr>
          </w:p>
          <w:p w14:paraId="0501CCE6" w14:textId="77777777" w:rsidR="00C10302" w:rsidRDefault="00C10302" w:rsidP="00C10302">
            <w:pPr>
              <w:rPr>
                <w:rFonts w:eastAsia="Times New Roman" w:cs="Arial"/>
                <w:sz w:val="20"/>
                <w:lang w:val="en-GB" w:eastAsia="ja-JP"/>
              </w:rPr>
            </w:pPr>
          </w:p>
          <w:p w14:paraId="68897A57" w14:textId="77777777" w:rsidR="00C10302" w:rsidRPr="00C10302" w:rsidRDefault="00C10302" w:rsidP="00C10302">
            <w:pPr>
              <w:jc w:val="center"/>
              <w:rPr>
                <w:lang w:val="en-GB" w:eastAsia="ja-JP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27396A" w14:textId="77777777" w:rsidR="00502B9C" w:rsidRDefault="00502B9C" w:rsidP="005C1C60">
            <w:pPr>
              <w:pStyle w:val="VCAAtablecondensed"/>
            </w:pPr>
          </w:p>
        </w:tc>
      </w:tr>
      <w:tr w:rsidR="006B10E6" w14:paraId="59B9841F" w14:textId="77777777" w:rsidTr="00502B9C">
        <w:tc>
          <w:tcPr>
            <w:tcW w:w="5000" w:type="pct"/>
            <w:gridSpan w:val="3"/>
            <w:tcBorders>
              <w:top w:val="nil"/>
            </w:tcBorders>
          </w:tcPr>
          <w:p w14:paraId="0A14C440" w14:textId="52D48110" w:rsidR="006B10E6" w:rsidRDefault="006B10E6" w:rsidP="005C1C60">
            <w:pPr>
              <w:pStyle w:val="VCAAtablecondensed"/>
            </w:pPr>
            <w:r w:rsidRPr="00840649">
              <w:rPr>
                <w:b/>
                <w:bCs/>
              </w:rPr>
              <w:lastRenderedPageBreak/>
              <w:t>VCE VET Health</w:t>
            </w:r>
          </w:p>
        </w:tc>
      </w:tr>
      <w:tr w:rsidR="00840649" w14:paraId="5BE5FD9F" w14:textId="77777777" w:rsidTr="00E02ABD">
        <w:tc>
          <w:tcPr>
            <w:tcW w:w="1765" w:type="pct"/>
          </w:tcPr>
          <w:p w14:paraId="09DCC360" w14:textId="28A8F8DD" w:rsidR="00840649" w:rsidRPr="00D15CA7" w:rsidRDefault="00840649" w:rsidP="00840649">
            <w:pPr>
              <w:pStyle w:val="VCAAtablecondensed"/>
            </w:pPr>
            <w:r w:rsidRPr="00D15CA7">
              <w:t>HLT23221 Certificate II in Health Support Services (Release 1)</w:t>
            </w:r>
          </w:p>
        </w:tc>
        <w:tc>
          <w:tcPr>
            <w:tcW w:w="2134" w:type="pct"/>
          </w:tcPr>
          <w:p w14:paraId="753FE5DB" w14:textId="3C2ADC3A" w:rsidR="00840649" w:rsidRPr="00D15CA7" w:rsidRDefault="00840649" w:rsidP="00840649">
            <w:pPr>
              <w:pStyle w:val="VCAAtablecondensedbullet"/>
            </w:pPr>
            <w:r w:rsidRPr="00D15CA7">
              <w:t>All new and continuing students will enrol in HLT23221 Certificate II in Health Support Services</w:t>
            </w:r>
            <w:r w:rsidR="00210D56" w:rsidRPr="00D15CA7">
              <w:t>.</w:t>
            </w:r>
          </w:p>
        </w:tc>
        <w:tc>
          <w:tcPr>
            <w:tcW w:w="1101" w:type="pct"/>
          </w:tcPr>
          <w:p w14:paraId="2F61F44D" w14:textId="1D365D21" w:rsidR="00840649" w:rsidRPr="00840649" w:rsidRDefault="00840649" w:rsidP="00840649">
            <w:pPr>
              <w:pStyle w:val="VCAAtablecondensed"/>
            </w:pPr>
            <w:r w:rsidRPr="00840649">
              <w:t>Equivalent</w:t>
            </w:r>
          </w:p>
        </w:tc>
      </w:tr>
      <w:tr w:rsidR="00840649" w14:paraId="6B189A36" w14:textId="77777777" w:rsidTr="00502B9C">
        <w:tc>
          <w:tcPr>
            <w:tcW w:w="1765" w:type="pct"/>
            <w:tcBorders>
              <w:bottom w:val="single" w:sz="4" w:space="0" w:color="000000" w:themeColor="text1"/>
            </w:tcBorders>
          </w:tcPr>
          <w:p w14:paraId="38BACE40" w14:textId="7DD96832" w:rsidR="00840649" w:rsidRPr="00D15CA7" w:rsidRDefault="00840649" w:rsidP="00840649">
            <w:pPr>
              <w:pStyle w:val="VCAAtablecondensed"/>
            </w:pPr>
            <w:r w:rsidRPr="00D15CA7">
              <w:t>HLT33021 Certificate III in Allied Health Assistance (Release 1)</w:t>
            </w:r>
          </w:p>
        </w:tc>
        <w:tc>
          <w:tcPr>
            <w:tcW w:w="2134" w:type="pct"/>
            <w:tcBorders>
              <w:bottom w:val="single" w:sz="4" w:space="0" w:color="000000" w:themeColor="text1"/>
            </w:tcBorders>
          </w:tcPr>
          <w:p w14:paraId="024CEEE1" w14:textId="13DF3225" w:rsidR="00840649" w:rsidRPr="00D15CA7" w:rsidRDefault="00840649" w:rsidP="00840649">
            <w:pPr>
              <w:pStyle w:val="VCAAtablecondensedbullet"/>
            </w:pPr>
            <w:r w:rsidRPr="00D15CA7">
              <w:t>All new enrolments will enrol in HLT33021 Certificate III in Allied Health Assistance</w:t>
            </w:r>
            <w:r w:rsidR="00210D56" w:rsidRPr="00D15CA7">
              <w:t>.</w:t>
            </w:r>
          </w:p>
          <w:p w14:paraId="5C74E64F" w14:textId="2C0D8D48" w:rsidR="00840649" w:rsidRPr="00D15CA7" w:rsidRDefault="00840649" w:rsidP="00840649">
            <w:pPr>
              <w:pStyle w:val="VCAAtablecondensedbullet"/>
            </w:pPr>
            <w:r w:rsidRPr="00D15CA7">
              <w:t xml:space="preserve">All continuing students will remain in the existing program </w:t>
            </w:r>
            <w:r w:rsidR="00A027B1" w:rsidRPr="0033022D">
              <w:t xml:space="preserve">HLT33015 Certificate III in Allied Health Assistance </w:t>
            </w:r>
            <w:r w:rsidRPr="0033022D">
              <w:t xml:space="preserve">(incorporating HLT33115 Certificate III in Health Services </w:t>
            </w:r>
            <w:r w:rsidRPr="0033022D">
              <w:rPr>
                <w:color w:val="auto"/>
              </w:rPr>
              <w:t>Assistance)</w:t>
            </w:r>
            <w:r w:rsidR="00800CE3" w:rsidRPr="00D15CA7">
              <w:rPr>
                <w:color w:val="auto"/>
              </w:rPr>
              <w:t xml:space="preserve"> to allow for </w:t>
            </w:r>
            <w:r w:rsidR="00210D56" w:rsidRPr="00D15CA7">
              <w:rPr>
                <w:color w:val="auto"/>
              </w:rPr>
              <w:t xml:space="preserve">the </w:t>
            </w:r>
            <w:r w:rsidR="00800CE3" w:rsidRPr="00D15CA7">
              <w:rPr>
                <w:color w:val="auto"/>
              </w:rPr>
              <w:t xml:space="preserve">accrual of </w:t>
            </w:r>
            <w:r w:rsidR="0033022D">
              <w:rPr>
                <w:color w:val="auto"/>
              </w:rPr>
              <w:t>the scored</w:t>
            </w:r>
            <w:r w:rsidR="00210D56" w:rsidRPr="00D15CA7">
              <w:rPr>
                <w:color w:val="auto"/>
              </w:rPr>
              <w:t xml:space="preserve"> </w:t>
            </w:r>
            <w:r w:rsidR="00800CE3" w:rsidRPr="00D15CA7">
              <w:rPr>
                <w:color w:val="auto"/>
              </w:rPr>
              <w:t>Unit 3–4 sequence</w:t>
            </w:r>
            <w:r w:rsidR="00210D56" w:rsidRPr="00D15CA7">
              <w:rPr>
                <w:color w:val="auto"/>
              </w:rPr>
              <w:t>.</w:t>
            </w:r>
          </w:p>
          <w:p w14:paraId="10BEE8B8" w14:textId="51982F61" w:rsidR="00A027B1" w:rsidRPr="00D15CA7" w:rsidRDefault="00A027B1" w:rsidP="00A027B1">
            <w:pPr>
              <w:pStyle w:val="VCAAtablecondensedbullet"/>
            </w:pPr>
            <w:r w:rsidRPr="00D15CA7">
              <w:t>There can be no new enrolments in HLT33015 Certificate III in Allied Health Assistance (incorporating HLT33115 Certificate III in Health Services Assistance) in 2024</w:t>
            </w:r>
            <w:r w:rsidR="00210D56" w:rsidRPr="00D15CA7">
              <w:t>.</w:t>
            </w:r>
          </w:p>
          <w:p w14:paraId="1D9C33A1" w14:textId="26FA8E83" w:rsidR="00840649" w:rsidRPr="000D2A08" w:rsidRDefault="000D2A08" w:rsidP="000D2A08">
            <w:pPr>
              <w:pStyle w:val="VCAAtablecondensedbullet"/>
            </w:pPr>
            <w:r w:rsidRPr="00C10E73">
              <w:rPr>
                <w:rStyle w:val="cf01"/>
                <w:rFonts w:ascii="Arial Narrow" w:hAnsi="Arial Narrow" w:cs="Arial"/>
                <w:sz w:val="20"/>
                <w:szCs w:val="22"/>
              </w:rPr>
              <w:t xml:space="preserve">An </w:t>
            </w:r>
            <w:hyperlink r:id="rId15" w:history="1">
              <w:r w:rsidRPr="00C10E73">
                <w:rPr>
                  <w:rStyle w:val="Hyperlink"/>
                </w:rPr>
                <w:t>extension has been granted</w:t>
              </w:r>
            </w:hyperlink>
            <w:r w:rsidRPr="00C10E73">
              <w:rPr>
                <w:rStyle w:val="cf01"/>
                <w:rFonts w:ascii="Arial Narrow" w:hAnsi="Arial Narrow" w:cs="Arial"/>
                <w:sz w:val="20"/>
                <w:szCs w:val="22"/>
              </w:rPr>
              <w:t xml:space="preserve"> for HLT33015 Certificate III in Allied Health Assistance until 31 December 2024.</w:t>
            </w:r>
          </w:p>
          <w:p w14:paraId="71875147" w14:textId="1CD88EBA" w:rsidR="004067FF" w:rsidRPr="00C10E73" w:rsidRDefault="00A61167" w:rsidP="00E02ABD">
            <w:pPr>
              <w:pStyle w:val="VCAAtablecondensedbullet"/>
            </w:pPr>
            <w:r w:rsidRPr="00D15CA7">
              <w:t xml:space="preserve">The first year of </w:t>
            </w:r>
            <w:r w:rsidR="008E1F56" w:rsidRPr="00D15CA7">
              <w:t xml:space="preserve">the </w:t>
            </w:r>
            <w:r w:rsidRPr="00D15CA7">
              <w:t>new scored program will be 2025</w:t>
            </w:r>
            <w:r w:rsidR="008E1F56" w:rsidRPr="00D15CA7">
              <w:t>,</w:t>
            </w:r>
            <w:r w:rsidRPr="00D15CA7">
              <w:t xml:space="preserve"> with the Unit 3–4 sequence containing one new </w:t>
            </w:r>
            <w:r w:rsidR="008E1F56" w:rsidRPr="00D15CA7">
              <w:t>elective unit of competency.</w:t>
            </w:r>
          </w:p>
        </w:tc>
        <w:tc>
          <w:tcPr>
            <w:tcW w:w="1101" w:type="pct"/>
            <w:tcBorders>
              <w:bottom w:val="single" w:sz="4" w:space="0" w:color="000000" w:themeColor="text1"/>
            </w:tcBorders>
          </w:tcPr>
          <w:p w14:paraId="6F45FD70" w14:textId="36C18F99" w:rsidR="00840649" w:rsidRPr="00840649" w:rsidRDefault="00840649" w:rsidP="00840649">
            <w:pPr>
              <w:pStyle w:val="VCAAtablecondensed"/>
            </w:pPr>
            <w:r w:rsidRPr="00840649">
              <w:t>Not equivalent</w:t>
            </w:r>
          </w:p>
        </w:tc>
      </w:tr>
      <w:tr w:rsidR="00840649" w14:paraId="464319BB" w14:textId="77777777" w:rsidTr="00502B9C">
        <w:trPr>
          <w:cantSplit/>
        </w:trPr>
        <w:tc>
          <w:tcPr>
            <w:tcW w:w="1765" w:type="pct"/>
            <w:tcBorders>
              <w:bottom w:val="single" w:sz="4" w:space="0" w:color="auto"/>
            </w:tcBorders>
          </w:tcPr>
          <w:p w14:paraId="081A654C" w14:textId="5521A8E5" w:rsidR="00840649" w:rsidRPr="00D15CA7" w:rsidRDefault="00840649" w:rsidP="00840649">
            <w:pPr>
              <w:pStyle w:val="VCAAtablecondensed"/>
            </w:pPr>
            <w:r w:rsidRPr="00D15CA7">
              <w:t>HLT33115 Certificate III in Health Services Assistance (Release 5)</w:t>
            </w:r>
          </w:p>
        </w:tc>
        <w:tc>
          <w:tcPr>
            <w:tcW w:w="2134" w:type="pct"/>
            <w:tcBorders>
              <w:bottom w:val="single" w:sz="4" w:space="0" w:color="auto"/>
            </w:tcBorders>
          </w:tcPr>
          <w:p w14:paraId="5B8264E8" w14:textId="12140256" w:rsidR="00840649" w:rsidRPr="00D15CA7" w:rsidRDefault="00AF1205" w:rsidP="00840649">
            <w:pPr>
              <w:pStyle w:val="VCAAtablecondensedbullet"/>
            </w:pPr>
            <w:r w:rsidRPr="00D15CA7">
              <w:t>All new enrolments will enrol in HLT33115 Certificate III in Health Services Assistance</w:t>
            </w:r>
            <w:r w:rsidR="008E1F56" w:rsidRPr="00D15CA7">
              <w:t>.</w:t>
            </w:r>
          </w:p>
          <w:p w14:paraId="3465FA83" w14:textId="7A59DAD9" w:rsidR="00840649" w:rsidRPr="00D15CA7" w:rsidRDefault="00AF1205" w:rsidP="00840649">
            <w:pPr>
              <w:pStyle w:val="VCAAtablecondensedbullet"/>
            </w:pPr>
            <w:r w:rsidRPr="00D15CA7">
              <w:t>All continuing students will remain in the existing program HLT33015 Certificate III in Allied Health Assistance (</w:t>
            </w:r>
            <w:r w:rsidRPr="00D15CA7">
              <w:rPr>
                <w:color w:val="auto"/>
              </w:rPr>
              <w:t>incorporating HLT33115 Certificate III in Health Services Assistance)</w:t>
            </w:r>
            <w:r w:rsidR="00800CE3" w:rsidRPr="00D15CA7">
              <w:rPr>
                <w:color w:val="auto"/>
              </w:rPr>
              <w:t xml:space="preserve"> to allow for </w:t>
            </w:r>
            <w:r w:rsidR="008E1F56" w:rsidRPr="00D15CA7">
              <w:rPr>
                <w:color w:val="auto"/>
              </w:rPr>
              <w:t xml:space="preserve">the </w:t>
            </w:r>
            <w:r w:rsidR="00800CE3" w:rsidRPr="00D15CA7">
              <w:rPr>
                <w:color w:val="auto"/>
              </w:rPr>
              <w:t xml:space="preserve">accrual of </w:t>
            </w:r>
            <w:r w:rsidR="008E1F56" w:rsidRPr="00D15CA7">
              <w:rPr>
                <w:color w:val="auto"/>
              </w:rPr>
              <w:t xml:space="preserve">a </w:t>
            </w:r>
            <w:r w:rsidR="00800CE3" w:rsidRPr="00D15CA7">
              <w:rPr>
                <w:color w:val="auto"/>
              </w:rPr>
              <w:t>Unit 3–4 sequence</w:t>
            </w:r>
            <w:r w:rsidR="008E1F56" w:rsidRPr="00D15CA7">
              <w:rPr>
                <w:color w:val="auto"/>
              </w:rPr>
              <w:t>.</w:t>
            </w:r>
          </w:p>
          <w:p w14:paraId="34263766" w14:textId="58904B99" w:rsidR="00AF1205" w:rsidRPr="00D15CA7" w:rsidRDefault="00AF1205" w:rsidP="00AF1205">
            <w:pPr>
              <w:pStyle w:val="VCAAtablecondensedbullet"/>
            </w:pPr>
            <w:r w:rsidRPr="00D15CA7">
              <w:t>There can be no new enrolments in HLT33015 Certificate III in Allied Health Assistance (incorporating HLT33115 Certificate III in Health Services Assistance) in 2024</w:t>
            </w:r>
            <w:r w:rsidR="008E1F56" w:rsidRPr="00D15CA7">
              <w:t>.</w:t>
            </w:r>
          </w:p>
          <w:p w14:paraId="77ACB68C" w14:textId="3E5E7585" w:rsidR="00840649" w:rsidRPr="00D15CA7" w:rsidRDefault="00A61167" w:rsidP="00A61167">
            <w:pPr>
              <w:pStyle w:val="VCAAtablecondensedbullet"/>
            </w:pPr>
            <w:r w:rsidRPr="00D15CA7">
              <w:t xml:space="preserve">The first year of </w:t>
            </w:r>
            <w:r w:rsidR="008E1F56" w:rsidRPr="00D15CA7">
              <w:t xml:space="preserve">the </w:t>
            </w:r>
            <w:r w:rsidRPr="00D15CA7">
              <w:t>new scored program will be 2025</w:t>
            </w:r>
            <w:r w:rsidR="008E1F56" w:rsidRPr="00D15CA7">
              <w:t>,</w:t>
            </w:r>
            <w:r w:rsidRPr="00D15CA7">
              <w:t xml:space="preserve"> with the </w:t>
            </w:r>
            <w:r w:rsidR="00AF1205" w:rsidRPr="00D15CA7">
              <w:t xml:space="preserve">Unit 3–4 sequence </w:t>
            </w:r>
            <w:r w:rsidR="00840649" w:rsidRPr="00D15CA7">
              <w:t>contain</w:t>
            </w:r>
            <w:r w:rsidRPr="00D15CA7">
              <w:t>ing</w:t>
            </w:r>
            <w:r w:rsidR="00840649" w:rsidRPr="00D15CA7">
              <w:t xml:space="preserve"> one new </w:t>
            </w:r>
            <w:r w:rsidR="008E1F56" w:rsidRPr="00D15CA7">
              <w:t>elective unit of competency.</w:t>
            </w:r>
          </w:p>
        </w:tc>
        <w:tc>
          <w:tcPr>
            <w:tcW w:w="1101" w:type="pct"/>
            <w:tcBorders>
              <w:bottom w:val="single" w:sz="4" w:space="0" w:color="auto"/>
            </w:tcBorders>
          </w:tcPr>
          <w:p w14:paraId="37E423ED" w14:textId="533AEE2B" w:rsidR="00840649" w:rsidRPr="00840649" w:rsidRDefault="00840649" w:rsidP="00840649">
            <w:pPr>
              <w:pStyle w:val="VCAAtablecondensed"/>
            </w:pPr>
            <w:r w:rsidRPr="00840649">
              <w:t>Equivalent</w:t>
            </w:r>
          </w:p>
        </w:tc>
      </w:tr>
      <w:tr w:rsidR="00502B9C" w14:paraId="2B921B8A" w14:textId="77777777" w:rsidTr="00502B9C">
        <w:trPr>
          <w:cantSplit/>
        </w:trPr>
        <w:tc>
          <w:tcPr>
            <w:tcW w:w="17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C62606" w14:textId="77777777" w:rsidR="00502B9C" w:rsidRDefault="00502B9C" w:rsidP="00840649">
            <w:pPr>
              <w:pStyle w:val="VCAAtablecondensed"/>
            </w:pPr>
          </w:p>
          <w:p w14:paraId="4317AB0E" w14:textId="77777777" w:rsidR="00502B9C" w:rsidRDefault="00502B9C" w:rsidP="00840649">
            <w:pPr>
              <w:pStyle w:val="VCAAtablecondensed"/>
            </w:pPr>
          </w:p>
          <w:p w14:paraId="60A9C1EF" w14:textId="77777777" w:rsidR="00502B9C" w:rsidRDefault="00502B9C" w:rsidP="00840649">
            <w:pPr>
              <w:pStyle w:val="VCAAtablecondensed"/>
            </w:pPr>
          </w:p>
          <w:p w14:paraId="71E31C3B" w14:textId="77777777" w:rsidR="00502B9C" w:rsidRDefault="00502B9C" w:rsidP="00840649">
            <w:pPr>
              <w:pStyle w:val="VCAAtablecondensed"/>
            </w:pPr>
          </w:p>
          <w:p w14:paraId="28F5ED3E" w14:textId="77777777" w:rsidR="00502B9C" w:rsidRDefault="00502B9C" w:rsidP="00840649">
            <w:pPr>
              <w:pStyle w:val="VCAAtablecondensed"/>
            </w:pPr>
          </w:p>
          <w:p w14:paraId="44B6AB2D" w14:textId="77777777" w:rsidR="00502B9C" w:rsidRDefault="00502B9C" w:rsidP="00840649">
            <w:pPr>
              <w:pStyle w:val="VCAAtablecondensed"/>
            </w:pPr>
          </w:p>
          <w:p w14:paraId="3F64B2FD" w14:textId="77777777" w:rsidR="00502B9C" w:rsidRDefault="00502B9C" w:rsidP="00840649">
            <w:pPr>
              <w:pStyle w:val="VCAAtablecondensed"/>
            </w:pPr>
          </w:p>
          <w:p w14:paraId="127F9655" w14:textId="77777777" w:rsidR="00502B9C" w:rsidRPr="00D15CA7" w:rsidRDefault="00502B9C" w:rsidP="00840649">
            <w:pPr>
              <w:pStyle w:val="VCAAtablecondensed"/>
            </w:pP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6E49D" w14:textId="77777777" w:rsidR="00502B9C" w:rsidRPr="00D15CA7" w:rsidRDefault="00502B9C" w:rsidP="00502B9C">
            <w:pPr>
              <w:pStyle w:val="VCAAtablecondensed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6D3B8B" w14:textId="77777777" w:rsidR="00502B9C" w:rsidRPr="00840649" w:rsidRDefault="00502B9C" w:rsidP="00840649">
            <w:pPr>
              <w:pStyle w:val="VCAAtablecondensed"/>
            </w:pPr>
          </w:p>
        </w:tc>
      </w:tr>
      <w:tr w:rsidR="006B10E6" w14:paraId="1686EB82" w14:textId="77777777" w:rsidTr="00502B9C">
        <w:tc>
          <w:tcPr>
            <w:tcW w:w="5000" w:type="pct"/>
            <w:gridSpan w:val="3"/>
            <w:tcBorders>
              <w:top w:val="nil"/>
            </w:tcBorders>
          </w:tcPr>
          <w:p w14:paraId="198821D7" w14:textId="5C13E16E" w:rsidR="006B10E6" w:rsidRDefault="006B10E6" w:rsidP="00840649">
            <w:pPr>
              <w:pStyle w:val="VCAAtablecondensed"/>
            </w:pPr>
            <w:r w:rsidRPr="00840649">
              <w:rPr>
                <w:b/>
                <w:bCs/>
              </w:rPr>
              <w:lastRenderedPageBreak/>
              <w:t>VCE VET Laboratory Skills</w:t>
            </w:r>
          </w:p>
        </w:tc>
      </w:tr>
      <w:tr w:rsidR="00DD4620" w14:paraId="6CDCC26A" w14:textId="77777777" w:rsidTr="00E02ABD">
        <w:tc>
          <w:tcPr>
            <w:tcW w:w="1765" w:type="pct"/>
          </w:tcPr>
          <w:p w14:paraId="36390936" w14:textId="5DFB1586" w:rsidR="00DD4620" w:rsidRPr="00D15CA7" w:rsidRDefault="00DD4620" w:rsidP="00406A51">
            <w:pPr>
              <w:pStyle w:val="VCAAtablecondensed"/>
            </w:pPr>
            <w:r w:rsidRPr="00D15CA7">
              <w:t>MSL20122 Certificate II in Sampling and Measurement</w:t>
            </w:r>
            <w:r w:rsidR="00406A51" w:rsidRPr="00D15CA7">
              <w:t xml:space="preserve"> </w:t>
            </w:r>
            <w:r w:rsidRPr="00D15CA7">
              <w:t>(Release 1)</w:t>
            </w:r>
          </w:p>
        </w:tc>
        <w:tc>
          <w:tcPr>
            <w:tcW w:w="2134" w:type="pct"/>
          </w:tcPr>
          <w:p w14:paraId="47F21FFB" w14:textId="081AEA8C" w:rsidR="00DD4620" w:rsidRPr="00D15CA7" w:rsidRDefault="00D9724C" w:rsidP="00DD4620">
            <w:pPr>
              <w:pStyle w:val="VCAAtablecondensedbullet"/>
            </w:pPr>
            <w:r w:rsidRPr="00D15CA7">
              <w:t xml:space="preserve">2024 is the </w:t>
            </w:r>
            <w:r w:rsidR="00DD4620" w:rsidRPr="00D15CA7">
              <w:t>first year of implementation</w:t>
            </w:r>
            <w:r w:rsidRPr="00D15CA7">
              <w:t>.</w:t>
            </w:r>
          </w:p>
          <w:p w14:paraId="4523242C" w14:textId="0BA4A480" w:rsidR="00DD4620" w:rsidRPr="00D15CA7" w:rsidRDefault="00DD4620" w:rsidP="00DD4620">
            <w:pPr>
              <w:pStyle w:val="VCAAtablecondensedbullet"/>
            </w:pPr>
            <w:r w:rsidRPr="00D15CA7">
              <w:t>All new enrolments will enrol in MSL20122 Certificate II in Sampling and Measurement</w:t>
            </w:r>
            <w:r w:rsidR="00D9724C" w:rsidRPr="00D15CA7">
              <w:t>.</w:t>
            </w:r>
          </w:p>
        </w:tc>
        <w:tc>
          <w:tcPr>
            <w:tcW w:w="1101" w:type="pct"/>
          </w:tcPr>
          <w:p w14:paraId="702F97BB" w14:textId="24E58817" w:rsidR="00DD4620" w:rsidRPr="00DD4620" w:rsidRDefault="00DD4620" w:rsidP="00DD4620">
            <w:pPr>
              <w:pStyle w:val="VCAAtablecondensed"/>
            </w:pPr>
            <w:r w:rsidRPr="00DD4620">
              <w:t>New</w:t>
            </w:r>
          </w:p>
        </w:tc>
      </w:tr>
      <w:tr w:rsidR="00DD4620" w14:paraId="40B64438" w14:textId="77777777" w:rsidTr="00E02ABD">
        <w:tc>
          <w:tcPr>
            <w:tcW w:w="1765" w:type="pct"/>
          </w:tcPr>
          <w:p w14:paraId="2A2B6210" w14:textId="561B8573" w:rsidR="00DD4620" w:rsidRPr="00D15CA7" w:rsidRDefault="00DD4620" w:rsidP="00DD4620">
            <w:pPr>
              <w:pStyle w:val="VCAAtablecondensed"/>
            </w:pPr>
            <w:r w:rsidRPr="00D15CA7">
              <w:t>MSL30122 Certificate III in Laboratory Skills (Release 1)</w:t>
            </w:r>
          </w:p>
        </w:tc>
        <w:tc>
          <w:tcPr>
            <w:tcW w:w="2134" w:type="pct"/>
          </w:tcPr>
          <w:p w14:paraId="0C4EFB44" w14:textId="4DA832B9" w:rsidR="00DD4620" w:rsidRPr="00D15CA7" w:rsidRDefault="00E76F73" w:rsidP="00DD4620">
            <w:pPr>
              <w:pStyle w:val="VCAAtablecondensedbullet"/>
              <w:rPr>
                <w:color w:val="auto"/>
              </w:rPr>
            </w:pPr>
            <w:r w:rsidRPr="00D15CA7">
              <w:rPr>
                <w:color w:val="auto"/>
              </w:rPr>
              <w:t xml:space="preserve">All new and continuing students will enrol in </w:t>
            </w:r>
            <w:r w:rsidR="00DD4620" w:rsidRPr="00D15CA7">
              <w:rPr>
                <w:color w:val="auto"/>
              </w:rPr>
              <w:t>MSL30122 Certificate III in Laboratory Skills</w:t>
            </w:r>
            <w:r w:rsidR="00007DA4" w:rsidRPr="00D15CA7">
              <w:rPr>
                <w:color w:val="auto"/>
              </w:rPr>
              <w:t>.</w:t>
            </w:r>
          </w:p>
          <w:p w14:paraId="033E5D82" w14:textId="66E8ADAA" w:rsidR="00DD4620" w:rsidRPr="00D15CA7" w:rsidRDefault="00DD4620" w:rsidP="00DD4620">
            <w:pPr>
              <w:pStyle w:val="VCAAtablecondensedbullet"/>
              <w:rPr>
                <w:color w:val="auto"/>
              </w:rPr>
            </w:pPr>
            <w:r w:rsidRPr="00D15CA7">
              <w:rPr>
                <w:color w:val="auto"/>
              </w:rPr>
              <w:t xml:space="preserve">Students who commenced </w:t>
            </w:r>
            <w:r w:rsidR="00E76F73" w:rsidRPr="00D15CA7">
              <w:rPr>
                <w:color w:val="auto"/>
              </w:rPr>
              <w:t xml:space="preserve">MSL30118 Certificate III in Laboratory Skills </w:t>
            </w:r>
            <w:r w:rsidRPr="00D15CA7">
              <w:rPr>
                <w:color w:val="auto"/>
              </w:rPr>
              <w:t>in 2023 will be required to complete a gap assessment for a single unit</w:t>
            </w:r>
            <w:r w:rsidR="00007DA4" w:rsidRPr="00D15CA7">
              <w:rPr>
                <w:color w:val="auto"/>
              </w:rPr>
              <w:t xml:space="preserve"> of competency</w:t>
            </w:r>
            <w:r w:rsidR="006342D7">
              <w:rPr>
                <w:color w:val="auto"/>
              </w:rPr>
              <w:t xml:space="preserve">, </w:t>
            </w:r>
            <w:r w:rsidR="006342D7">
              <w:t>BSBCMM211 Apply communication skills</w:t>
            </w:r>
            <w:r w:rsidR="00007DA4" w:rsidRPr="00D15CA7">
              <w:rPr>
                <w:color w:val="auto"/>
              </w:rPr>
              <w:t>.</w:t>
            </w:r>
          </w:p>
          <w:p w14:paraId="5D5DC233" w14:textId="1335F29C" w:rsidR="00D4147D" w:rsidRPr="00D15CA7" w:rsidRDefault="00D4147D" w:rsidP="00DD4620">
            <w:pPr>
              <w:pStyle w:val="VCAAtablecondensedbullet"/>
              <w:rPr>
                <w:color w:val="auto"/>
              </w:rPr>
            </w:pPr>
            <w:r w:rsidRPr="00D15CA7">
              <w:rPr>
                <w:color w:val="auto"/>
              </w:rPr>
              <w:t xml:space="preserve">The new scored program will be </w:t>
            </w:r>
            <w:r w:rsidR="0013133B" w:rsidRPr="00D15CA7">
              <w:rPr>
                <w:color w:val="auto"/>
              </w:rPr>
              <w:t xml:space="preserve">implemented in </w:t>
            </w:r>
            <w:r w:rsidRPr="00D15CA7">
              <w:rPr>
                <w:color w:val="auto"/>
              </w:rPr>
              <w:t>2024</w:t>
            </w:r>
            <w:r w:rsidR="00007DA4" w:rsidRPr="00D15CA7">
              <w:rPr>
                <w:color w:val="auto"/>
              </w:rPr>
              <w:t>.</w:t>
            </w:r>
          </w:p>
        </w:tc>
        <w:tc>
          <w:tcPr>
            <w:tcW w:w="1101" w:type="pct"/>
          </w:tcPr>
          <w:p w14:paraId="70EFF5D1" w14:textId="25C1FCEE" w:rsidR="00DD4620" w:rsidRPr="00DD4620" w:rsidRDefault="00DD4620" w:rsidP="00DD4620">
            <w:pPr>
              <w:pStyle w:val="VCAAtablecondensed"/>
            </w:pPr>
            <w:r w:rsidRPr="00DD4620">
              <w:t>Equivalent</w:t>
            </w:r>
          </w:p>
        </w:tc>
      </w:tr>
      <w:tr w:rsidR="006B10E6" w14:paraId="336FF108" w14:textId="77777777" w:rsidTr="006B10E6">
        <w:tc>
          <w:tcPr>
            <w:tcW w:w="5000" w:type="pct"/>
            <w:gridSpan w:val="3"/>
          </w:tcPr>
          <w:p w14:paraId="52AC34BC" w14:textId="3F683F1E" w:rsidR="006B10E6" w:rsidRDefault="006B10E6" w:rsidP="00DD4620">
            <w:pPr>
              <w:pStyle w:val="VCAAtablecondensed"/>
            </w:pPr>
            <w:r w:rsidRPr="00840649">
              <w:rPr>
                <w:b/>
                <w:bCs/>
              </w:rPr>
              <w:t>VCE VET Small Business</w:t>
            </w:r>
          </w:p>
        </w:tc>
      </w:tr>
      <w:tr w:rsidR="00B00569" w14:paraId="2551F1ED" w14:textId="77777777" w:rsidTr="00E02ABD">
        <w:tc>
          <w:tcPr>
            <w:tcW w:w="1765" w:type="pct"/>
          </w:tcPr>
          <w:p w14:paraId="62C05311" w14:textId="0416DE45" w:rsidR="00B00569" w:rsidRPr="00D15CA7" w:rsidRDefault="00B00569" w:rsidP="00B00569">
            <w:pPr>
              <w:pStyle w:val="VCAAtablecondensed"/>
            </w:pPr>
            <w:r w:rsidRPr="00D15CA7">
              <w:t>22629VIC Certificate II in Small Business Operations and Innovation</w:t>
            </w:r>
            <w:r w:rsidR="00BE69C1" w:rsidRPr="00D15CA7">
              <w:t xml:space="preserve"> (Version 1.0)</w:t>
            </w:r>
          </w:p>
        </w:tc>
        <w:tc>
          <w:tcPr>
            <w:tcW w:w="2134" w:type="pct"/>
          </w:tcPr>
          <w:p w14:paraId="60BE6CA5" w14:textId="4364D837" w:rsidR="00B00569" w:rsidRPr="00D15CA7" w:rsidRDefault="00B00569" w:rsidP="00B00569">
            <w:pPr>
              <w:pStyle w:val="VCAAtablecondensedbullet"/>
            </w:pPr>
            <w:r w:rsidRPr="00D15CA7">
              <w:t>All new enrolments will enrol in 22629VIC Certificate II in Small Business Operations and Innovation</w:t>
            </w:r>
            <w:r w:rsidR="00414D25" w:rsidRPr="00D15CA7">
              <w:t>.</w:t>
            </w:r>
          </w:p>
          <w:p w14:paraId="073FAEA9" w14:textId="08B1D13F" w:rsidR="00B00569" w:rsidRPr="00D15CA7" w:rsidRDefault="00B00569" w:rsidP="00B00569">
            <w:pPr>
              <w:pStyle w:val="VCAAtablecondensedbullet"/>
              <w:rPr>
                <w:color w:val="auto"/>
              </w:rPr>
            </w:pPr>
            <w:r w:rsidRPr="00D15CA7">
              <w:t xml:space="preserve">All continuing students will remain in the existing program 22480VIC Certificate II in Small Business (Operations/Innovation) to allow for </w:t>
            </w:r>
            <w:r w:rsidR="00414D25" w:rsidRPr="00D15CA7">
              <w:t xml:space="preserve">the </w:t>
            </w:r>
            <w:r w:rsidRPr="00D15CA7">
              <w:t xml:space="preserve">accrual of </w:t>
            </w:r>
            <w:r w:rsidR="00414D25" w:rsidRPr="00D15CA7">
              <w:t xml:space="preserve">a </w:t>
            </w:r>
            <w:r w:rsidRPr="00D15CA7">
              <w:t>Unit 3–4 sequence</w:t>
            </w:r>
            <w:r w:rsidR="00414D25" w:rsidRPr="00D15CA7">
              <w:t>.</w:t>
            </w:r>
          </w:p>
        </w:tc>
        <w:tc>
          <w:tcPr>
            <w:tcW w:w="1101" w:type="pct"/>
          </w:tcPr>
          <w:p w14:paraId="311C4A0F" w14:textId="6DDCEC53" w:rsidR="00B00569" w:rsidRPr="00B00569" w:rsidRDefault="00B00569" w:rsidP="00B00569">
            <w:pPr>
              <w:pStyle w:val="VCAAtablecondensed"/>
            </w:pPr>
            <w:r w:rsidRPr="00B00569">
              <w:t>Equivalent</w:t>
            </w:r>
          </w:p>
        </w:tc>
      </w:tr>
      <w:tr w:rsidR="006B10E6" w14:paraId="3D4BCC5B" w14:textId="77777777" w:rsidTr="006B10E6">
        <w:tc>
          <w:tcPr>
            <w:tcW w:w="5000" w:type="pct"/>
            <w:gridSpan w:val="3"/>
          </w:tcPr>
          <w:p w14:paraId="47C074C0" w14:textId="6994120B" w:rsidR="006B10E6" w:rsidRDefault="006B10E6" w:rsidP="00B00569">
            <w:pPr>
              <w:pStyle w:val="VCAAtablecondensed"/>
            </w:pPr>
            <w:r w:rsidRPr="00840649">
              <w:rPr>
                <w:b/>
                <w:bCs/>
              </w:rPr>
              <w:t>VCE VET Sport and Recreation</w:t>
            </w:r>
          </w:p>
        </w:tc>
      </w:tr>
      <w:tr w:rsidR="004F212B" w14:paraId="2B90206D" w14:textId="77777777" w:rsidTr="00E02ABD">
        <w:tc>
          <w:tcPr>
            <w:tcW w:w="1765" w:type="pct"/>
          </w:tcPr>
          <w:p w14:paraId="0B881638" w14:textId="77777777" w:rsidR="004F212B" w:rsidRDefault="004F212B" w:rsidP="006D5355">
            <w:pPr>
              <w:pStyle w:val="VCAAtablecondensed"/>
            </w:pPr>
            <w:r w:rsidRPr="00D15CA7">
              <w:t>SIS20122 Certificate II in Sport and Recreation (Release 1)</w:t>
            </w:r>
          </w:p>
          <w:p w14:paraId="50BA23AB" w14:textId="3AB8638C" w:rsidR="00ED3885" w:rsidRPr="00ED3885" w:rsidRDefault="00ED3885" w:rsidP="00E02ABD"/>
        </w:tc>
        <w:tc>
          <w:tcPr>
            <w:tcW w:w="2134" w:type="pct"/>
          </w:tcPr>
          <w:p w14:paraId="16348F67" w14:textId="0C1A2B5A" w:rsidR="004F212B" w:rsidRPr="00D15CA7" w:rsidRDefault="003A49E8" w:rsidP="006D5355">
            <w:pPr>
              <w:pStyle w:val="VCAAtablecondensedbullet"/>
            </w:pPr>
            <w:r w:rsidRPr="00D15CA7">
              <w:t xml:space="preserve">All new enrolments will enrol in </w:t>
            </w:r>
            <w:r w:rsidR="004F212B" w:rsidRPr="00D15CA7">
              <w:t>SIS20122 Certificate II in Sport and Recreation</w:t>
            </w:r>
            <w:r w:rsidR="00E7040E" w:rsidRPr="00D15CA7">
              <w:t>.</w:t>
            </w:r>
          </w:p>
          <w:p w14:paraId="0FF736E2" w14:textId="485B2DF1" w:rsidR="00710D27" w:rsidRPr="00D15CA7" w:rsidRDefault="00710D27" w:rsidP="006D5355">
            <w:pPr>
              <w:pStyle w:val="VCAAtablecondensedbullet"/>
            </w:pPr>
            <w:r w:rsidRPr="00D15CA7">
              <w:t>All continuing students will remain in the existing program SIS20115 Certificate II in Sport and Recreation</w:t>
            </w:r>
            <w:r w:rsidR="00E7040E" w:rsidRPr="00D15CA7">
              <w:t>.</w:t>
            </w:r>
          </w:p>
        </w:tc>
        <w:tc>
          <w:tcPr>
            <w:tcW w:w="1101" w:type="pct"/>
          </w:tcPr>
          <w:p w14:paraId="3B544963" w14:textId="10EBDF02" w:rsidR="004F212B" w:rsidRPr="006D5355" w:rsidRDefault="004F212B" w:rsidP="006D5355">
            <w:pPr>
              <w:pStyle w:val="VCAAtablecondensed"/>
            </w:pPr>
            <w:r w:rsidRPr="006D5355">
              <w:t>Not equivalent</w:t>
            </w:r>
          </w:p>
        </w:tc>
      </w:tr>
      <w:tr w:rsidR="004F212B" w14:paraId="0999408C" w14:textId="77777777" w:rsidTr="00E02ABD">
        <w:trPr>
          <w:cantSplit/>
        </w:trPr>
        <w:tc>
          <w:tcPr>
            <w:tcW w:w="1765" w:type="pct"/>
          </w:tcPr>
          <w:p w14:paraId="0879411E" w14:textId="77777777" w:rsidR="004F212B" w:rsidRPr="00D15CA7" w:rsidRDefault="004F212B" w:rsidP="006D5355">
            <w:pPr>
              <w:pStyle w:val="VCAAtablecondensed"/>
            </w:pPr>
            <w:r w:rsidRPr="00D15CA7">
              <w:t>SIS30122 Certificate III in Sport, Aquatics and Recreation (Release 1)</w:t>
            </w:r>
          </w:p>
          <w:p w14:paraId="55E5A8EF" w14:textId="45D6B642" w:rsidR="00E7040E" w:rsidRPr="00D15CA7" w:rsidRDefault="00E7040E" w:rsidP="00C10E73"/>
        </w:tc>
        <w:tc>
          <w:tcPr>
            <w:tcW w:w="2134" w:type="pct"/>
          </w:tcPr>
          <w:p w14:paraId="29357049" w14:textId="5F4C316A" w:rsidR="004F212B" w:rsidRPr="00D15CA7" w:rsidRDefault="003A49E8" w:rsidP="006D5355">
            <w:pPr>
              <w:pStyle w:val="VCAAtablecondensedbullet"/>
            </w:pPr>
            <w:r w:rsidRPr="00D15CA7">
              <w:t xml:space="preserve">All new enrolments will enrol in </w:t>
            </w:r>
            <w:r w:rsidR="004F212B" w:rsidRPr="00D15CA7">
              <w:t>SIS30122 Certificate III in Sport, Aquatics and Recreation</w:t>
            </w:r>
            <w:r w:rsidR="00E7040E" w:rsidRPr="00D15CA7">
              <w:t>.</w:t>
            </w:r>
            <w:r w:rsidR="004F212B" w:rsidRPr="00D15CA7">
              <w:t xml:space="preserve"> </w:t>
            </w:r>
          </w:p>
          <w:p w14:paraId="2A202650" w14:textId="7BCD5F97" w:rsidR="000664CC" w:rsidRPr="00D15CA7" w:rsidRDefault="000664CC" w:rsidP="006D5355">
            <w:pPr>
              <w:pStyle w:val="VCAAtablecondensedbullet"/>
              <w:rPr>
                <w:color w:val="auto"/>
              </w:rPr>
            </w:pPr>
            <w:r w:rsidRPr="00D15CA7">
              <w:t xml:space="preserve">All continuing students will remain in the existing program SIS30115 Certificate III in Sport and Recreation to allow for </w:t>
            </w:r>
            <w:r w:rsidR="00E7040E" w:rsidRPr="00D15CA7">
              <w:t xml:space="preserve">the </w:t>
            </w:r>
            <w:r w:rsidRPr="00D15CA7">
              <w:t xml:space="preserve">accrual of </w:t>
            </w:r>
            <w:r w:rsidR="00E7040E" w:rsidRPr="00D15CA7">
              <w:t xml:space="preserve">a </w:t>
            </w:r>
            <w:r w:rsidRPr="00D15CA7">
              <w:t>Unit 3–4 sequence</w:t>
            </w:r>
            <w:r w:rsidR="00E7040E" w:rsidRPr="00D15CA7">
              <w:t>.</w:t>
            </w:r>
            <w:r w:rsidRPr="00D15CA7">
              <w:t xml:space="preserve"> </w:t>
            </w:r>
          </w:p>
          <w:p w14:paraId="545B06E7" w14:textId="4C0D883D" w:rsidR="004F212B" w:rsidRPr="00D15CA7" w:rsidRDefault="004F212B" w:rsidP="006D5355">
            <w:pPr>
              <w:pStyle w:val="VCAAtablecondensedbullet"/>
            </w:pPr>
            <w:r w:rsidRPr="00D15CA7">
              <w:t>The new scored progr</w:t>
            </w:r>
            <w:r w:rsidR="00D15CA7">
              <w:t>a</w:t>
            </w:r>
            <w:r w:rsidRPr="00D15CA7">
              <w:t xml:space="preserve">m will be </w:t>
            </w:r>
            <w:r w:rsidR="00E7040E" w:rsidRPr="00D15CA7">
              <w:t xml:space="preserve">implemented in </w:t>
            </w:r>
            <w:r w:rsidRPr="00D15CA7">
              <w:t>2025</w:t>
            </w:r>
            <w:r w:rsidR="00E7040E" w:rsidRPr="00D15CA7">
              <w:t>.</w:t>
            </w:r>
          </w:p>
          <w:p w14:paraId="668EC2A0" w14:textId="7EC54B8D" w:rsidR="004F212B" w:rsidRPr="00D15CA7" w:rsidRDefault="000D2A08" w:rsidP="006D5355">
            <w:pPr>
              <w:pStyle w:val="VCAAtablecondensedbullet"/>
            </w:pPr>
            <w:r w:rsidRPr="00C10E73">
              <w:rPr>
                <w:color w:val="auto"/>
              </w:rPr>
              <w:t xml:space="preserve">An </w:t>
            </w:r>
            <w:hyperlink r:id="rId16" w:history="1">
              <w:r w:rsidRPr="000D2A08">
                <w:rPr>
                  <w:rStyle w:val="Hyperlink"/>
                </w:rPr>
                <w:t>extension has been granted</w:t>
              </w:r>
            </w:hyperlink>
            <w:r w:rsidRPr="00C10E73">
              <w:rPr>
                <w:color w:val="auto"/>
              </w:rPr>
              <w:t xml:space="preserve"> for SIS30115 Certificate III in Sport and Recreation</w:t>
            </w:r>
            <w:r w:rsidRPr="000D2A08">
              <w:t xml:space="preserve"> </w:t>
            </w:r>
            <w:r>
              <w:t>until</w:t>
            </w:r>
            <w:r w:rsidRPr="000D2A08">
              <w:t xml:space="preserve"> </w:t>
            </w:r>
            <w:r>
              <w:br/>
            </w:r>
            <w:r w:rsidRPr="000D2A08">
              <w:t>31 December 2024</w:t>
            </w:r>
            <w:r>
              <w:t>.</w:t>
            </w:r>
          </w:p>
        </w:tc>
        <w:tc>
          <w:tcPr>
            <w:tcW w:w="1101" w:type="pct"/>
          </w:tcPr>
          <w:p w14:paraId="18A4E95C" w14:textId="174C2CFC" w:rsidR="004F212B" w:rsidRPr="006D5355" w:rsidRDefault="004F212B" w:rsidP="006D5355">
            <w:pPr>
              <w:pStyle w:val="VCAAtablecondensed"/>
            </w:pPr>
            <w:r w:rsidRPr="006D5355">
              <w:t>Not equivalent</w:t>
            </w:r>
          </w:p>
        </w:tc>
      </w:tr>
    </w:tbl>
    <w:p w14:paraId="34249ED0" w14:textId="77777777" w:rsidR="00F4525C" w:rsidRDefault="00F4525C" w:rsidP="00E7040E"/>
    <w:sectPr w:rsidR="00F4525C" w:rsidSect="00B230DB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4FA39B4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1B375F03" w:rsidR="00FD29D3" w:rsidRPr="00D06414" w:rsidRDefault="00C1030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>April</w:t>
          </w:r>
          <w:r w:rsidR="00E7040E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 2024 </w:t>
          </w:r>
          <w:r w:rsidR="00E7040E">
            <w:rPr>
              <w:rFonts w:asciiTheme="majorHAnsi" w:hAnsiTheme="majorHAnsi" w:cstheme="majorHAnsi"/>
              <w:color w:val="999999" w:themeColor="accent2"/>
              <w:sz w:val="18"/>
              <w:szCs w:val="18"/>
            </w:rPr>
            <w:t>–</w:t>
          </w:r>
          <w:r w:rsidR="00E7040E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 Version </w:t>
          </w:r>
          <w:r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>2</w:t>
          </w: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41EF9586" w:rsidR="00FD29D3" w:rsidRPr="00D06414" w:rsidRDefault="00C1030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April 2024 </w:t>
          </w:r>
          <w:r>
            <w:rPr>
              <w:rFonts w:asciiTheme="majorHAnsi" w:hAnsiTheme="majorHAnsi" w:cstheme="majorHAnsi"/>
              <w:color w:val="999999" w:themeColor="accent2"/>
              <w:sz w:val="18"/>
              <w:szCs w:val="18"/>
            </w:rPr>
            <w:t>–</w:t>
          </w:r>
          <w:r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 Version 2</w:t>
          </w: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408866E3" w:rsidR="00FD29D3" w:rsidRPr="00D86DE4" w:rsidRDefault="006E1D1A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E0B87">
          <w:rPr>
            <w:color w:val="999999" w:themeColor="accent2"/>
          </w:rPr>
          <w:t>Transition advice for VCE VET programs in 2024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5755"/>
    <w:multiLevelType w:val="hybridMultilevel"/>
    <w:tmpl w:val="4C5E3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619993234">
    <w:abstractNumId w:val="5"/>
  </w:num>
  <w:num w:numId="2" w16cid:durableId="315233686">
    <w:abstractNumId w:val="3"/>
  </w:num>
  <w:num w:numId="3" w16cid:durableId="1902523127">
    <w:abstractNumId w:val="2"/>
  </w:num>
  <w:num w:numId="4" w16cid:durableId="1106773587">
    <w:abstractNumId w:val="1"/>
  </w:num>
  <w:num w:numId="5" w16cid:durableId="1937517828">
    <w:abstractNumId w:val="4"/>
  </w:num>
  <w:num w:numId="6" w16cid:durableId="1308706387">
    <w:abstractNumId w:val="0"/>
  </w:num>
  <w:num w:numId="7" w16cid:durableId="1406879121">
    <w:abstractNumId w:val="1"/>
  </w:num>
  <w:num w:numId="8" w16cid:durableId="1301839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7DA4"/>
    <w:rsid w:val="00053D76"/>
    <w:rsid w:val="0005780E"/>
    <w:rsid w:val="00065CC6"/>
    <w:rsid w:val="000664CC"/>
    <w:rsid w:val="0007572F"/>
    <w:rsid w:val="00075A86"/>
    <w:rsid w:val="00084FF4"/>
    <w:rsid w:val="000A71F7"/>
    <w:rsid w:val="000C4EF3"/>
    <w:rsid w:val="000C7BB5"/>
    <w:rsid w:val="000D2A08"/>
    <w:rsid w:val="000E6F94"/>
    <w:rsid w:val="000F09E4"/>
    <w:rsid w:val="000F16FD"/>
    <w:rsid w:val="000F5AAF"/>
    <w:rsid w:val="000F7450"/>
    <w:rsid w:val="0013133B"/>
    <w:rsid w:val="0014284F"/>
    <w:rsid w:val="00143520"/>
    <w:rsid w:val="00153AD2"/>
    <w:rsid w:val="001779EA"/>
    <w:rsid w:val="0018547C"/>
    <w:rsid w:val="001A062F"/>
    <w:rsid w:val="001C1E0B"/>
    <w:rsid w:val="001D3246"/>
    <w:rsid w:val="0020020B"/>
    <w:rsid w:val="00201955"/>
    <w:rsid w:val="00210D56"/>
    <w:rsid w:val="002279BA"/>
    <w:rsid w:val="002329F3"/>
    <w:rsid w:val="002377C4"/>
    <w:rsid w:val="00243F0D"/>
    <w:rsid w:val="00247082"/>
    <w:rsid w:val="00260767"/>
    <w:rsid w:val="002647BB"/>
    <w:rsid w:val="00272737"/>
    <w:rsid w:val="002754C1"/>
    <w:rsid w:val="00282948"/>
    <w:rsid w:val="002841C8"/>
    <w:rsid w:val="0028516B"/>
    <w:rsid w:val="00295389"/>
    <w:rsid w:val="002977B9"/>
    <w:rsid w:val="002C6F90"/>
    <w:rsid w:val="002E0781"/>
    <w:rsid w:val="002E4FB5"/>
    <w:rsid w:val="00302FB8"/>
    <w:rsid w:val="00304EA1"/>
    <w:rsid w:val="00314D81"/>
    <w:rsid w:val="00322FC6"/>
    <w:rsid w:val="0033022D"/>
    <w:rsid w:val="0035293F"/>
    <w:rsid w:val="0035445A"/>
    <w:rsid w:val="00360E5F"/>
    <w:rsid w:val="00371C98"/>
    <w:rsid w:val="00391986"/>
    <w:rsid w:val="003A00B4"/>
    <w:rsid w:val="003A49E8"/>
    <w:rsid w:val="003A53B9"/>
    <w:rsid w:val="003C5E71"/>
    <w:rsid w:val="004067FF"/>
    <w:rsid w:val="00406A51"/>
    <w:rsid w:val="00414D25"/>
    <w:rsid w:val="00417AA3"/>
    <w:rsid w:val="00421549"/>
    <w:rsid w:val="00425DFE"/>
    <w:rsid w:val="00434EDB"/>
    <w:rsid w:val="00440B32"/>
    <w:rsid w:val="0046078D"/>
    <w:rsid w:val="00467D14"/>
    <w:rsid w:val="00495C80"/>
    <w:rsid w:val="004A2ED8"/>
    <w:rsid w:val="004A74DB"/>
    <w:rsid w:val="004F212B"/>
    <w:rsid w:val="004F5BDA"/>
    <w:rsid w:val="00502B9C"/>
    <w:rsid w:val="0051631E"/>
    <w:rsid w:val="0052173A"/>
    <w:rsid w:val="00537A1F"/>
    <w:rsid w:val="00563A89"/>
    <w:rsid w:val="00566029"/>
    <w:rsid w:val="005923CB"/>
    <w:rsid w:val="005B391B"/>
    <w:rsid w:val="005C1C60"/>
    <w:rsid w:val="005D3D78"/>
    <w:rsid w:val="005E2EF0"/>
    <w:rsid w:val="005F0586"/>
    <w:rsid w:val="005F4092"/>
    <w:rsid w:val="006148DA"/>
    <w:rsid w:val="00615B49"/>
    <w:rsid w:val="006317FF"/>
    <w:rsid w:val="006342D7"/>
    <w:rsid w:val="00645DA7"/>
    <w:rsid w:val="0068471E"/>
    <w:rsid w:val="00684F98"/>
    <w:rsid w:val="00691666"/>
    <w:rsid w:val="00692C5F"/>
    <w:rsid w:val="00693FFD"/>
    <w:rsid w:val="006B10E6"/>
    <w:rsid w:val="006D2159"/>
    <w:rsid w:val="006D5355"/>
    <w:rsid w:val="006E1D1A"/>
    <w:rsid w:val="006E337A"/>
    <w:rsid w:val="006F5DB2"/>
    <w:rsid w:val="006F787C"/>
    <w:rsid w:val="00702636"/>
    <w:rsid w:val="00710D27"/>
    <w:rsid w:val="0071613D"/>
    <w:rsid w:val="00724507"/>
    <w:rsid w:val="007276FD"/>
    <w:rsid w:val="00773E6C"/>
    <w:rsid w:val="0078011D"/>
    <w:rsid w:val="00781FB1"/>
    <w:rsid w:val="007B7F70"/>
    <w:rsid w:val="007C77CD"/>
    <w:rsid w:val="007D1B6D"/>
    <w:rsid w:val="007F39CB"/>
    <w:rsid w:val="00800CE3"/>
    <w:rsid w:val="00807037"/>
    <w:rsid w:val="00813C37"/>
    <w:rsid w:val="008154B5"/>
    <w:rsid w:val="00823962"/>
    <w:rsid w:val="00840649"/>
    <w:rsid w:val="00850410"/>
    <w:rsid w:val="00851741"/>
    <w:rsid w:val="00852719"/>
    <w:rsid w:val="00860115"/>
    <w:rsid w:val="00870616"/>
    <w:rsid w:val="0087161C"/>
    <w:rsid w:val="00877D52"/>
    <w:rsid w:val="008816DB"/>
    <w:rsid w:val="0088783C"/>
    <w:rsid w:val="008C1A59"/>
    <w:rsid w:val="008C4E7D"/>
    <w:rsid w:val="008E1F56"/>
    <w:rsid w:val="008E4F9C"/>
    <w:rsid w:val="0092574F"/>
    <w:rsid w:val="009370BC"/>
    <w:rsid w:val="009433FD"/>
    <w:rsid w:val="00943B2B"/>
    <w:rsid w:val="00970580"/>
    <w:rsid w:val="00971644"/>
    <w:rsid w:val="0098739B"/>
    <w:rsid w:val="0099554E"/>
    <w:rsid w:val="009A4309"/>
    <w:rsid w:val="009B61E5"/>
    <w:rsid w:val="009C349E"/>
    <w:rsid w:val="009C6BD9"/>
    <w:rsid w:val="009D1E89"/>
    <w:rsid w:val="009E5707"/>
    <w:rsid w:val="00A02591"/>
    <w:rsid w:val="00A027B1"/>
    <w:rsid w:val="00A17661"/>
    <w:rsid w:val="00A24B2D"/>
    <w:rsid w:val="00A35BAE"/>
    <w:rsid w:val="00A40966"/>
    <w:rsid w:val="00A61167"/>
    <w:rsid w:val="00A921E0"/>
    <w:rsid w:val="00A922F4"/>
    <w:rsid w:val="00A974D3"/>
    <w:rsid w:val="00AE5526"/>
    <w:rsid w:val="00AF051B"/>
    <w:rsid w:val="00AF1205"/>
    <w:rsid w:val="00AF60BC"/>
    <w:rsid w:val="00B00168"/>
    <w:rsid w:val="00B00569"/>
    <w:rsid w:val="00B01578"/>
    <w:rsid w:val="00B0738F"/>
    <w:rsid w:val="00B13D3B"/>
    <w:rsid w:val="00B17086"/>
    <w:rsid w:val="00B230DB"/>
    <w:rsid w:val="00B26601"/>
    <w:rsid w:val="00B30970"/>
    <w:rsid w:val="00B41951"/>
    <w:rsid w:val="00B53229"/>
    <w:rsid w:val="00B62480"/>
    <w:rsid w:val="00B76A3A"/>
    <w:rsid w:val="00B81B70"/>
    <w:rsid w:val="00B86EBD"/>
    <w:rsid w:val="00B8782F"/>
    <w:rsid w:val="00BA4047"/>
    <w:rsid w:val="00BB3BAB"/>
    <w:rsid w:val="00BD0724"/>
    <w:rsid w:val="00BD2B91"/>
    <w:rsid w:val="00BE5521"/>
    <w:rsid w:val="00BE69C1"/>
    <w:rsid w:val="00BF6C23"/>
    <w:rsid w:val="00BF6E8D"/>
    <w:rsid w:val="00C051ED"/>
    <w:rsid w:val="00C10302"/>
    <w:rsid w:val="00C10E73"/>
    <w:rsid w:val="00C232CD"/>
    <w:rsid w:val="00C53263"/>
    <w:rsid w:val="00C54FD8"/>
    <w:rsid w:val="00C72797"/>
    <w:rsid w:val="00C75F1D"/>
    <w:rsid w:val="00C95156"/>
    <w:rsid w:val="00CA0DC2"/>
    <w:rsid w:val="00CB68E8"/>
    <w:rsid w:val="00CD4F18"/>
    <w:rsid w:val="00CD4F8C"/>
    <w:rsid w:val="00CE286D"/>
    <w:rsid w:val="00CF6580"/>
    <w:rsid w:val="00D04F01"/>
    <w:rsid w:val="00D06414"/>
    <w:rsid w:val="00D1580D"/>
    <w:rsid w:val="00D15CA7"/>
    <w:rsid w:val="00D176D1"/>
    <w:rsid w:val="00D24E5A"/>
    <w:rsid w:val="00D338E4"/>
    <w:rsid w:val="00D4147D"/>
    <w:rsid w:val="00D51947"/>
    <w:rsid w:val="00D532F0"/>
    <w:rsid w:val="00D56E0F"/>
    <w:rsid w:val="00D65444"/>
    <w:rsid w:val="00D721D2"/>
    <w:rsid w:val="00D77413"/>
    <w:rsid w:val="00D82759"/>
    <w:rsid w:val="00D86DE4"/>
    <w:rsid w:val="00D9724C"/>
    <w:rsid w:val="00DB1394"/>
    <w:rsid w:val="00DB1A14"/>
    <w:rsid w:val="00DB2C1C"/>
    <w:rsid w:val="00DD4620"/>
    <w:rsid w:val="00DE1909"/>
    <w:rsid w:val="00DE51DB"/>
    <w:rsid w:val="00DF3987"/>
    <w:rsid w:val="00E02ABD"/>
    <w:rsid w:val="00E23F1D"/>
    <w:rsid w:val="00E30E05"/>
    <w:rsid w:val="00E36361"/>
    <w:rsid w:val="00E50A37"/>
    <w:rsid w:val="00E52F69"/>
    <w:rsid w:val="00E55AE9"/>
    <w:rsid w:val="00E7040E"/>
    <w:rsid w:val="00E76F73"/>
    <w:rsid w:val="00E85E32"/>
    <w:rsid w:val="00EB0C84"/>
    <w:rsid w:val="00EB4AC6"/>
    <w:rsid w:val="00EC07BF"/>
    <w:rsid w:val="00ED3885"/>
    <w:rsid w:val="00EE0B87"/>
    <w:rsid w:val="00EE5179"/>
    <w:rsid w:val="00EE7CE6"/>
    <w:rsid w:val="00F17FDE"/>
    <w:rsid w:val="00F40D53"/>
    <w:rsid w:val="00F4525C"/>
    <w:rsid w:val="00F50D86"/>
    <w:rsid w:val="00F77889"/>
    <w:rsid w:val="00F86F11"/>
    <w:rsid w:val="00F87B0D"/>
    <w:rsid w:val="00FA38F1"/>
    <w:rsid w:val="00FC64DE"/>
    <w:rsid w:val="00FD19DF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E2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28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28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86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63A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76A3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77889"/>
    <w:rPr>
      <w:color w:val="8DB3E2" w:themeColor="followedHyperlink"/>
      <w:u w:val="single"/>
    </w:rPr>
  </w:style>
  <w:style w:type="character" w:customStyle="1" w:styleId="cf01">
    <w:name w:val="cf01"/>
    <w:basedOn w:val="DefaultParagraphFont"/>
    <w:rsid w:val="000D2A0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0D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sqa.gov.au/news-events/news/extended-transition-period-mst-qualifications-mst20616-mst30819-mst40119-mst50119-and-mst60119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asqa.gov.au/news-events/news/extended-transition-period-ahc-qualification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sqa.gov.au/news-events/news/extended-transition-period-sis-quals-sis30115-sis40115-and-sis50115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sqa.gov.au/news-events/news/extended-transition-period-ahc-qualification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sqa.gov.au/news-events/news/extended-transition-period-hlt33015-and-hlt43015-certificate-iii-and-iv-allied-health-assistanc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sqa.gov.au/rto/change-scope-registration/when-training-products-change/how-transition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0F4663"/>
    <w:rsid w:val="00315287"/>
    <w:rsid w:val="006B4425"/>
    <w:rsid w:val="006C37B1"/>
    <w:rsid w:val="007433FC"/>
    <w:rsid w:val="008822C4"/>
    <w:rsid w:val="009325D2"/>
    <w:rsid w:val="00BF7589"/>
    <w:rsid w:val="00DE2ADE"/>
    <w:rsid w:val="00FC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478F69-B037-474E-8448-A7904350EFC0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advice for VCE VET programs in 2024</vt:lpstr>
    </vt:vector>
  </TitlesOfParts>
  <Company>Victorian Curriculum and Assessment Authority</Company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advice for VCE VET programs in 2024</dc:title>
  <dc:creator>VCAA</dc:creator>
  <cp:lastModifiedBy>Kimberley Hodson</cp:lastModifiedBy>
  <cp:revision>7</cp:revision>
  <cp:lastPrinted>2015-05-15T02:36:00Z</cp:lastPrinted>
  <dcterms:created xsi:type="dcterms:W3CDTF">2024-03-28T03:40:00Z</dcterms:created>
  <dcterms:modified xsi:type="dcterms:W3CDTF">2024-04-09T01:40:00Z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