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0.xml" ContentType="application/vnd.ms-office.activeX+xml"/>
  <Override PartName="/word/activeX/activeX14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37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2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9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 Tasks’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completion,</w:t>
      </w:r>
      <w:r w:rsidR="00557320">
        <w:rPr>
          <w:rFonts w:ascii="Arial Narrow" w:hAnsi="Arial Narrow" w:cstheme="minorHAnsi"/>
          <w:sz w:val="18"/>
          <w:szCs w:val="18"/>
        </w:rPr>
        <w:t xml:space="preserve"> 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557320" w:rsidRPr="00557320">
          <w:rPr>
            <w:rStyle w:val="Hyperlink"/>
            <w:rFonts w:ascii="Arial Narrow" w:hAnsi="Arial Narrow" w:cstheme="minorHAnsi"/>
            <w:sz w:val="18"/>
            <w:szCs w:val="18"/>
          </w:rPr>
          <w:t>he</w:t>
        </w:r>
        <w:r w:rsidR="00557320" w:rsidRPr="00557320">
          <w:rPr>
            <w:rStyle w:val="Hyperlink"/>
            <w:rFonts w:ascii="Arial Narrow" w:hAnsi="Arial Narrow" w:cstheme="minorHAnsi"/>
            <w:sz w:val="18"/>
            <w:szCs w:val="18"/>
          </w:rPr>
          <w:t>r</w:t>
        </w:r>
        <w:r w:rsidR="00557320" w:rsidRPr="00557320">
          <w:rPr>
            <w:rStyle w:val="Hyperlink"/>
            <w:rFonts w:ascii="Arial Narrow" w:hAnsi="Arial Narrow" w:cstheme="minorHAnsi"/>
            <w:sz w:val="18"/>
            <w:szCs w:val="18"/>
          </w:rPr>
          <w:t>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619"/>
        <w:gridCol w:w="1095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FA7D30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6220D0" w:rsidRPr="00E03DF5" w:rsidTr="006A0E2A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5F5E5A" w:rsidRDefault="005F5E5A" w:rsidP="001C7E76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Initiate, sustain and extend interactions with peers and adults, exploring own and peers’ perspectives on youth culture, future aspirations and social experiences</w:t>
            </w:r>
          </w:p>
          <w:p w:rsidR="006220D0" w:rsidRPr="0023348C" w:rsidRDefault="00B263B0" w:rsidP="001C7E76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VIC174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(VCVIC174)</w:t>
              </w:r>
            </w:hyperlink>
          </w:p>
        </w:tc>
        <w:tc>
          <w:tcPr>
            <w:tcW w:w="1714" w:type="dxa"/>
            <w:gridSpan w:val="2"/>
          </w:tcPr>
          <w:p w:rsidR="005F5E5A" w:rsidRDefault="005F5E5A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 xml:space="preserve">Participate in a range of collaborative activities that involve transactions and require negotiation and management of different opinions or </w:t>
            </w:r>
            <w:proofErr w:type="spellStart"/>
            <w:r w:rsidRPr="005F5E5A">
              <w:rPr>
                <w:rFonts w:ascii="Arial Narrow" w:hAnsi="Arial Narrow"/>
                <w:sz w:val="18"/>
                <w:szCs w:val="18"/>
              </w:rPr>
              <w:t>behaviours</w:t>
            </w:r>
            <w:proofErr w:type="spellEnd"/>
          </w:p>
          <w:p w:rsidR="006220D0" w:rsidRPr="0023348C" w:rsidRDefault="00B263B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VIC175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(VCVIC175)</w:t>
              </w:r>
            </w:hyperlink>
          </w:p>
        </w:tc>
        <w:tc>
          <w:tcPr>
            <w:tcW w:w="1714" w:type="dxa"/>
            <w:gridSpan w:val="2"/>
          </w:tcPr>
          <w:p w:rsidR="005F5E5A" w:rsidRDefault="005F5E5A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Extend classroom interactions by offering, elaborating on, justifying and eliciting opinions and ideas </w:t>
            </w:r>
          </w:p>
          <w:p w:rsidR="006220D0" w:rsidRPr="0023348C" w:rsidRDefault="00B263B0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VIC176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(VCVIC176)</w:t>
              </w:r>
            </w:hyperlink>
          </w:p>
        </w:tc>
        <w:tc>
          <w:tcPr>
            <w:tcW w:w="1714" w:type="dxa"/>
            <w:gridSpan w:val="2"/>
          </w:tcPr>
          <w:p w:rsidR="005F5E5A" w:rsidRDefault="005F5E5A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 xml:space="preserve">Locate, </w:t>
            </w:r>
            <w:proofErr w:type="spellStart"/>
            <w:r w:rsidRPr="005F5E5A">
              <w:rPr>
                <w:rFonts w:ascii="Arial Narrow" w:hAnsi="Arial Narrow"/>
                <w:sz w:val="18"/>
                <w:szCs w:val="18"/>
              </w:rPr>
              <w:t>synthesise</w:t>
            </w:r>
            <w:proofErr w:type="spellEnd"/>
            <w:r w:rsidRPr="005F5E5A">
              <w:rPr>
                <w:rFonts w:ascii="Arial Narrow" w:hAnsi="Arial Narrow"/>
                <w:sz w:val="18"/>
                <w:szCs w:val="18"/>
              </w:rPr>
              <w:t>, interpret and evaluate information and opinions from different perspectives relating to social issues and other areas of interest to teenagers</w:t>
            </w:r>
          </w:p>
          <w:p w:rsidR="006220D0" w:rsidRPr="0023348C" w:rsidRDefault="00B263B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VIC177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(VCVIC177)</w:t>
              </w:r>
            </w:hyperlink>
          </w:p>
        </w:tc>
        <w:tc>
          <w:tcPr>
            <w:tcW w:w="1714" w:type="dxa"/>
            <w:gridSpan w:val="2"/>
          </w:tcPr>
          <w:p w:rsidR="005F5E5A" w:rsidRDefault="005F5E5A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Convey information, ideas and viewpoints from different perspectives, selecting appropriate modes of presentation to achieve specific purposes for particular audiences in relevant contexts </w:t>
            </w:r>
          </w:p>
          <w:p w:rsidR="006220D0" w:rsidRPr="0023348C" w:rsidRDefault="00B263B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VIC178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(VCVIC178)</w:t>
              </w:r>
            </w:hyperlink>
          </w:p>
        </w:tc>
        <w:tc>
          <w:tcPr>
            <w:tcW w:w="1714" w:type="dxa"/>
            <w:gridSpan w:val="2"/>
          </w:tcPr>
          <w:p w:rsidR="005F5E5A" w:rsidRDefault="005F5E5A" w:rsidP="00BB0201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 xml:space="preserve">Explore a range of traditional and contemporary forms of art, literature and entertainment, by </w:t>
            </w:r>
            <w:proofErr w:type="spellStart"/>
            <w:r w:rsidRPr="005F5E5A">
              <w:rPr>
                <w:rFonts w:ascii="Arial Narrow" w:hAnsi="Arial Narrow"/>
                <w:sz w:val="18"/>
                <w:szCs w:val="18"/>
              </w:rPr>
              <w:t>analysing</w:t>
            </w:r>
            <w:proofErr w:type="spellEnd"/>
            <w:r w:rsidRPr="005F5E5A">
              <w:rPr>
                <w:rFonts w:ascii="Arial Narrow" w:hAnsi="Arial Narrow"/>
                <w:sz w:val="18"/>
                <w:szCs w:val="18"/>
              </w:rPr>
              <w:t xml:space="preserve"> values, purposes and language techniques, and discussing issues and themes</w:t>
            </w:r>
          </w:p>
          <w:p w:rsidR="006220D0" w:rsidRPr="00BB0201" w:rsidRDefault="00B263B0" w:rsidP="00BB0201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VIC179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(VCVIC179)</w:t>
              </w:r>
            </w:hyperlink>
          </w:p>
        </w:tc>
        <w:tc>
          <w:tcPr>
            <w:tcW w:w="1714" w:type="dxa"/>
            <w:gridSpan w:val="2"/>
          </w:tcPr>
          <w:p w:rsidR="005F5E5A" w:rsidRDefault="005F5E5A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Create a range of imaginative texts in different formats, including multimodal and digital formats, for a range of audiences, contexts and purposes</w:t>
            </w:r>
          </w:p>
          <w:p w:rsidR="006220D0" w:rsidRPr="0023348C" w:rsidRDefault="00B263B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VIC180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(VCVIC180)</w:t>
              </w:r>
            </w:hyperlink>
          </w:p>
        </w:tc>
        <w:tc>
          <w:tcPr>
            <w:tcW w:w="1714" w:type="dxa"/>
            <w:gridSpan w:val="2"/>
          </w:tcPr>
          <w:p w:rsidR="005F5E5A" w:rsidRDefault="005F5E5A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Translate and interpret texts for different audiences and contexts, and explore how cultural concepts, values and beliefs are represented differently in Vietnamese and English </w:t>
            </w:r>
          </w:p>
          <w:p w:rsidR="006220D0" w:rsidRPr="0023348C" w:rsidRDefault="00B263B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VIC181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(VCVIC181)</w:t>
              </w:r>
            </w:hyperlink>
          </w:p>
        </w:tc>
        <w:tc>
          <w:tcPr>
            <w:tcW w:w="1714" w:type="dxa"/>
            <w:gridSpan w:val="2"/>
          </w:tcPr>
          <w:p w:rsidR="005F5E5A" w:rsidRDefault="005F5E5A" w:rsidP="005E5184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Create bilingual texts in multimodal forms, including digital, that reflect aspects of culture and language for a variety of Vietnamese and Australian audiences</w:t>
            </w:r>
          </w:p>
          <w:p w:rsidR="006220D0" w:rsidRPr="005E5184" w:rsidRDefault="00B263B0" w:rsidP="005E5184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VIC182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(VCVIC182)</w:t>
              </w:r>
            </w:hyperlink>
          </w:p>
        </w:tc>
        <w:tc>
          <w:tcPr>
            <w:tcW w:w="1714" w:type="dxa"/>
            <w:gridSpan w:val="2"/>
          </w:tcPr>
          <w:p w:rsidR="005F5E5A" w:rsidRDefault="005F5E5A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Reflect on how meanings vary according to cultural assumptions that Vietnamese and English speakers bring to interactions, and take responsibility for contributing to mutual understanding </w:t>
            </w:r>
          </w:p>
          <w:p w:rsidR="006220D0" w:rsidRPr="00FA7D30" w:rsidRDefault="00B263B0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VIC183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(VCVIC183)</w:t>
              </w:r>
            </w:hyperlink>
          </w:p>
        </w:tc>
        <w:tc>
          <w:tcPr>
            <w:tcW w:w="1714" w:type="dxa"/>
            <w:gridSpan w:val="2"/>
          </w:tcPr>
          <w:p w:rsidR="005F5E5A" w:rsidRDefault="005F5E5A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Reflect on own cultural identity and how it is both shaped by and influences ways of communicating, thinking and behaving </w:t>
            </w:r>
          </w:p>
          <w:p w:rsidR="006220D0" w:rsidRPr="0023348C" w:rsidRDefault="00B263B0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VIC184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(VCVIC184)</w:t>
              </w:r>
            </w:hyperlink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12.75pt;height:18pt" o:ole="">
                  <v:imagedata r:id="rId21" o:title=""/>
                </v:shape>
                <w:control r:id="rId22" w:name="CheckBox1131181111" w:shapeid="_x0000_i120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23" w:name="CheckBox113118111" w:shapeid="_x0000_i120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24" w:name="CheckBox11311811" w:shapeid="_x0000_i121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25" w:name="CheckBox1131189" w:shapeid="_x0000_i121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26" w:name="CheckBox1131188" w:shapeid="_x0000_i121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27" w:name="CheckBox1131187" w:shapeid="_x0000_i121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28" w:name="CheckBox1131186" w:shapeid="_x0000_i121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29" w:name="CheckBox1131185" w:shapeid="_x0000_i1221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30" w:name="CheckBox1131184" w:shapeid="_x0000_i12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31" w:name="CheckBox1131183" w:shapeid="_x0000_i122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32" w:name="CheckBox1131182" w:shapeid="_x0000_i12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33" w:name="CheckBox113111111111" w:shapeid="_x0000_i122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34" w:name="CheckBox11311111111" w:shapeid="_x0000_i123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35" w:name="CheckBox1131111111" w:shapeid="_x0000_i123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36" w:name="CheckBox113111131" w:shapeid="_x0000_i123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37" w:name="CheckBox113111121" w:shapeid="_x0000_i123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38" w:name="CheckBox113111111" w:shapeid="_x0000_i123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39" w:name="CheckBox11311116" w:shapeid="_x0000_i12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40" w:name="CheckBox11311115" w:shapeid="_x0000_i1243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41" w:name="CheckBox11311114" w:shapeid="_x0000_i124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42" w:name="CheckBox11311113" w:shapeid="_x0000_i124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43" w:name="CheckBox11311112" w:shapeid="_x0000_i12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44" w:name="CheckBox113112111111" w:shapeid="_x0000_i125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45" w:name="CheckBox1131121112" w:shapeid="_x0000_i125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46" w:name="CheckBox11311211112" w:shapeid="_x0000_i125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47" w:name="CheckBox113112112" w:shapeid="_x0000_i125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48" w:name="CheckBox11311211111" w:shapeid="_x0000_i125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49" w:name="CheckBox1131121111" w:shapeid="_x0000_i126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50" w:name="CheckBox113112111" w:shapeid="_x0000_i126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51" w:name="CheckBox11311215" w:shapeid="_x0000_i1265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52" w:name="CheckBox11311214" w:shapeid="_x0000_i126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53" w:name="CheckBox11311213" w:shapeid="_x0000_i126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54" w:name="CheckBox11311212" w:shapeid="_x0000_i12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55" w:name="CheckBox113113111111111" w:shapeid="_x0000_i127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56" w:name="CheckBox11311311111111" w:shapeid="_x0000_i12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57" w:name="CheckBox1131131111111" w:shapeid="_x0000_i127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58" w:name="CheckBox113113111111" w:shapeid="_x0000_i127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59" w:name="CheckBox11311311111" w:shapeid="_x0000_i128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60" w:name="CheckBox1131131111" w:shapeid="_x0000_i128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61" w:name="CheckBox113113111" w:shapeid="_x0000_i128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62" w:name="CheckBox11311315" w:shapeid="_x0000_i1287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63" w:name="CheckBox11311314" w:shapeid="_x0000_i128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64" w:name="CheckBox11311313" w:shapeid="_x0000_i129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65" w:name="CheckBox11311312" w:shapeid="_x0000_i129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66" w:name="CheckBox113114111111111" w:shapeid="_x0000_i129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67" w:name="CheckBox11311411111111" w:shapeid="_x0000_i12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68" w:name="CheckBox1131141111112" w:shapeid="_x0000_i129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69" w:name="CheckBox1131141111111" w:shapeid="_x0000_i130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70" w:name="CheckBox113114111111" w:shapeid="_x0000_i130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71" w:name="CheckBox11311411111" w:shapeid="_x0000_i130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72" w:name="CheckBox1131141111" w:shapeid="_x0000_i130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73" w:name="CheckBox113114111" w:shapeid="_x0000_i1309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74" w:name="CheckBox11311414" w:shapeid="_x0000_i131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75" w:name="CheckBox11311413" w:shapeid="_x0000_i131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76" w:name="CheckBox11311412" w:shapeid="_x0000_i13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77" w:name="CheckBox1131151111111111" w:shapeid="_x0000_i131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78" w:name="CheckBox113115111111111" w:shapeid="_x0000_i131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79" w:name="CheckBox11311511111111" w:shapeid="_x0000_i132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80" w:name="CheckBox1131151111111" w:shapeid="_x0000_i132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81" w:name="CheckBox113115111111" w:shapeid="_x0000_i132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82" w:name="CheckBox11311511111" w:shapeid="_x0000_i132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83" w:name="CheckBox1131151111" w:shapeid="_x0000_i132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84" w:name="CheckBox113115112" w:shapeid="_x0000_i1331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85" w:name="CheckBox113115111" w:shapeid="_x0000_i133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1" o:title=""/>
                </v:shape>
                <w:control r:id="rId86" w:name="CheckBox11311513" w:shapeid="_x0000_i133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1" o:title=""/>
                </v:shape>
                <w:control r:id="rId87" w:name="CheckBox11311512" w:shapeid="_x0000_i133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1" o:title=""/>
                </v:shape>
                <w:control r:id="rId88" w:name="CheckBox11311611111111112" w:shapeid="_x0000_i133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1" o:title=""/>
                </v:shape>
                <w:control r:id="rId89" w:name="CheckBox11311611111111111" w:shapeid="_x0000_i134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1" o:title=""/>
                </v:shape>
                <w:control r:id="rId90" w:name="CheckBox1131161111111112" w:shapeid="_x0000_i134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1" o:title=""/>
                </v:shape>
                <w:control r:id="rId91" w:name="CheckBox1131161111111111" w:shapeid="_x0000_i134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1" o:title=""/>
                </v:shape>
                <w:control r:id="rId92" w:name="CheckBox113116111111111" w:shapeid="_x0000_i134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1" o:title=""/>
                </v:shape>
                <w:control r:id="rId93" w:name="CheckBox11311611111111" w:shapeid="_x0000_i134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1" o:title=""/>
                </v:shape>
                <w:control r:id="rId94" w:name="CheckBox1131161111111" w:shapeid="_x0000_i135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1" o:title=""/>
                </v:shape>
                <w:control r:id="rId95" w:name="CheckBox113116111111" w:shapeid="_x0000_i1353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1" o:title=""/>
                </v:shape>
                <w:control r:id="rId96" w:name="CheckBox11311611111" w:shapeid="_x0000_i135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1" o:title=""/>
                </v:shape>
                <w:control r:id="rId97" w:name="CheckBox1131161111" w:shapeid="_x0000_i135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1" o:title=""/>
                </v:shape>
                <w:control r:id="rId98" w:name="CheckBox113116111" w:shapeid="_x0000_i135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1" o:title=""/>
                </v:shape>
                <w:control r:id="rId99" w:name="CheckBox11319122" w:shapeid="_x0000_i136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1" o:title=""/>
                </v:shape>
                <w:control r:id="rId100" w:name="CheckBox1131912" w:shapeid="_x0000_i136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1" o:title=""/>
                </v:shape>
                <w:control r:id="rId101" w:name="CheckBox1131911" w:shapeid="_x0000_i136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1" o:title=""/>
                </v:shape>
                <w:control r:id="rId102" w:name="CheckBox1131921" w:shapeid="_x0000_i136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1" o:title=""/>
                </v:shape>
                <w:control r:id="rId103" w:name="CheckBox1131931" w:shapeid="_x0000_i136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21" o:title=""/>
                </v:shape>
                <w:control r:id="rId104" w:name="CheckBox1131941" w:shapeid="_x0000_i137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21" o:title=""/>
                </v:shape>
                <w:control r:id="rId105" w:name="CheckBox1131951" w:shapeid="_x0000_i137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21" o:title=""/>
                </v:shape>
                <w:control r:id="rId106" w:name="CheckBox1131961" w:shapeid="_x0000_i1375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21" o:title=""/>
                </v:shape>
                <w:control r:id="rId107" w:name="CheckBox1131971" w:shapeid="_x0000_i137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21" o:title=""/>
                </v:shape>
                <w:control r:id="rId108" w:name="CheckBox1131981" w:shapeid="_x0000_i137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21" o:title=""/>
                </v:shape>
                <w:control r:id="rId109" w:name="CheckBox11319101" w:shapeid="_x0000_i1381"/>
              </w:object>
            </w:r>
          </w:p>
        </w:tc>
        <w:tc>
          <w:tcPr>
            <w:tcW w:w="1134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21" o:title=""/>
                </v:shape>
                <w:control r:id="rId110" w:name="CheckBox11311711111111111111" w:shapeid="_x0000_i138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21" o:title=""/>
                </v:shape>
                <w:control r:id="rId111" w:name="CheckBox1131171111111111112" w:shapeid="_x0000_i138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21" o:title=""/>
                </v:shape>
                <w:control r:id="rId112" w:name="CheckBox113117111111111112" w:shapeid="_x0000_i138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21" o:title=""/>
                </v:shape>
                <w:control r:id="rId113" w:name="CheckBox11311711111111112" w:shapeid="_x0000_i138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21" o:title=""/>
                </v:shape>
                <w:control r:id="rId114" w:name="CheckBox1131171111111112" w:shapeid="_x0000_i139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21" o:title=""/>
                </v:shape>
                <w:control r:id="rId115" w:name="CheckBox113117111111112" w:shapeid="_x0000_i139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21" o:title=""/>
                </v:shape>
                <w:control r:id="rId116" w:name="CheckBox11311711111112" w:shapeid="_x0000_i139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21" o:title=""/>
                </v:shape>
                <w:control r:id="rId117" w:name="CheckBox1131171111112" w:shapeid="_x0000_i1397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21" o:title=""/>
                </v:shape>
                <w:control r:id="rId118" w:name="CheckBox113117111112" w:shapeid="_x0000_i139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21" o:title=""/>
                </v:shape>
                <w:control r:id="rId119" w:name="CheckBox11311711112" w:shapeid="_x0000_i140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21" o:title=""/>
                </v:shape>
                <w:control r:id="rId120" w:name="CheckBox1131171112" w:shapeid="_x0000_i140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A167F5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702"/>
        <w:gridCol w:w="569"/>
        <w:gridCol w:w="2573"/>
        <w:gridCol w:w="545"/>
        <w:gridCol w:w="2598"/>
        <w:gridCol w:w="663"/>
        <w:gridCol w:w="2479"/>
        <w:gridCol w:w="639"/>
        <w:gridCol w:w="2504"/>
        <w:gridCol w:w="615"/>
        <w:gridCol w:w="2527"/>
        <w:gridCol w:w="591"/>
        <w:gridCol w:w="2552"/>
      </w:tblGrid>
      <w:tr w:rsidR="00B37D4B" w:rsidRPr="00CB4115" w:rsidTr="00D804FC">
        <w:trPr>
          <w:trHeight w:val="338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5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45291F" w:rsidRPr="00CB4115" w:rsidTr="00542BBB">
        <w:trPr>
          <w:trHeight w:val="338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5291F" w:rsidRPr="002A15A7" w:rsidRDefault="0045291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Pr="002A15A7" w:rsidRDefault="0045291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942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6285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31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Pr="00CB4115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D804FC" w:rsidRPr="0023348C" w:rsidTr="00BD370D">
        <w:trPr>
          <w:trHeight w:val="1373"/>
        </w:trPr>
        <w:tc>
          <w:tcPr>
            <w:tcW w:w="22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6A6A6" w:themeColor="background1" w:themeShade="A6"/>
            </w:tcBorders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142" w:type="dxa"/>
            <w:gridSpan w:val="2"/>
          </w:tcPr>
          <w:p w:rsidR="005F5E5A" w:rsidRDefault="005F5E5A" w:rsidP="001E15E2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Understand the role of pronunciation, pauses, pace, intonation, fluency and appropriate writing conventions in effective communication and apply this knowledge to own interactions </w:t>
            </w:r>
          </w:p>
          <w:p w:rsidR="00D804FC" w:rsidRPr="00CB0B9A" w:rsidRDefault="00B263B0" w:rsidP="001E15E2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VIU185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(VCVIU185)</w:t>
              </w:r>
            </w:hyperlink>
          </w:p>
        </w:tc>
        <w:tc>
          <w:tcPr>
            <w:tcW w:w="3143" w:type="dxa"/>
            <w:gridSpan w:val="2"/>
          </w:tcPr>
          <w:p w:rsidR="005F5E5A" w:rsidRDefault="005F5E5A" w:rsidP="005F5E5A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Understand and use compound sentence structures, conjunctions, and a range of language features, such as similes or rhetorical questions, and combine them with knowledge of Sino-Vietnamese words and abstract vocabulary to enhance communication and achieve particular effects </w:t>
            </w:r>
          </w:p>
          <w:p w:rsidR="00D804FC" w:rsidRPr="005F5E5A" w:rsidRDefault="00B263B0" w:rsidP="005F5E5A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VIU186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(VCVIU186)</w:t>
              </w:r>
            </w:hyperlink>
          </w:p>
        </w:tc>
        <w:tc>
          <w:tcPr>
            <w:tcW w:w="3142" w:type="dxa"/>
            <w:gridSpan w:val="2"/>
          </w:tcPr>
          <w:p w:rsidR="005F5E5A" w:rsidRDefault="005F5E5A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Understand the relationship between purpose, audience, context, linguistic features, and textual and cultural elements associated with different types of personal, reflective, informative and persuasive texts</w:t>
            </w:r>
          </w:p>
          <w:p w:rsidR="00D804FC" w:rsidRPr="0023348C" w:rsidRDefault="00B263B0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VIU187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(VCVIU187)</w:t>
              </w:r>
            </w:hyperlink>
          </w:p>
        </w:tc>
        <w:tc>
          <w:tcPr>
            <w:tcW w:w="3143" w:type="dxa"/>
            <w:gridSpan w:val="2"/>
          </w:tcPr>
          <w:p w:rsidR="005F5E5A" w:rsidRDefault="005F5E5A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Analyse and explain how and why language use varies according to cultural contexts, relationships and purposes </w:t>
            </w:r>
          </w:p>
          <w:p w:rsidR="00D804FC" w:rsidRPr="0023348C" w:rsidRDefault="00B263B0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VIU188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(VCVIU188)</w:t>
              </w:r>
            </w:hyperlink>
          </w:p>
        </w:tc>
        <w:tc>
          <w:tcPr>
            <w:tcW w:w="3142" w:type="dxa"/>
            <w:gridSpan w:val="2"/>
          </w:tcPr>
          <w:p w:rsidR="005F5E5A" w:rsidRDefault="005F5E5A" w:rsidP="00722ADE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 xml:space="preserve">Analyse the impact of media, technology, </w:t>
            </w:r>
            <w:proofErr w:type="spellStart"/>
            <w:r w:rsidRPr="005F5E5A">
              <w:rPr>
                <w:rFonts w:ascii="Arial Narrow" w:hAnsi="Arial Narrow"/>
                <w:sz w:val="18"/>
                <w:szCs w:val="18"/>
              </w:rPr>
              <w:t>globalisation</w:t>
            </w:r>
            <w:proofErr w:type="spellEnd"/>
            <w:r w:rsidRPr="005F5E5A">
              <w:rPr>
                <w:rFonts w:ascii="Arial Narrow" w:hAnsi="Arial Narrow"/>
                <w:sz w:val="18"/>
                <w:szCs w:val="18"/>
              </w:rPr>
              <w:t>, migration and popular culture on Vietnamese language use in Vietnam and overseas</w:t>
            </w:r>
            <w:bookmarkStart w:id="0" w:name="_GoBack"/>
            <w:bookmarkEnd w:id="0"/>
          </w:p>
          <w:p w:rsidR="00D804FC" w:rsidRPr="0023348C" w:rsidRDefault="00B263B0" w:rsidP="00722ADE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VIU189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(VCVIU189)</w:t>
              </w:r>
            </w:hyperlink>
          </w:p>
        </w:tc>
        <w:tc>
          <w:tcPr>
            <w:tcW w:w="3143" w:type="dxa"/>
            <w:gridSpan w:val="2"/>
          </w:tcPr>
          <w:p w:rsidR="005F5E5A" w:rsidRDefault="005F5E5A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5F5E5A">
              <w:rPr>
                <w:rFonts w:ascii="Arial Narrow" w:hAnsi="Arial Narrow"/>
                <w:sz w:val="18"/>
                <w:szCs w:val="18"/>
              </w:rPr>
              <w:t>Understand the reciprocal relationship between language, culture and communication and how this relationship impacts on attitudes and beliefs</w:t>
            </w:r>
          </w:p>
          <w:p w:rsidR="00D804FC" w:rsidRPr="0023348C" w:rsidRDefault="00B263B0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VIU190" w:history="1">
              <w:r w:rsidRPr="00B263B0">
                <w:rPr>
                  <w:rStyle w:val="Hyperlink"/>
                  <w:rFonts w:ascii="Arial Narrow" w:hAnsi="Arial Narrow"/>
                  <w:sz w:val="18"/>
                  <w:szCs w:val="18"/>
                </w:rPr>
                <w:t>(VCVIU190)</w:t>
              </w:r>
            </w:hyperlink>
          </w:p>
        </w:tc>
      </w:tr>
      <w:tr w:rsidR="00D804FC" w:rsidRPr="0056716B" w:rsidTr="00BD370D">
        <w:trPr>
          <w:cantSplit/>
          <w:trHeight w:val="397"/>
        </w:trPr>
        <w:tc>
          <w:tcPr>
            <w:tcW w:w="226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5E5184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C1765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21" o:title=""/>
                </v:shape>
                <w:control r:id="rId127" w:name="CheckBox11311811111" w:shapeid="_x0000_i1405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21" o:title=""/>
                </v:shape>
                <w:control r:id="rId128" w:name="CheckBox1131181112" w:shapeid="_x0000_i1407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21" o:title=""/>
                </v:shape>
                <w:control r:id="rId129" w:name="CheckBox113118112" w:shapeid="_x0000_i1409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21" o:title=""/>
                </v:shape>
                <w:control r:id="rId130" w:name="CheckBox11311891" w:shapeid="_x0000_i1411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21" o:title=""/>
                </v:shape>
                <w:control r:id="rId131" w:name="CheckBox113118811" w:shapeid="_x0000_i1413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21" o:title=""/>
                </v:shape>
                <w:control r:id="rId132" w:name="CheckBox11311861" w:shapeid="_x0000_i141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21" o:title=""/>
                </v:shape>
                <w:control r:id="rId133" w:name="CheckBox1131111111111" w:shapeid="_x0000_i1417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21" o:title=""/>
                </v:shape>
                <w:control r:id="rId134" w:name="CheckBox113111111112" w:shapeid="_x0000_i1419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21" o:title=""/>
                </v:shape>
                <w:control r:id="rId135" w:name="CheckBox11311111112" w:shapeid="_x0000_i1421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21" o:title=""/>
                </v:shape>
                <w:control r:id="rId136" w:name="CheckBox1131111311" w:shapeid="_x0000_i1423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21" o:title=""/>
                </v:shape>
                <w:control r:id="rId137" w:name="CheckBox11311112111" w:shapeid="_x0000_i1425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21" o:title=""/>
                </v:shape>
                <w:control r:id="rId138" w:name="CheckBox113111161" w:shapeid="_x0000_i142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21" o:title=""/>
                </v:shape>
                <w:control r:id="rId139" w:name="CheckBox1131121111111" w:shapeid="_x0000_i1429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21" o:title=""/>
                </v:shape>
                <w:control r:id="rId140" w:name="CheckBox11311211121" w:shapeid="_x0000_i1431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21" o:title=""/>
                </v:shape>
                <w:control r:id="rId141" w:name="CheckBox113112111121" w:shapeid="_x0000_i1433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21" o:title=""/>
                </v:shape>
                <w:control r:id="rId142" w:name="CheckBox1131121121" w:shapeid="_x0000_i1435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21" o:title=""/>
                </v:shape>
                <w:control r:id="rId143" w:name="CheckBox1131121111121" w:shapeid="_x0000_i1437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21" o:title=""/>
                </v:shape>
                <w:control r:id="rId144" w:name="CheckBox1131121113" w:shapeid="_x0000_i143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21" o:title=""/>
                </v:shape>
                <w:control r:id="rId145" w:name="CheckBox1131131111111111" w:shapeid="_x0000_i1441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21" o:title=""/>
                </v:shape>
                <w:control r:id="rId146" w:name="CheckBox113113111111112" w:shapeid="_x0000_i1443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21" o:title=""/>
                </v:shape>
                <w:control r:id="rId147" w:name="CheckBox11311311111112" w:shapeid="_x0000_i1445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21" o:title=""/>
                </v:shape>
                <w:control r:id="rId148" w:name="CheckBox1131131111112" w:shapeid="_x0000_i1447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21" o:title=""/>
                </v:shape>
                <w:control r:id="rId149" w:name="CheckBox1131131111121" w:shapeid="_x0000_i1449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21" o:title=""/>
                </v:shape>
                <w:control r:id="rId150" w:name="CheckBox1131131112" w:shapeid="_x0000_i1451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21" o:title=""/>
                </v:shape>
                <w:control r:id="rId151" w:name="CheckBox1131141111111111" w:shapeid="_x0000_i1453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21" o:title=""/>
                </v:shape>
                <w:control r:id="rId152" w:name="CheckBox113114111111112" w:shapeid="_x0000_i1455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21" o:title=""/>
                </v:shape>
                <w:control r:id="rId153" w:name="CheckBox11311411111121" w:shapeid="_x0000_i1457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21" o:title=""/>
                </v:shape>
                <w:control r:id="rId154" w:name="CheckBox11311411111112" w:shapeid="_x0000_i1459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21" o:title=""/>
                </v:shape>
                <w:control r:id="rId155" w:name="CheckBox11311411111131" w:shapeid="_x0000_i1461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21" o:title=""/>
                </v:shape>
                <w:control r:id="rId156" w:name="CheckBox11311411112" w:shapeid="_x0000_i1463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21" o:title=""/>
                </v:shape>
                <w:control r:id="rId157" w:name="CheckBox11311511111111111" w:shapeid="_x0000_i1465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21" o:title=""/>
                </v:shape>
                <w:control r:id="rId158" w:name="CheckBox1131151111111112" w:shapeid="_x0000_i1467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21" o:title=""/>
                </v:shape>
                <w:control r:id="rId159" w:name="CheckBox113115111111112" w:shapeid="_x0000_i1469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21" o:title=""/>
                </v:shape>
                <w:control r:id="rId160" w:name="CheckBox11311511111112" w:shapeid="_x0000_i1471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21" o:title=""/>
                </v:shape>
                <w:control r:id="rId161" w:name="CheckBox11311511111121" w:shapeid="_x0000_i1473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21" o:title=""/>
                </v:shape>
                <w:control r:id="rId162" w:name="CheckBox11311511112" w:shapeid="_x0000_i147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21" o:title=""/>
                </v:shape>
                <w:control r:id="rId163" w:name="CheckBox113191213" w:shapeid="_x0000_i1477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21" o:title=""/>
                </v:shape>
                <w:control r:id="rId164" w:name="CheckBox113191231" w:shapeid="_x0000_i1479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21" o:title=""/>
                </v:shape>
                <w:control r:id="rId165" w:name="CheckBox113191241" w:shapeid="_x0000_i1481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21" o:title=""/>
                </v:shape>
                <w:control r:id="rId166" w:name="CheckBox113191251" w:shapeid="_x0000_i1483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21" o:title=""/>
                </v:shape>
                <w:control r:id="rId167" w:name="CheckBox1131912611" w:shapeid="_x0000_i1485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21" o:title=""/>
                </v:shape>
                <w:control r:id="rId168" w:name="CheckBox113191281" w:shapeid="_x0000_i148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:rsidR="00D20F94" w:rsidRPr="00A125DA" w:rsidRDefault="00B37D4B" w:rsidP="00A167F5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p w:rsidR="001C7E76" w:rsidRDefault="001C7E76"/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82"/>
        <w:gridCol w:w="11482"/>
      </w:tblGrid>
      <w:tr w:rsidR="006C721E" w:rsidRPr="00145826" w:rsidTr="006C721E">
        <w:trPr>
          <w:trHeight w:val="355"/>
        </w:trPr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6C721E" w:rsidRPr="005F5E5A" w:rsidRDefault="006C721E" w:rsidP="000F0AB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7 and 8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F5E5A" w:rsidRDefault="006C721E" w:rsidP="005F4AB1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="005F5E5A"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6C721E" w:rsidRPr="00652320" w:rsidRDefault="005F5E5A" w:rsidP="005F4AB1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6C721E" w:rsidRPr="00145826" w:rsidTr="006C721E">
        <w:trPr>
          <w:trHeight w:val="4380"/>
        </w:trPr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721E" w:rsidRDefault="006C721E" w:rsidP="004343DB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hAnsi="Arial Narrow"/>
                <w:sz w:val="18"/>
                <w:szCs w:val="18"/>
                <w:lang w:val="en-AU"/>
              </w:rPr>
              <w:t>By the end of Level 8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spoken and written Vietnamese to initiate and sustain interactions with peers, teachers, family members and other known adults, and to engage in transactions and exchange ideas and experiences.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ask and respond to open-ended questions such as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Bạn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nghi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̃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sao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v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ề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v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ấ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đ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ề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này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Tại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sao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bạn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nghi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̃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nh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v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â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̣y</w:t>
            </w:r>
            <w:proofErr w:type="spellEnd"/>
            <w:proofErr w:type="gram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?,</w:t>
            </w:r>
            <w:proofErr w:type="gram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and offer and justify their own opinions.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make enquiries (for example, Mẹ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định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ô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̉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ch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́c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sinh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nh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ậ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con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nh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th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́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nào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?) and suggestions (for example,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Chúng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mình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tham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gia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bi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̉u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di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̃n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v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ă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ngh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̣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trong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tr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ươ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̀ng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đ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i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!), to solve problems, make decisions and organise events and services.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verbs such as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nên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cần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and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phải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to give advice or express their attitudes on topics of discussion.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make comparisons and state preferences using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b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ă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̀ng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h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ơ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and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nh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â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́t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They rephrase statements or provide examples to clarify meaning, and elaborate on or justify ideas.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interacting, they use appropriate Vietnamese pronunciation and intonation patterns in a range of sentence structures.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locate, analyse and compare information on topics of shared interest from a variety of texts, and convey information and ideas using modes of presentation selected to suit their audience and purpose.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share their responses to different imaginative texts by expressing opinions about the ways characters and events are represented and by explaining themes, messages and the storyline.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create texts with imaginary places, events, people and experiences in a range of forms, using direct speech (for example, Ba mẹ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nói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v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ớ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i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tôi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: ‘Con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nên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chăm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học</w:t>
            </w:r>
            <w:proofErr w:type="spellEnd"/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’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and indirect speech (for example, Ba mẹ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bảo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tôi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nên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chăm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học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They manipulate a range of structures to express their own perspectives on experiences, events and issues.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a variety of sentence types (affirmative, negative, interrogative, imperative and exclamatory) to express attitudes, opinions or emotions.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They translate texts from Vietnamese into English and vice versa, using simple strategies to overcome challenges, and compare their versions with others’.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produce multimodal bilingual resources for the school and the wider community, providing annotations and commentaries to assist meaning.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reflect on the importance of language and behaviour in intercultural communication and how being a </w:t>
            </w:r>
            <w:r w:rsidR="00737EA2">
              <w:rPr>
                <w:rFonts w:ascii="Arial Narrow" w:eastAsia="Arial" w:hAnsi="Arial Narrow"/>
                <w:sz w:val="18"/>
                <w:szCs w:val="18"/>
                <w:lang w:val="en-AU"/>
              </w:rPr>
              <w:t>learn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er of Vietnamese contributes to their own sense of identity.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analyse the use of punctuation and tone markers in different sentence types, including affirmative (for example,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Em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ăn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ơ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negative (for example,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Em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kh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ô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ă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ơ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interrogative (for example,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Em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ă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ơ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kh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ô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?), imperative (for example, </w:t>
            </w:r>
            <w:proofErr w:type="spellStart"/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Ă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ơ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đ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i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!) and exclamatory, for example,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Em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ăn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nhiều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ơ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m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quá!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the meaning of Vietnamese homonyms (for example, hay may mean 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‘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usually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’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or 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‘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interesting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’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 depending on the context.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They analyse the structure and linguistic features of different types of texts and explain how these features are influenced by each text’s context, audience and purpose.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They identify variations in language use between written and spoken texts and explain how language choices depend on the participants, relationships and purpose of the exchange.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the impact of social, cultural and intercultural influences on language, and use and explain Vietnamese words that have emerged through contact with other languages (for example,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ca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̀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rốt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ca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̀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ph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ă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-tin), and from globalisation and technological advances, such as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toàn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cầu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hóa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ô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ngh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̣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th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ô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tin,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nh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â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̣t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ky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́ </w:t>
            </w:r>
            <w:proofErr w:type="spellStart"/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đ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i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̣n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</w:t>
            </w:r>
            <w:r w:rsidRPr="00544750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̉,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nói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chuy</w:t>
            </w:r>
            <w:r w:rsidRPr="00544750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̣n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qua </w:t>
            </w:r>
            <w:proofErr w:type="spellStart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mạng</w:t>
            </w:r>
            <w:proofErr w:type="spellEnd"/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6C721E" w:rsidRPr="00544750" w:rsidRDefault="006C721E" w:rsidP="004343DB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44750">
              <w:rPr>
                <w:rFonts w:ascii="Arial Narrow" w:eastAsia="Arial" w:hAnsi="Arial Narrow"/>
                <w:sz w:val="18"/>
                <w:szCs w:val="18"/>
                <w:lang w:val="en-AU"/>
              </w:rPr>
              <w:t>They explain how cultural ideas and perspectives are embedded in language use and communication styles, for example, the importance of politeness and respect in Vietnamese language and culture.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721E" w:rsidRDefault="006C721E" w:rsidP="004343DB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hAnsi="Arial Narrow"/>
                <w:sz w:val="18"/>
                <w:szCs w:val="18"/>
                <w:lang w:val="en-AU"/>
              </w:rPr>
              <w:t>By the end of Level 10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spoken and written Vietnamese to initiate, sustain and extend interactions with peers, teachers and others in a range of contexts and for a range of purposes, such as to explore peers’ perspectives on youth culture and personal experiences.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language spontaneously in the classroom, offering and justifying their own opinions and ideas and eliciting those of others.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(2)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negotiate with others to complete shared tasks and transactions, using evaluative language, for example, Ý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kiến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của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bạn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r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â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́t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m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ơ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́i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lạ/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h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ơ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̣p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th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ơ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̀i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Bạn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nói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có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ly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́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nh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ô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nghi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̃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r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ă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̀ng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…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, to acknowledge others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’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opinions and to challenge and manage alternative views.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(3)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transitional sentences, such as Hay là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mình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th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̉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làm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th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́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này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xem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sao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Còn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v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â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́n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đê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̀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bảo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v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̣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m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ô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tr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ươ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̀ng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thi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̀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sao</w:t>
            </w:r>
            <w:proofErr w:type="spellEnd"/>
            <w:proofErr w:type="gram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?,</w:t>
            </w:r>
            <w:proofErr w:type="gram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to manage shifts of topic and speaker.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(4)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speak fluently, pausing where appropriate, and use stress in extended sentences to enhance communication. 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>(5)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gather, synthesise and evaluate information and opinions from different perspectives and create original texts for diverse audiences and purposes in a range of contexts.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(6)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respond to a range of imaginative texts by analysing their purpose and language techniques, forming their own position on the issues, themes and values addressed. 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>(7)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create a range of imaginative texts to express a variety of perspectives and values in modes of presentation selected to suit audience, purpose and context. 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>(8)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combine knowledge of Sino–Vietnamese words and abstract vocabulary with stylistic devices to enhance expression, create particular effects and influence others, for example, through repetition (for example,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đi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nhanh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nói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nhanh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ă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nhanh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similes (for example,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mắt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sáng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nh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sao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personification (for example, lá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s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â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̀u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onomatopoeia (for example,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ào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ri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̀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rào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đ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ùng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and rhetorical questions, for example,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Ch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ă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̉ng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lẽ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mình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là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ươ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̀i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Vi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̣t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mà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lại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kh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ô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bi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́t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nói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ti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́ng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Vi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̣t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 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>(9)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adjust their own language use when addressing a different audience or in a different context, for example, shifting from an informal to a respectful </w:t>
            </w:r>
            <w:proofErr w:type="gram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tone,</w:t>
            </w:r>
            <w:proofErr w:type="gram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and from simple to sophisticated vocabulary or structures. They convert informal everyday speech (for example,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ai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cũng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biết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h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́t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 into formal register (for example,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nh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quy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́ vị </w:t>
            </w:r>
            <w:proofErr w:type="spellStart"/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đ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a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̃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bi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́t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as appropriate. 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(10)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conjunctions, such as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tr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ươ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́c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ti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sau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cùng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ngoài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ra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h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ơ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̃a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do </w:t>
            </w:r>
            <w:proofErr w:type="spellStart"/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đó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à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…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à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v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ừ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a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…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v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ừ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a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ch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ẳ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nh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ữ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…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mà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còn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ế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u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…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thì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tuy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…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nh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v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ì</w:t>
            </w:r>
            <w:proofErr w:type="spellEnd"/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…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cho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ê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to sequence and connect ideas in texts, and apply accurate spelling to enhance communication. 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>(11)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 and interpret texts and create bilingual resources for Vietnamese and English-speaking audiences, explaining how cultural concepts, values and beliefs are embedded in language. 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>(12)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They compare views on the relationship between cultural identity and communication, question cultural assumptions, and modify language and behaviours in intercultural interactions as appropriate.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(13)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explain how pronunciation, intonation, pace and rhythm in spoken Vietnamese can express different emotions, for example, Con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thích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cái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áo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mà mẹ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tặng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cho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con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h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ô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m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sinh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nh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â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̣t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v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̀a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r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ô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̀i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and signal clause boundaries and emphasis. 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>(14)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explain why Sino-Vietnamese words are used in formal contexts, for example,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hội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phu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̣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̃ (not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h</w:t>
            </w:r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ô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̣i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 w:cs="Arial Narrow"/>
                <w:sz w:val="18"/>
                <w:szCs w:val="18"/>
                <w:lang w:val="en-AU"/>
              </w:rPr>
              <w:t>đ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àn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ba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̀) and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vi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ệ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d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ưỡ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lão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(not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nhà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r w:rsidRPr="004343DB">
              <w:rPr>
                <w:rFonts w:eastAsia="Arial" w:cs="Arial"/>
                <w:sz w:val="18"/>
                <w:szCs w:val="18"/>
                <w:lang w:val="en-AU"/>
              </w:rPr>
              <w:t>ườ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i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già</w:t>
            </w:r>
            <w:proofErr w:type="spellEnd"/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).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(15)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analyse a range of personal, informative, reflective and persuasive texts and explain the relationship between context, purpose, audience, linguistic features and textual and cultural elements. 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>(16)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They analyse how language use varies according to cultural contexts, relationships and purposes, explaining why they adjust their vocabulary and level of politeness and formality in intercultural interactions.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(17)</w:t>
            </w: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explain the impact of media, technology, globalisation, migration and popular culture on Vietnamese language use in both Australia and Vietnam. 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>(18)</w:t>
            </w:r>
          </w:p>
          <w:p w:rsidR="006C721E" w:rsidRPr="004343DB" w:rsidRDefault="006C721E" w:rsidP="004343DB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343DB">
              <w:rPr>
                <w:rFonts w:ascii="Arial Narrow" w:eastAsia="Arial" w:hAnsi="Arial Narrow"/>
                <w:sz w:val="18"/>
                <w:szCs w:val="18"/>
                <w:lang w:val="en-AU"/>
              </w:rPr>
              <w:t>They explain the reciprocal nature of the relationship between language, culture and communication, identifying its impact on attitudes and beliefs.</w:t>
            </w:r>
            <w:r w:rsidR="00C52A61">
              <w:rPr>
                <w:rFonts w:ascii="Arial Narrow" w:eastAsia="Arial" w:hAnsi="Arial Narrow"/>
                <w:sz w:val="18"/>
                <w:szCs w:val="18"/>
                <w:lang w:val="en-AU"/>
              </w:rPr>
              <w:t>(19)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837"/>
      </w:tblGrid>
      <w:tr w:rsidR="00374FCC" w:rsidRPr="00374FCC" w:rsidTr="00A2415D">
        <w:trPr>
          <w:trHeight w:val="283"/>
        </w:trPr>
        <w:tc>
          <w:tcPr>
            <w:tcW w:w="114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2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A2415D">
        <w:trPr>
          <w:trHeight w:val="379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69"/>
      <w:footerReference w:type="default" r:id="rId170"/>
      <w:headerReference w:type="first" r:id="rId171"/>
      <w:footerReference w:type="first" r:id="rId172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DB" w:rsidRDefault="004343DB" w:rsidP="00304EA1">
      <w:pPr>
        <w:spacing w:after="0" w:line="240" w:lineRule="auto"/>
      </w:pPr>
      <w:r>
        <w:separator/>
      </w:r>
    </w:p>
  </w:endnote>
  <w:endnote w:type="continuationSeparator" w:id="0">
    <w:p w:rsidR="004343DB" w:rsidRDefault="004343D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4343DB" w:rsidTr="00083E00">
      <w:trPr>
        <w:trHeight w:val="701"/>
      </w:trPr>
      <w:tc>
        <w:tcPr>
          <w:tcW w:w="2835" w:type="dxa"/>
          <w:vAlign w:val="center"/>
        </w:tcPr>
        <w:p w:rsidR="004343DB" w:rsidRPr="002329F3" w:rsidRDefault="004343DB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4343DB" w:rsidRPr="00B41951" w:rsidRDefault="004343DB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B263B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4343DB" w:rsidRPr="00243F0D" w:rsidRDefault="004343DB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4343DB" w:rsidTr="004174A4">
      <w:trPr>
        <w:trHeight w:val="709"/>
      </w:trPr>
      <w:tc>
        <w:tcPr>
          <w:tcW w:w="7607" w:type="dxa"/>
          <w:vAlign w:val="center"/>
        </w:tcPr>
        <w:p w:rsidR="004343DB" w:rsidRPr="004A2ED8" w:rsidRDefault="004343DB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4343DB" w:rsidRPr="00B41951" w:rsidRDefault="004343DB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4343DB" w:rsidRDefault="004343DB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4343DB" w:rsidRDefault="004343DB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DB" w:rsidRDefault="004343DB" w:rsidP="00304EA1">
      <w:pPr>
        <w:spacing w:after="0" w:line="240" w:lineRule="auto"/>
      </w:pPr>
      <w:r>
        <w:separator/>
      </w:r>
    </w:p>
  </w:footnote>
  <w:footnote w:type="continuationSeparator" w:id="0">
    <w:p w:rsidR="004343DB" w:rsidRDefault="004343D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343DB" w:rsidRPr="00D86DE4" w:rsidRDefault="006C721E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Vietnamese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DB" w:rsidRPr="009370BC" w:rsidRDefault="004343DB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Vietnamese – </w:t>
        </w:r>
        <w:r w:rsidR="006C721E">
          <w:rPr>
            <w:sz w:val="28"/>
            <w:szCs w:val="28"/>
          </w:rPr>
          <w:t>9</w:t>
        </w:r>
        <w:r>
          <w:rPr>
            <w:sz w:val="28"/>
            <w:szCs w:val="28"/>
          </w:rPr>
          <w:t xml:space="preserve"> and </w:t>
        </w:r>
        <w:r w:rsidR="006C721E">
          <w:rPr>
            <w:sz w:val="28"/>
            <w:szCs w:val="28"/>
          </w:rPr>
          <w:t>10</w:t>
        </w:r>
      </w:sdtContent>
    </w:sdt>
    <w:r>
      <w:rPr>
        <w:sz w:val="28"/>
        <w:szCs w:val="28"/>
      </w:rPr>
      <w:t xml:space="preserve"> (</w:t>
    </w:r>
    <w:r>
      <w:rPr>
        <w:sz w:val="28"/>
        <w:szCs w:val="28"/>
        <w:lang w:val="en-US"/>
      </w:rPr>
      <w:t>F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27F44"/>
    <w:multiLevelType w:val="hybridMultilevel"/>
    <w:tmpl w:val="5412C1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81072"/>
    <w:multiLevelType w:val="hybridMultilevel"/>
    <w:tmpl w:val="22A21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509AB"/>
    <w:multiLevelType w:val="hybridMultilevel"/>
    <w:tmpl w:val="40DCC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834A1"/>
    <w:multiLevelType w:val="hybridMultilevel"/>
    <w:tmpl w:val="8504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90D3C"/>
    <w:multiLevelType w:val="hybridMultilevel"/>
    <w:tmpl w:val="EC702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9D559A"/>
    <w:multiLevelType w:val="hybridMultilevel"/>
    <w:tmpl w:val="6A026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560EB"/>
    <w:multiLevelType w:val="hybridMultilevel"/>
    <w:tmpl w:val="C452FB0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E528F5"/>
    <w:multiLevelType w:val="hybridMultilevel"/>
    <w:tmpl w:val="FDBCD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6413F9"/>
    <w:multiLevelType w:val="hybridMultilevel"/>
    <w:tmpl w:val="1B0E4366"/>
    <w:lvl w:ilvl="0" w:tplc="0060C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F25AA4"/>
    <w:multiLevelType w:val="hybridMultilevel"/>
    <w:tmpl w:val="FEF4698C"/>
    <w:lvl w:ilvl="0" w:tplc="7CC4F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012A93"/>
    <w:multiLevelType w:val="hybridMultilevel"/>
    <w:tmpl w:val="AEE299EC"/>
    <w:lvl w:ilvl="0" w:tplc="7CC4F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1C4D4C"/>
    <w:multiLevelType w:val="hybridMultilevel"/>
    <w:tmpl w:val="21AADDE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EE3297"/>
    <w:multiLevelType w:val="multilevel"/>
    <w:tmpl w:val="252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>
    <w:nsid w:val="66E12172"/>
    <w:multiLevelType w:val="hybridMultilevel"/>
    <w:tmpl w:val="8A649AA8"/>
    <w:lvl w:ilvl="0" w:tplc="7CC4F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A2ACB"/>
    <w:multiLevelType w:val="hybridMultilevel"/>
    <w:tmpl w:val="D92AB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327F21"/>
    <w:multiLevelType w:val="hybridMultilevel"/>
    <w:tmpl w:val="E58E1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7A453A"/>
    <w:multiLevelType w:val="hybridMultilevel"/>
    <w:tmpl w:val="0080A7D2"/>
    <w:lvl w:ilvl="0" w:tplc="7CC4F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B1A3D"/>
    <w:multiLevelType w:val="hybridMultilevel"/>
    <w:tmpl w:val="777EA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9C4ACD"/>
    <w:multiLevelType w:val="hybridMultilevel"/>
    <w:tmpl w:val="B69AB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2E6AF9"/>
    <w:multiLevelType w:val="hybridMultilevel"/>
    <w:tmpl w:val="5504F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0"/>
  </w:num>
  <w:num w:numId="4">
    <w:abstractNumId w:val="6"/>
  </w:num>
  <w:num w:numId="5">
    <w:abstractNumId w:val="29"/>
  </w:num>
  <w:num w:numId="6">
    <w:abstractNumId w:val="0"/>
  </w:num>
  <w:num w:numId="7">
    <w:abstractNumId w:val="30"/>
  </w:num>
  <w:num w:numId="8">
    <w:abstractNumId w:val="37"/>
  </w:num>
  <w:num w:numId="9">
    <w:abstractNumId w:val="18"/>
  </w:num>
  <w:num w:numId="10">
    <w:abstractNumId w:val="22"/>
  </w:num>
  <w:num w:numId="11">
    <w:abstractNumId w:val="5"/>
  </w:num>
  <w:num w:numId="12">
    <w:abstractNumId w:val="8"/>
  </w:num>
  <w:num w:numId="13">
    <w:abstractNumId w:val="14"/>
  </w:num>
  <w:num w:numId="14">
    <w:abstractNumId w:val="25"/>
  </w:num>
  <w:num w:numId="15">
    <w:abstractNumId w:val="13"/>
  </w:num>
  <w:num w:numId="16">
    <w:abstractNumId w:val="9"/>
  </w:num>
  <w:num w:numId="17">
    <w:abstractNumId w:val="38"/>
  </w:num>
  <w:num w:numId="18">
    <w:abstractNumId w:val="24"/>
  </w:num>
  <w:num w:numId="19">
    <w:abstractNumId w:val="28"/>
  </w:num>
  <w:num w:numId="20">
    <w:abstractNumId w:val="21"/>
  </w:num>
  <w:num w:numId="21">
    <w:abstractNumId w:val="4"/>
  </w:num>
  <w:num w:numId="22">
    <w:abstractNumId w:val="12"/>
  </w:num>
  <w:num w:numId="23">
    <w:abstractNumId w:val="23"/>
  </w:num>
  <w:num w:numId="24">
    <w:abstractNumId w:val="36"/>
  </w:num>
  <w:num w:numId="25">
    <w:abstractNumId w:val="11"/>
  </w:num>
  <w:num w:numId="26">
    <w:abstractNumId w:val="10"/>
  </w:num>
  <w:num w:numId="27">
    <w:abstractNumId w:val="33"/>
  </w:num>
  <w:num w:numId="28">
    <w:abstractNumId w:val="39"/>
  </w:num>
  <w:num w:numId="29">
    <w:abstractNumId w:val="7"/>
  </w:num>
  <w:num w:numId="30">
    <w:abstractNumId w:val="26"/>
  </w:num>
  <w:num w:numId="31">
    <w:abstractNumId w:val="2"/>
  </w:num>
  <w:num w:numId="32">
    <w:abstractNumId w:val="16"/>
  </w:num>
  <w:num w:numId="33">
    <w:abstractNumId w:val="34"/>
  </w:num>
  <w:num w:numId="34">
    <w:abstractNumId w:val="3"/>
  </w:num>
  <w:num w:numId="35">
    <w:abstractNumId w:val="1"/>
  </w:num>
  <w:num w:numId="36">
    <w:abstractNumId w:val="40"/>
  </w:num>
  <w:num w:numId="37">
    <w:abstractNumId w:val="15"/>
  </w:num>
  <w:num w:numId="38">
    <w:abstractNumId w:val="19"/>
  </w:num>
  <w:num w:numId="39">
    <w:abstractNumId w:val="35"/>
  </w:num>
  <w:num w:numId="40">
    <w:abstractNumId w:val="3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5583"/>
    <w:rsid w:val="00083A37"/>
    <w:rsid w:val="00083E00"/>
    <w:rsid w:val="000A4B8C"/>
    <w:rsid w:val="000A71F7"/>
    <w:rsid w:val="000B1AF5"/>
    <w:rsid w:val="000D02B8"/>
    <w:rsid w:val="000D2707"/>
    <w:rsid w:val="000E14E1"/>
    <w:rsid w:val="000E4A92"/>
    <w:rsid w:val="000E5856"/>
    <w:rsid w:val="000E6E7E"/>
    <w:rsid w:val="000F09E4"/>
    <w:rsid w:val="000F0AB0"/>
    <w:rsid w:val="000F16FD"/>
    <w:rsid w:val="00107EEB"/>
    <w:rsid w:val="001209DB"/>
    <w:rsid w:val="00122BC7"/>
    <w:rsid w:val="00123048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A55CD"/>
    <w:rsid w:val="001C73C5"/>
    <w:rsid w:val="001C7E76"/>
    <w:rsid w:val="001E15E2"/>
    <w:rsid w:val="001E5ED4"/>
    <w:rsid w:val="002233AF"/>
    <w:rsid w:val="0022542B"/>
    <w:rsid w:val="002279BA"/>
    <w:rsid w:val="002329F3"/>
    <w:rsid w:val="0023348C"/>
    <w:rsid w:val="00242AC4"/>
    <w:rsid w:val="00243F0D"/>
    <w:rsid w:val="0024642A"/>
    <w:rsid w:val="002647BB"/>
    <w:rsid w:val="002754C1"/>
    <w:rsid w:val="002841C8"/>
    <w:rsid w:val="0028516B"/>
    <w:rsid w:val="002947D7"/>
    <w:rsid w:val="002A15A7"/>
    <w:rsid w:val="002C0CB0"/>
    <w:rsid w:val="002C12D7"/>
    <w:rsid w:val="002C1CEA"/>
    <w:rsid w:val="002C3B18"/>
    <w:rsid w:val="002C68A5"/>
    <w:rsid w:val="002C6F90"/>
    <w:rsid w:val="002E4D6C"/>
    <w:rsid w:val="002F08B3"/>
    <w:rsid w:val="002F4A07"/>
    <w:rsid w:val="002F6892"/>
    <w:rsid w:val="00302FB8"/>
    <w:rsid w:val="00304874"/>
    <w:rsid w:val="00304EA1"/>
    <w:rsid w:val="00314B6C"/>
    <w:rsid w:val="00314D81"/>
    <w:rsid w:val="00322FC6"/>
    <w:rsid w:val="003434E5"/>
    <w:rsid w:val="00372723"/>
    <w:rsid w:val="00374FCC"/>
    <w:rsid w:val="00391986"/>
    <w:rsid w:val="003D45C3"/>
    <w:rsid w:val="003F09DB"/>
    <w:rsid w:val="003F313B"/>
    <w:rsid w:val="003F3244"/>
    <w:rsid w:val="003F71E0"/>
    <w:rsid w:val="00400A2A"/>
    <w:rsid w:val="00416B45"/>
    <w:rsid w:val="004174A4"/>
    <w:rsid w:val="00417AA3"/>
    <w:rsid w:val="004227FE"/>
    <w:rsid w:val="004343DB"/>
    <w:rsid w:val="00440B32"/>
    <w:rsid w:val="0045291F"/>
    <w:rsid w:val="0046078D"/>
    <w:rsid w:val="00496E5A"/>
    <w:rsid w:val="004A2ED8"/>
    <w:rsid w:val="004A3285"/>
    <w:rsid w:val="004F5BDA"/>
    <w:rsid w:val="004F6A73"/>
    <w:rsid w:val="005031D2"/>
    <w:rsid w:val="005072CB"/>
    <w:rsid w:val="0051631E"/>
    <w:rsid w:val="005219F6"/>
    <w:rsid w:val="00526666"/>
    <w:rsid w:val="00542353"/>
    <w:rsid w:val="00542BBB"/>
    <w:rsid w:val="00544750"/>
    <w:rsid w:val="00557320"/>
    <w:rsid w:val="00566029"/>
    <w:rsid w:val="0057336C"/>
    <w:rsid w:val="005923CB"/>
    <w:rsid w:val="005B19C6"/>
    <w:rsid w:val="005B391B"/>
    <w:rsid w:val="005B595C"/>
    <w:rsid w:val="005B6999"/>
    <w:rsid w:val="005D3D78"/>
    <w:rsid w:val="005D5B67"/>
    <w:rsid w:val="005E15C0"/>
    <w:rsid w:val="005E2EF0"/>
    <w:rsid w:val="005E4366"/>
    <w:rsid w:val="005E5184"/>
    <w:rsid w:val="005F4AB1"/>
    <w:rsid w:val="005F5E5A"/>
    <w:rsid w:val="00605D42"/>
    <w:rsid w:val="00607D1F"/>
    <w:rsid w:val="006207A6"/>
    <w:rsid w:val="006220D0"/>
    <w:rsid w:val="00643937"/>
    <w:rsid w:val="006816D9"/>
    <w:rsid w:val="00684063"/>
    <w:rsid w:val="00693FFD"/>
    <w:rsid w:val="006A0E2A"/>
    <w:rsid w:val="006C721E"/>
    <w:rsid w:val="006D2159"/>
    <w:rsid w:val="006F787C"/>
    <w:rsid w:val="00700A81"/>
    <w:rsid w:val="00702636"/>
    <w:rsid w:val="007157CE"/>
    <w:rsid w:val="00722ADE"/>
    <w:rsid w:val="00724507"/>
    <w:rsid w:val="00737EA2"/>
    <w:rsid w:val="00751217"/>
    <w:rsid w:val="00752E46"/>
    <w:rsid w:val="0076106A"/>
    <w:rsid w:val="007670CC"/>
    <w:rsid w:val="00773E6C"/>
    <w:rsid w:val="00777B7A"/>
    <w:rsid w:val="007810EB"/>
    <w:rsid w:val="00791393"/>
    <w:rsid w:val="007A2119"/>
    <w:rsid w:val="007A6FCF"/>
    <w:rsid w:val="007B186E"/>
    <w:rsid w:val="007B7B85"/>
    <w:rsid w:val="007D0868"/>
    <w:rsid w:val="00812A66"/>
    <w:rsid w:val="00813C37"/>
    <w:rsid w:val="008154B5"/>
    <w:rsid w:val="00817450"/>
    <w:rsid w:val="008178CF"/>
    <w:rsid w:val="00823962"/>
    <w:rsid w:val="00825405"/>
    <w:rsid w:val="00832DEE"/>
    <w:rsid w:val="00832F5C"/>
    <w:rsid w:val="00836160"/>
    <w:rsid w:val="00852719"/>
    <w:rsid w:val="0085341C"/>
    <w:rsid w:val="00860115"/>
    <w:rsid w:val="00866F2E"/>
    <w:rsid w:val="00882B5D"/>
    <w:rsid w:val="0088783C"/>
    <w:rsid w:val="00893D86"/>
    <w:rsid w:val="008B0412"/>
    <w:rsid w:val="008B0964"/>
    <w:rsid w:val="008C46D9"/>
    <w:rsid w:val="008E2E17"/>
    <w:rsid w:val="00905859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25DA"/>
    <w:rsid w:val="00A167F5"/>
    <w:rsid w:val="00A17661"/>
    <w:rsid w:val="00A2415D"/>
    <w:rsid w:val="00A24B2D"/>
    <w:rsid w:val="00A30AF1"/>
    <w:rsid w:val="00A317A6"/>
    <w:rsid w:val="00A34167"/>
    <w:rsid w:val="00A40966"/>
    <w:rsid w:val="00A51560"/>
    <w:rsid w:val="00A71A75"/>
    <w:rsid w:val="00A73676"/>
    <w:rsid w:val="00A86C0B"/>
    <w:rsid w:val="00A87CDE"/>
    <w:rsid w:val="00A9089F"/>
    <w:rsid w:val="00A921E0"/>
    <w:rsid w:val="00AA1A70"/>
    <w:rsid w:val="00AA2350"/>
    <w:rsid w:val="00AC090B"/>
    <w:rsid w:val="00AF5590"/>
    <w:rsid w:val="00B01200"/>
    <w:rsid w:val="00B0738F"/>
    <w:rsid w:val="00B229F7"/>
    <w:rsid w:val="00B263B0"/>
    <w:rsid w:val="00B26601"/>
    <w:rsid w:val="00B30DB8"/>
    <w:rsid w:val="00B37D4B"/>
    <w:rsid w:val="00B41951"/>
    <w:rsid w:val="00B43612"/>
    <w:rsid w:val="00B43811"/>
    <w:rsid w:val="00B53229"/>
    <w:rsid w:val="00B532D8"/>
    <w:rsid w:val="00B55A31"/>
    <w:rsid w:val="00B6050D"/>
    <w:rsid w:val="00B62480"/>
    <w:rsid w:val="00B634B7"/>
    <w:rsid w:val="00B652B5"/>
    <w:rsid w:val="00B769B1"/>
    <w:rsid w:val="00B81B70"/>
    <w:rsid w:val="00B90D69"/>
    <w:rsid w:val="00BA581A"/>
    <w:rsid w:val="00BB0201"/>
    <w:rsid w:val="00BB0662"/>
    <w:rsid w:val="00BB1385"/>
    <w:rsid w:val="00BB164B"/>
    <w:rsid w:val="00BB2FE1"/>
    <w:rsid w:val="00BC394E"/>
    <w:rsid w:val="00BD0724"/>
    <w:rsid w:val="00BD2012"/>
    <w:rsid w:val="00BD370D"/>
    <w:rsid w:val="00BE13FD"/>
    <w:rsid w:val="00BE5521"/>
    <w:rsid w:val="00BF69B7"/>
    <w:rsid w:val="00C0458A"/>
    <w:rsid w:val="00C17658"/>
    <w:rsid w:val="00C21CA5"/>
    <w:rsid w:val="00C34866"/>
    <w:rsid w:val="00C35334"/>
    <w:rsid w:val="00C46F0E"/>
    <w:rsid w:val="00C52A61"/>
    <w:rsid w:val="00C53263"/>
    <w:rsid w:val="00C5379C"/>
    <w:rsid w:val="00C75F1D"/>
    <w:rsid w:val="00C94A8B"/>
    <w:rsid w:val="00C96144"/>
    <w:rsid w:val="00CB0B9A"/>
    <w:rsid w:val="00CB4115"/>
    <w:rsid w:val="00CC1EDB"/>
    <w:rsid w:val="00CD487B"/>
    <w:rsid w:val="00CE7ABF"/>
    <w:rsid w:val="00CF0E31"/>
    <w:rsid w:val="00D022C6"/>
    <w:rsid w:val="00D14C24"/>
    <w:rsid w:val="00D20F94"/>
    <w:rsid w:val="00D338E4"/>
    <w:rsid w:val="00D43FD6"/>
    <w:rsid w:val="00D51947"/>
    <w:rsid w:val="00D532F0"/>
    <w:rsid w:val="00D74D9F"/>
    <w:rsid w:val="00D77413"/>
    <w:rsid w:val="00D804FC"/>
    <w:rsid w:val="00D82759"/>
    <w:rsid w:val="00D86DE4"/>
    <w:rsid w:val="00D9596B"/>
    <w:rsid w:val="00DA498D"/>
    <w:rsid w:val="00DA6A95"/>
    <w:rsid w:val="00DA6CC7"/>
    <w:rsid w:val="00DC21C3"/>
    <w:rsid w:val="00DE0E18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108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32.xml"/><Relationship Id="rId170" Type="http://schemas.openxmlformats.org/officeDocument/2006/relationships/footer" Target="footer1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VIC175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2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3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2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3.xml"/><Relationship Id="rId171" Type="http://schemas.openxmlformats.org/officeDocument/2006/relationships/header" Target="header2.xml"/><Relationship Id="rId12" Type="http://schemas.openxmlformats.org/officeDocument/2006/relationships/hyperlink" Target="http://victoriancurriculum.vcaa.vic.edu.au/Curriculum/ContentDescription/VCVIC176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4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51" Type="http://schemas.openxmlformats.org/officeDocument/2006/relationships/control" Target="activeX/activeX124.xml"/><Relationship Id="rId156" Type="http://schemas.openxmlformats.org/officeDocument/2006/relationships/control" Target="activeX/activeX129.xml"/><Relationship Id="rId177" Type="http://schemas.openxmlformats.org/officeDocument/2006/relationships/customXml" Target="../customXml/item3.xml"/><Relationship Id="rId172" Type="http://schemas.openxmlformats.org/officeDocument/2006/relationships/footer" Target="footer2.xml"/><Relationship Id="rId13" Type="http://schemas.openxmlformats.org/officeDocument/2006/relationships/hyperlink" Target="http://victoriancurriculum.vcaa.vic.edu.au/Curriculum/ContentDescription/VCVIC177" TargetMode="External"/><Relationship Id="rId18" Type="http://schemas.openxmlformats.org/officeDocument/2006/relationships/hyperlink" Target="http://victoriancurriculum.vcaa.vic.edu.au/Curriculum/ContentDescription/VCVIC182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VIU189" TargetMode="Externa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5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30.xml"/><Relationship Id="rId178" Type="http://schemas.openxmlformats.org/officeDocument/2006/relationships/customXml" Target="../customXml/item4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5.xml"/><Relationship Id="rId173" Type="http://schemas.openxmlformats.org/officeDocument/2006/relationships/fontTable" Target="fontTable.xml"/><Relationship Id="rId19" Type="http://schemas.openxmlformats.org/officeDocument/2006/relationships/hyperlink" Target="http://victoriancurriculum.vcaa.vic.edu.au/Curriculum/ContentDescription/VCVIC183" TargetMode="External"/><Relationship Id="rId14" Type="http://schemas.openxmlformats.org/officeDocument/2006/relationships/hyperlink" Target="http://victoriancurriculum.vcaa.vic.edu.au/Curriculum/ContentDescription/VCVIC178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VIU190" TargetMode="Externa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VIU185" TargetMode="Externa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6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31.xml"/><Relationship Id="rId20" Type="http://schemas.openxmlformats.org/officeDocument/2006/relationships/hyperlink" Target="http://victoriancurriculum.vcaa.vic.edu.au/Curriculum/ContentDescription/VCVIC184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6.xml"/><Relationship Id="rId174" Type="http://schemas.openxmlformats.org/officeDocument/2006/relationships/glossaryDocument" Target="glossary/document.xml"/><Relationship Id="rId15" Type="http://schemas.openxmlformats.org/officeDocument/2006/relationships/hyperlink" Target="http://victoriancurriculum.vcaa.vic.edu.au/Curriculum/ContentDescription/VCVIC179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0.xml"/><Relationship Id="rId10" Type="http://schemas.openxmlformats.org/officeDocument/2006/relationships/hyperlink" Target="http://victoriancurriculum.vcaa.vic.edu.au/Curriculum/ContentDescription/VCVIC174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VIU186" TargetMode="Externa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7.xml"/><Relationship Id="rId16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7.xml"/><Relationship Id="rId175" Type="http://schemas.openxmlformats.org/officeDocument/2006/relationships/theme" Target="theme/theme1.xml"/><Relationship Id="rId16" Type="http://schemas.openxmlformats.org/officeDocument/2006/relationships/hyperlink" Target="http://victoriancurriculum.vcaa.vic.edu.au/Curriculum/ContentDescription/VCVIC180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VIU187" TargetMode="External"/><Relationship Id="rId144" Type="http://schemas.openxmlformats.org/officeDocument/2006/relationships/control" Target="activeX/activeX117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8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7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8.xml"/><Relationship Id="rId176" Type="http://schemas.openxmlformats.org/officeDocument/2006/relationships/customXml" Target="../customXml/item2.xml"/><Relationship Id="rId17" Type="http://schemas.openxmlformats.org/officeDocument/2006/relationships/hyperlink" Target="http://victoriancurriculum.vcaa.vic.edu.au/Curriculum/ContentDescription/VCVIC181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VIU188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95002"/>
    <w:rsid w:val="00171A54"/>
    <w:rsid w:val="00174368"/>
    <w:rsid w:val="00282B74"/>
    <w:rsid w:val="002A6101"/>
    <w:rsid w:val="002F28A2"/>
    <w:rsid w:val="00385735"/>
    <w:rsid w:val="0055691B"/>
    <w:rsid w:val="00596CE2"/>
    <w:rsid w:val="005B2128"/>
    <w:rsid w:val="005C4A88"/>
    <w:rsid w:val="006A57F3"/>
    <w:rsid w:val="008F4514"/>
    <w:rsid w:val="008F5967"/>
    <w:rsid w:val="009925B8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62104A4F-53FB-40D4-A7B3-829907ADDDD3}"/>
</file>

<file path=customXml/itemProps2.xml><?xml version="1.0" encoding="utf-8"?>
<ds:datastoreItem xmlns:ds="http://schemas.openxmlformats.org/officeDocument/2006/customXml" ds:itemID="{BFE7C9A4-2D15-4827-8CD0-5546CB02C358}"/>
</file>

<file path=customXml/itemProps3.xml><?xml version="1.0" encoding="utf-8"?>
<ds:datastoreItem xmlns:ds="http://schemas.openxmlformats.org/officeDocument/2006/customXml" ds:itemID="{DD75D1FB-5A88-406E-ABAB-D155C7B76329}"/>
</file>

<file path=customXml/itemProps4.xml><?xml version="1.0" encoding="utf-8"?>
<ds:datastoreItem xmlns:ds="http://schemas.openxmlformats.org/officeDocument/2006/customXml" ds:itemID="{CEAB21C1-E8C4-44F0-9555-F452BA8FA421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13</TotalTime>
  <Pages>2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Vietnamese – 7 and 8</vt:lpstr>
    </vt:vector>
  </TitlesOfParts>
  <Company>Victorian Curriculum and Assessment Authority</Company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Vietnamese – 9 and 10</dc:title>
  <dc:creator>Andrea, Campbell J</dc:creator>
  <cp:keywords>F-10 sequence; Curriculum Mapping; Vietnamese</cp:keywords>
  <cp:lastModifiedBy>Campbell J Andrea</cp:lastModifiedBy>
  <cp:revision>6</cp:revision>
  <cp:lastPrinted>2015-11-27T00:08:00Z</cp:lastPrinted>
  <dcterms:created xsi:type="dcterms:W3CDTF">2016-02-01T03:57:00Z</dcterms:created>
  <dcterms:modified xsi:type="dcterms:W3CDTF">2016-03-04T02:00:00Z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