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doc_title"/>
    <w:bookmarkStart w:id="1" w:name="_Toc398032444"/>
    <w:bookmarkStart w:id="2" w:name="_Toc398032631"/>
    <w:p w14:paraId="050E2465" w14:textId="119AB723" w:rsidR="00C73F9D" w:rsidRPr="004A22BC" w:rsidRDefault="00DA52AB" w:rsidP="008B33FB">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8B33FB">
                <w:t>Conflict of interest policy</w:t>
              </w:r>
            </w:sdtContent>
          </w:sdt>
        </w:sdtContent>
      </w:sdt>
      <w:bookmarkEnd w:id="0"/>
      <w:bookmarkEnd w:id="1"/>
      <w:bookmarkEnd w:id="2"/>
      <w:r w:rsidR="003D421C"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5CBE1536" w14:textId="77777777" w:rsidR="003701BC" w:rsidRPr="003701BC" w:rsidRDefault="003701BC" w:rsidP="003701BC">
      <w:pPr>
        <w:pStyle w:val="VCAAtrademarkinfo"/>
        <w:spacing w:before="6480"/>
        <w:rPr>
          <w:b/>
          <w:bCs/>
          <w:sz w:val="18"/>
          <w:szCs w:val="18"/>
        </w:rPr>
      </w:pPr>
      <w:bookmarkStart w:id="3" w:name="_Hlk168405089"/>
      <w:r w:rsidRPr="003701BC">
        <w:rPr>
          <w:b/>
          <w:bCs/>
          <w:sz w:val="18"/>
          <w:szCs w:val="18"/>
        </w:rPr>
        <w:lastRenderedPageBreak/>
        <w:t>Acknowledgement</w:t>
      </w:r>
    </w:p>
    <w:p w14:paraId="03408EB7" w14:textId="36EFA139" w:rsidR="003701BC" w:rsidRPr="003701BC" w:rsidRDefault="003701BC" w:rsidP="003701BC">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14:paraId="5EAFAAA4" w14:textId="4B0CF41F" w:rsidR="003701BC" w:rsidRPr="00DD788D" w:rsidRDefault="003701BC" w:rsidP="003701BC">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14:paraId="14323D36" w14:textId="1FB08531" w:rsidR="003701BC" w:rsidRPr="00210AB7" w:rsidRDefault="003701BC" w:rsidP="003701BC">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14:paraId="7C215B10" w14:textId="65E133A6" w:rsidR="003701BC" w:rsidRPr="00210AB7" w:rsidRDefault="003701BC" w:rsidP="003701BC">
      <w:pPr>
        <w:pStyle w:val="VCAAtrademarkinfo"/>
        <w:rPr>
          <w:lang w:val="en-AU"/>
        </w:rPr>
      </w:pPr>
      <w:r w:rsidRPr="00210AB7">
        <w:rPr>
          <w:lang w:val="en-AU"/>
        </w:rPr>
        <w:t xml:space="preserve">© Victorian Curriculum and Assessment Authority </w:t>
      </w:r>
      <w:r w:rsidR="008B33FB">
        <w:rPr>
          <w:lang w:val="en-AU"/>
        </w:rPr>
        <w:t>2024</w:t>
      </w:r>
    </w:p>
    <w:p w14:paraId="26AF626F" w14:textId="77777777" w:rsidR="003701BC" w:rsidRPr="00A06B65" w:rsidRDefault="003701BC" w:rsidP="003701BC">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4" w:history="1">
        <w:r w:rsidRPr="00A06B65">
          <w:rPr>
            <w:rStyle w:val="Hyperlink"/>
          </w:rPr>
          <w:t>VCAA educational allowance</w:t>
        </w:r>
      </w:hyperlink>
      <w:r w:rsidRPr="00A06B65">
        <w:rPr>
          <w:lang w:val="en-AU"/>
        </w:rPr>
        <w:t xml:space="preserve">. For more information go to </w:t>
      </w:r>
      <w:hyperlink r:id="rId15" w:history="1">
        <w:r>
          <w:rPr>
            <w:rStyle w:val="Hyperlink"/>
          </w:rPr>
          <w:t>https://www.vcaa.vic.edu.au/Footer/Pages/Copyright.aspx</w:t>
        </w:r>
      </w:hyperlink>
      <w:r w:rsidRPr="00A06B65">
        <w:rPr>
          <w:lang w:val="en-AU"/>
        </w:rPr>
        <w:t xml:space="preserve">. </w:t>
      </w:r>
    </w:p>
    <w:p w14:paraId="31600C46" w14:textId="77777777" w:rsidR="003701BC" w:rsidRPr="00A06B65" w:rsidRDefault="003701BC" w:rsidP="003701BC">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6" w:history="1">
        <w:r w:rsidRPr="00A06B65">
          <w:rPr>
            <w:rStyle w:val="Hyperlink"/>
          </w:rPr>
          <w:t>www.vcaa.vic.edu.au</w:t>
        </w:r>
      </w:hyperlink>
      <w:r w:rsidRPr="00A06B65">
        <w:rPr>
          <w:lang w:val="en-AU"/>
        </w:rPr>
        <w:t>.</w:t>
      </w:r>
    </w:p>
    <w:p w14:paraId="4CC3AC00" w14:textId="77777777" w:rsidR="003701BC" w:rsidRPr="00A06B65" w:rsidRDefault="003701BC" w:rsidP="003701BC">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7" w:history="1">
        <w:r w:rsidRPr="00A06B65">
          <w:rPr>
            <w:rStyle w:val="Hyperlink"/>
          </w:rPr>
          <w:t>vcaa.copyright@edumail.vic.gov.au</w:t>
        </w:r>
      </w:hyperlink>
    </w:p>
    <w:p w14:paraId="09AA5C49" w14:textId="77777777" w:rsidR="003701BC" w:rsidRPr="00A06B65" w:rsidRDefault="003701BC" w:rsidP="003701BC">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7A31FA7" w14:textId="77777777" w:rsidR="003701BC" w:rsidRPr="00A06B65" w:rsidRDefault="003701BC" w:rsidP="003701BC">
      <w:pPr>
        <w:pStyle w:val="VCAAtrademarkinfo"/>
        <w:rPr>
          <w:lang w:val="en-AU"/>
        </w:rPr>
      </w:pPr>
      <w:r>
        <w:rPr>
          <w:lang w:val="en-AU"/>
        </w:rPr>
        <w:t>T</w:t>
      </w:r>
      <w:r w:rsidRPr="00A06B65">
        <w:rPr>
          <w:lang w:val="en-AU"/>
        </w:rPr>
        <w:t>he VCAA logo is a registered trademark of the Victorian Curriculum and Assessment Authority.</w:t>
      </w:r>
    </w:p>
    <w:p w14:paraId="78024047" w14:textId="77777777" w:rsidR="003701BC" w:rsidRPr="00A06B65" w:rsidRDefault="003701BC" w:rsidP="003701BC">
      <w:pPr>
        <w:pStyle w:val="VCAAtrademarkinfo"/>
        <w:rPr>
          <w:lang w:val="en-AU"/>
        </w:rPr>
      </w:pPr>
    </w:p>
    <w:tbl>
      <w:tblPr>
        <w:tblStyle w:val="TableGrid"/>
        <w:tblW w:w="0" w:type="auto"/>
        <w:tblLook w:val="04A0" w:firstRow="1" w:lastRow="0" w:firstColumn="1" w:lastColumn="0" w:noHBand="0" w:noVBand="1"/>
      </w:tblPr>
      <w:tblGrid>
        <w:gridCol w:w="9629"/>
      </w:tblGrid>
      <w:tr w:rsidR="003701BC" w:rsidRPr="00A06B65" w14:paraId="2893CB01" w14:textId="77777777" w:rsidTr="003C5A4A">
        <w:trPr>
          <w:trHeight w:val="794"/>
        </w:trPr>
        <w:tc>
          <w:tcPr>
            <w:tcW w:w="9855" w:type="dxa"/>
          </w:tcPr>
          <w:p w14:paraId="0968D23E" w14:textId="77777777" w:rsidR="003701BC" w:rsidRPr="00A06B65" w:rsidRDefault="003701BC" w:rsidP="003C5A4A">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15563DF6" w14:textId="3242A94E" w:rsidR="003701BC" w:rsidRPr="00A06B65" w:rsidRDefault="003701BC" w:rsidP="003C5A4A">
            <w:pPr>
              <w:pStyle w:val="VCAAtrademarkinfo"/>
              <w:rPr>
                <w:lang w:val="en-AU"/>
              </w:rPr>
            </w:pPr>
            <w:r w:rsidRPr="00A06B65">
              <w:rPr>
                <w:lang w:val="en-AU"/>
              </w:rPr>
              <w:t xml:space="preserve">Telephone (03) 9032 1635 or email </w:t>
            </w:r>
            <w:hyperlink r:id="rId18" w:history="1">
              <w:r w:rsidR="002C2929" w:rsidRPr="009E2E25">
                <w:rPr>
                  <w:rStyle w:val="Hyperlink"/>
                </w:rPr>
                <w:t>vcaa.publications@education.vic.gov.au</w:t>
              </w:r>
            </w:hyperlink>
          </w:p>
        </w:tc>
      </w:tr>
    </w:tbl>
    <w:p w14:paraId="48DFA786" w14:textId="77777777" w:rsidR="003701BC" w:rsidRPr="00210AB7" w:rsidRDefault="003701BC" w:rsidP="003701BC">
      <w:pPr>
        <w:pStyle w:val="VCAAtrademarkinfo"/>
        <w:rPr>
          <w:lang w:val="en-AU"/>
        </w:rPr>
      </w:pPr>
    </w:p>
    <w:p w14:paraId="7BA93138" w14:textId="77777777" w:rsidR="0091624E" w:rsidRPr="000F5CEC" w:rsidRDefault="0091624E" w:rsidP="00D86551">
      <w:pPr>
        <w:pStyle w:val="BodyText"/>
        <w:sectPr w:rsidR="0091624E" w:rsidRPr="000F5CEC" w:rsidSect="00916D5D">
          <w:headerReference w:type="first" r:id="rId19"/>
          <w:footerReference w:type="first" r:id="rId20"/>
          <w:pgSz w:w="11907" w:h="16840" w:code="9"/>
          <w:pgMar w:top="1644" w:right="1134" w:bottom="238" w:left="1134" w:header="709" w:footer="567" w:gutter="0"/>
          <w:cols w:space="708"/>
          <w:titlePg/>
          <w:docGrid w:linePitch="360"/>
        </w:sectPr>
      </w:pPr>
    </w:p>
    <w:p w14:paraId="24D22E40" w14:textId="77777777" w:rsidR="00322123" w:rsidRPr="000F5CEC" w:rsidRDefault="00322123" w:rsidP="002E3552">
      <w:pPr>
        <w:rPr>
          <w:color w:val="0F7EB4"/>
          <w:sz w:val="48"/>
          <w:lang w:val="en-AU"/>
        </w:rPr>
      </w:pPr>
      <w:r w:rsidRPr="000F5CEC">
        <w:rPr>
          <w:color w:val="0F7EB4"/>
          <w:sz w:val="48"/>
          <w:lang w:val="en-AU"/>
        </w:rPr>
        <w:lastRenderedPageBreak/>
        <w:t>Contents</w:t>
      </w:r>
    </w:p>
    <w:p w14:paraId="7B75F829" w14:textId="6BA0BF15" w:rsidR="00DA52AB" w:rsidRDefault="000F6DF8">
      <w:pPr>
        <w:pStyle w:val="TOC1"/>
        <w:tabs>
          <w:tab w:val="left" w:pos="442"/>
        </w:tabs>
        <w:rPr>
          <w:rFonts w:asciiTheme="minorHAnsi" w:eastAsiaTheme="minorEastAsia" w:hAnsiTheme="minorHAnsi"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anchor="_Toc173413850" w:history="1">
        <w:r w:rsidR="00DA52AB" w:rsidRPr="002D304A">
          <w:rPr>
            <w:rStyle w:val="Hyperlink"/>
          </w:rPr>
          <w:t>1.</w:t>
        </w:r>
        <w:r w:rsidR="00DA52AB">
          <w:rPr>
            <w:rFonts w:asciiTheme="minorHAnsi" w:eastAsiaTheme="minorEastAsia" w:hAnsiTheme="minorHAnsi" w:cstheme="minorBidi"/>
            <w:b w:val="0"/>
            <w:bCs w:val="0"/>
            <w:kern w:val="2"/>
            <w:sz w:val="24"/>
            <w:lang w:eastAsia="en-GB"/>
            <w14:ligatures w14:val="standardContextual"/>
          </w:rPr>
          <w:tab/>
        </w:r>
        <w:r w:rsidR="00DA52AB" w:rsidRPr="002D304A">
          <w:rPr>
            <w:rStyle w:val="Hyperlink"/>
          </w:rPr>
          <w:t>Overview</w:t>
        </w:r>
        <w:r w:rsidR="00DA52AB">
          <w:rPr>
            <w:webHidden/>
          </w:rPr>
          <w:tab/>
        </w:r>
        <w:r w:rsidR="00DA52AB">
          <w:rPr>
            <w:webHidden/>
          </w:rPr>
          <w:fldChar w:fldCharType="begin"/>
        </w:r>
        <w:r w:rsidR="00DA52AB">
          <w:rPr>
            <w:webHidden/>
          </w:rPr>
          <w:instrText xml:space="preserve"> PAGEREF _Toc173413850 \h </w:instrText>
        </w:r>
        <w:r w:rsidR="00DA52AB">
          <w:rPr>
            <w:webHidden/>
          </w:rPr>
        </w:r>
        <w:r w:rsidR="00DA52AB">
          <w:rPr>
            <w:webHidden/>
          </w:rPr>
          <w:fldChar w:fldCharType="separate"/>
        </w:r>
        <w:r w:rsidR="00DA52AB">
          <w:rPr>
            <w:webHidden/>
          </w:rPr>
          <w:t>1</w:t>
        </w:r>
        <w:r w:rsidR="00DA52AB">
          <w:rPr>
            <w:webHidden/>
          </w:rPr>
          <w:fldChar w:fldCharType="end"/>
        </w:r>
      </w:hyperlink>
    </w:p>
    <w:p w14:paraId="77BE30F5" w14:textId="46524305" w:rsidR="00DA52AB" w:rsidRDefault="00DA52A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413851" w:history="1">
        <w:r w:rsidRPr="002D304A">
          <w:rPr>
            <w:rStyle w:val="Hyperlink"/>
          </w:rPr>
          <w:t>2.</w:t>
        </w:r>
        <w:r>
          <w:rPr>
            <w:rFonts w:asciiTheme="minorHAnsi" w:eastAsiaTheme="minorEastAsia" w:hAnsiTheme="minorHAnsi" w:cstheme="minorBidi"/>
            <w:b w:val="0"/>
            <w:bCs w:val="0"/>
            <w:kern w:val="2"/>
            <w:sz w:val="24"/>
            <w:lang w:eastAsia="en-GB"/>
            <w14:ligatures w14:val="standardContextual"/>
          </w:rPr>
          <w:tab/>
        </w:r>
        <w:r w:rsidRPr="002D304A">
          <w:rPr>
            <w:rStyle w:val="Hyperlink"/>
          </w:rPr>
          <w:t>Objectives</w:t>
        </w:r>
        <w:r>
          <w:rPr>
            <w:webHidden/>
          </w:rPr>
          <w:tab/>
        </w:r>
        <w:r>
          <w:rPr>
            <w:webHidden/>
          </w:rPr>
          <w:fldChar w:fldCharType="begin"/>
        </w:r>
        <w:r>
          <w:rPr>
            <w:webHidden/>
          </w:rPr>
          <w:instrText xml:space="preserve"> PAGEREF _Toc173413851 \h </w:instrText>
        </w:r>
        <w:r>
          <w:rPr>
            <w:webHidden/>
          </w:rPr>
        </w:r>
        <w:r>
          <w:rPr>
            <w:webHidden/>
          </w:rPr>
          <w:fldChar w:fldCharType="separate"/>
        </w:r>
        <w:r>
          <w:rPr>
            <w:webHidden/>
          </w:rPr>
          <w:t>1</w:t>
        </w:r>
        <w:r>
          <w:rPr>
            <w:webHidden/>
          </w:rPr>
          <w:fldChar w:fldCharType="end"/>
        </w:r>
      </w:hyperlink>
    </w:p>
    <w:p w14:paraId="56690EC7" w14:textId="33AA758F" w:rsidR="00DA52AB" w:rsidRDefault="00DA52A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413852" w:history="1">
        <w:r w:rsidRPr="002D304A">
          <w:rPr>
            <w:rStyle w:val="Hyperlink"/>
          </w:rPr>
          <w:t>3.</w:t>
        </w:r>
        <w:r>
          <w:rPr>
            <w:rFonts w:asciiTheme="minorHAnsi" w:eastAsiaTheme="minorEastAsia" w:hAnsiTheme="minorHAnsi" w:cstheme="minorBidi"/>
            <w:b w:val="0"/>
            <w:bCs w:val="0"/>
            <w:kern w:val="2"/>
            <w:sz w:val="24"/>
            <w:lang w:eastAsia="en-GB"/>
            <w14:ligatures w14:val="standardContextual"/>
          </w:rPr>
          <w:tab/>
        </w:r>
        <w:r w:rsidRPr="002D304A">
          <w:rPr>
            <w:rStyle w:val="Hyperlink"/>
          </w:rPr>
          <w:t>Principles</w:t>
        </w:r>
        <w:r>
          <w:rPr>
            <w:webHidden/>
          </w:rPr>
          <w:tab/>
        </w:r>
        <w:r>
          <w:rPr>
            <w:webHidden/>
          </w:rPr>
          <w:fldChar w:fldCharType="begin"/>
        </w:r>
        <w:r>
          <w:rPr>
            <w:webHidden/>
          </w:rPr>
          <w:instrText xml:space="preserve"> PAGEREF _Toc173413852 \h </w:instrText>
        </w:r>
        <w:r>
          <w:rPr>
            <w:webHidden/>
          </w:rPr>
        </w:r>
        <w:r>
          <w:rPr>
            <w:webHidden/>
          </w:rPr>
          <w:fldChar w:fldCharType="separate"/>
        </w:r>
        <w:r>
          <w:rPr>
            <w:webHidden/>
          </w:rPr>
          <w:t>1</w:t>
        </w:r>
        <w:r>
          <w:rPr>
            <w:webHidden/>
          </w:rPr>
          <w:fldChar w:fldCharType="end"/>
        </w:r>
      </w:hyperlink>
    </w:p>
    <w:p w14:paraId="1768D82A" w14:textId="32BD9DA2"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53" w:history="1">
        <w:r w:rsidRPr="002D304A">
          <w:rPr>
            <w:rStyle w:val="Hyperlink"/>
          </w:rPr>
          <w:t>3.1.</w:t>
        </w:r>
        <w:r>
          <w:rPr>
            <w:rFonts w:asciiTheme="minorHAnsi" w:eastAsiaTheme="minorEastAsia" w:hAnsiTheme="minorHAnsi" w:cstheme="minorBidi"/>
            <w:kern w:val="2"/>
            <w:sz w:val="24"/>
            <w:lang w:eastAsia="en-GB"/>
            <w14:ligatures w14:val="standardContextual"/>
          </w:rPr>
          <w:tab/>
        </w:r>
        <w:r w:rsidRPr="002D304A">
          <w:rPr>
            <w:rStyle w:val="Hyperlink"/>
          </w:rPr>
          <w:t>Protecting the public interest through upholding VPS values</w:t>
        </w:r>
        <w:r>
          <w:rPr>
            <w:webHidden/>
          </w:rPr>
          <w:tab/>
        </w:r>
        <w:r>
          <w:rPr>
            <w:webHidden/>
          </w:rPr>
          <w:fldChar w:fldCharType="begin"/>
        </w:r>
        <w:r>
          <w:rPr>
            <w:webHidden/>
          </w:rPr>
          <w:instrText xml:space="preserve"> PAGEREF _Toc173413853 \h </w:instrText>
        </w:r>
        <w:r>
          <w:rPr>
            <w:webHidden/>
          </w:rPr>
        </w:r>
        <w:r>
          <w:rPr>
            <w:webHidden/>
          </w:rPr>
          <w:fldChar w:fldCharType="separate"/>
        </w:r>
        <w:r>
          <w:rPr>
            <w:webHidden/>
          </w:rPr>
          <w:t>1</w:t>
        </w:r>
        <w:r>
          <w:rPr>
            <w:webHidden/>
          </w:rPr>
          <w:fldChar w:fldCharType="end"/>
        </w:r>
      </w:hyperlink>
    </w:p>
    <w:p w14:paraId="2C397E01" w14:textId="52A44191"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54" w:history="1">
        <w:r w:rsidRPr="002D304A">
          <w:rPr>
            <w:rStyle w:val="Hyperlink"/>
          </w:rPr>
          <w:t>3.2.</w:t>
        </w:r>
        <w:r>
          <w:rPr>
            <w:rFonts w:asciiTheme="minorHAnsi" w:eastAsiaTheme="minorEastAsia" w:hAnsiTheme="minorHAnsi" w:cstheme="minorBidi"/>
            <w:kern w:val="2"/>
            <w:sz w:val="24"/>
            <w:lang w:eastAsia="en-GB"/>
            <w14:ligatures w14:val="standardContextual"/>
          </w:rPr>
          <w:tab/>
        </w:r>
        <w:r w:rsidRPr="002D304A">
          <w:rPr>
            <w:rStyle w:val="Hyperlink"/>
          </w:rPr>
          <w:t>Supporting transparency and accountability</w:t>
        </w:r>
        <w:r>
          <w:rPr>
            <w:webHidden/>
          </w:rPr>
          <w:tab/>
        </w:r>
        <w:r>
          <w:rPr>
            <w:webHidden/>
          </w:rPr>
          <w:fldChar w:fldCharType="begin"/>
        </w:r>
        <w:r>
          <w:rPr>
            <w:webHidden/>
          </w:rPr>
          <w:instrText xml:space="preserve"> PAGEREF _Toc173413854 \h </w:instrText>
        </w:r>
        <w:r>
          <w:rPr>
            <w:webHidden/>
          </w:rPr>
        </w:r>
        <w:r>
          <w:rPr>
            <w:webHidden/>
          </w:rPr>
          <w:fldChar w:fldCharType="separate"/>
        </w:r>
        <w:r>
          <w:rPr>
            <w:webHidden/>
          </w:rPr>
          <w:t>1</w:t>
        </w:r>
        <w:r>
          <w:rPr>
            <w:webHidden/>
          </w:rPr>
          <w:fldChar w:fldCharType="end"/>
        </w:r>
      </w:hyperlink>
    </w:p>
    <w:p w14:paraId="34A3AF6D" w14:textId="6F4F5F25"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55" w:history="1">
        <w:r w:rsidRPr="002D304A">
          <w:rPr>
            <w:rStyle w:val="Hyperlink"/>
          </w:rPr>
          <w:t>3.3.</w:t>
        </w:r>
        <w:r>
          <w:rPr>
            <w:rFonts w:asciiTheme="minorHAnsi" w:eastAsiaTheme="minorEastAsia" w:hAnsiTheme="minorHAnsi" w:cstheme="minorBidi"/>
            <w:kern w:val="2"/>
            <w:sz w:val="24"/>
            <w:lang w:eastAsia="en-GB"/>
            <w14:ligatures w14:val="standardContextual"/>
          </w:rPr>
          <w:tab/>
        </w:r>
        <w:r w:rsidRPr="002D304A">
          <w:rPr>
            <w:rStyle w:val="Hyperlink"/>
          </w:rPr>
          <w:t>Promoting individual responsibility for integrity and impartiality</w:t>
        </w:r>
        <w:r>
          <w:rPr>
            <w:webHidden/>
          </w:rPr>
          <w:tab/>
        </w:r>
        <w:r>
          <w:rPr>
            <w:webHidden/>
          </w:rPr>
          <w:fldChar w:fldCharType="begin"/>
        </w:r>
        <w:r>
          <w:rPr>
            <w:webHidden/>
          </w:rPr>
          <w:instrText xml:space="preserve"> PAGEREF _Toc173413855 \h </w:instrText>
        </w:r>
        <w:r>
          <w:rPr>
            <w:webHidden/>
          </w:rPr>
        </w:r>
        <w:r>
          <w:rPr>
            <w:webHidden/>
          </w:rPr>
          <w:fldChar w:fldCharType="separate"/>
        </w:r>
        <w:r>
          <w:rPr>
            <w:webHidden/>
          </w:rPr>
          <w:t>2</w:t>
        </w:r>
        <w:r>
          <w:rPr>
            <w:webHidden/>
          </w:rPr>
          <w:fldChar w:fldCharType="end"/>
        </w:r>
      </w:hyperlink>
    </w:p>
    <w:p w14:paraId="068DB1E2" w14:textId="649280CB"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56" w:history="1">
        <w:r w:rsidRPr="002D304A">
          <w:rPr>
            <w:rStyle w:val="Hyperlink"/>
          </w:rPr>
          <w:t>3.4.</w:t>
        </w:r>
        <w:r>
          <w:rPr>
            <w:rFonts w:asciiTheme="minorHAnsi" w:eastAsiaTheme="minorEastAsia" w:hAnsiTheme="minorHAnsi" w:cstheme="minorBidi"/>
            <w:kern w:val="2"/>
            <w:sz w:val="24"/>
            <w:lang w:eastAsia="en-GB"/>
            <w14:ligatures w14:val="standardContextual"/>
          </w:rPr>
          <w:tab/>
        </w:r>
        <w:r w:rsidRPr="002D304A">
          <w:rPr>
            <w:rStyle w:val="Hyperlink"/>
            <w:lang w:val="en-US"/>
          </w:rPr>
          <w:t>Upholding a supportive organisational culture</w:t>
        </w:r>
        <w:r>
          <w:rPr>
            <w:webHidden/>
          </w:rPr>
          <w:tab/>
        </w:r>
        <w:r>
          <w:rPr>
            <w:webHidden/>
          </w:rPr>
          <w:fldChar w:fldCharType="begin"/>
        </w:r>
        <w:r>
          <w:rPr>
            <w:webHidden/>
          </w:rPr>
          <w:instrText xml:space="preserve"> PAGEREF _Toc173413856 \h </w:instrText>
        </w:r>
        <w:r>
          <w:rPr>
            <w:webHidden/>
          </w:rPr>
        </w:r>
        <w:r>
          <w:rPr>
            <w:webHidden/>
          </w:rPr>
          <w:fldChar w:fldCharType="separate"/>
        </w:r>
        <w:r>
          <w:rPr>
            <w:webHidden/>
          </w:rPr>
          <w:t>2</w:t>
        </w:r>
        <w:r>
          <w:rPr>
            <w:webHidden/>
          </w:rPr>
          <w:fldChar w:fldCharType="end"/>
        </w:r>
      </w:hyperlink>
    </w:p>
    <w:p w14:paraId="04EDD0F2" w14:textId="0C032A20" w:rsidR="00DA52AB" w:rsidRDefault="00DA52A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413857" w:history="1">
        <w:r w:rsidRPr="002D304A">
          <w:rPr>
            <w:rStyle w:val="Hyperlink"/>
          </w:rPr>
          <w:t>4.</w:t>
        </w:r>
        <w:r>
          <w:rPr>
            <w:rFonts w:asciiTheme="minorHAnsi" w:eastAsiaTheme="minorEastAsia" w:hAnsiTheme="minorHAnsi" w:cstheme="minorBidi"/>
            <w:b w:val="0"/>
            <w:bCs w:val="0"/>
            <w:kern w:val="2"/>
            <w:sz w:val="24"/>
            <w:lang w:eastAsia="en-GB"/>
            <w14:ligatures w14:val="standardContextual"/>
          </w:rPr>
          <w:tab/>
        </w:r>
        <w:r w:rsidRPr="002D304A">
          <w:rPr>
            <w:rStyle w:val="Hyperlink"/>
          </w:rPr>
          <w:t>Roles and responsibilities</w:t>
        </w:r>
        <w:r>
          <w:rPr>
            <w:webHidden/>
          </w:rPr>
          <w:tab/>
        </w:r>
        <w:r>
          <w:rPr>
            <w:webHidden/>
          </w:rPr>
          <w:fldChar w:fldCharType="begin"/>
        </w:r>
        <w:r>
          <w:rPr>
            <w:webHidden/>
          </w:rPr>
          <w:instrText xml:space="preserve"> PAGEREF _Toc173413857 \h </w:instrText>
        </w:r>
        <w:r>
          <w:rPr>
            <w:webHidden/>
          </w:rPr>
        </w:r>
        <w:r>
          <w:rPr>
            <w:webHidden/>
          </w:rPr>
          <w:fldChar w:fldCharType="separate"/>
        </w:r>
        <w:r>
          <w:rPr>
            <w:webHidden/>
          </w:rPr>
          <w:t>2</w:t>
        </w:r>
        <w:r>
          <w:rPr>
            <w:webHidden/>
          </w:rPr>
          <w:fldChar w:fldCharType="end"/>
        </w:r>
      </w:hyperlink>
    </w:p>
    <w:p w14:paraId="32757CFA" w14:textId="308125AA"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58" w:history="1">
        <w:r w:rsidRPr="002D304A">
          <w:rPr>
            <w:rStyle w:val="Hyperlink"/>
          </w:rPr>
          <w:t>4.1.</w:t>
        </w:r>
        <w:r>
          <w:rPr>
            <w:rFonts w:asciiTheme="minorHAnsi" w:eastAsiaTheme="minorEastAsia" w:hAnsiTheme="minorHAnsi" w:cstheme="minorBidi"/>
            <w:kern w:val="2"/>
            <w:sz w:val="24"/>
            <w:lang w:eastAsia="en-GB"/>
            <w14:ligatures w14:val="standardContextual"/>
          </w:rPr>
          <w:tab/>
        </w:r>
        <w:r w:rsidRPr="002D304A">
          <w:rPr>
            <w:rStyle w:val="Hyperlink"/>
          </w:rPr>
          <w:t>The employer</w:t>
        </w:r>
        <w:r>
          <w:rPr>
            <w:webHidden/>
          </w:rPr>
          <w:tab/>
        </w:r>
        <w:r>
          <w:rPr>
            <w:webHidden/>
          </w:rPr>
          <w:fldChar w:fldCharType="begin"/>
        </w:r>
        <w:r>
          <w:rPr>
            <w:webHidden/>
          </w:rPr>
          <w:instrText xml:space="preserve"> PAGEREF _Toc173413858 \h </w:instrText>
        </w:r>
        <w:r>
          <w:rPr>
            <w:webHidden/>
          </w:rPr>
        </w:r>
        <w:r>
          <w:rPr>
            <w:webHidden/>
          </w:rPr>
          <w:fldChar w:fldCharType="separate"/>
        </w:r>
        <w:r>
          <w:rPr>
            <w:webHidden/>
          </w:rPr>
          <w:t>2</w:t>
        </w:r>
        <w:r>
          <w:rPr>
            <w:webHidden/>
          </w:rPr>
          <w:fldChar w:fldCharType="end"/>
        </w:r>
      </w:hyperlink>
    </w:p>
    <w:p w14:paraId="60484AFA" w14:textId="007A5F42"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59" w:history="1">
        <w:r w:rsidRPr="002D304A">
          <w:rPr>
            <w:rStyle w:val="Hyperlink"/>
          </w:rPr>
          <w:t>4.2.</w:t>
        </w:r>
        <w:r>
          <w:rPr>
            <w:rFonts w:asciiTheme="minorHAnsi" w:eastAsiaTheme="minorEastAsia" w:hAnsiTheme="minorHAnsi" w:cstheme="minorBidi"/>
            <w:kern w:val="2"/>
            <w:sz w:val="24"/>
            <w:lang w:eastAsia="en-GB"/>
            <w14:ligatures w14:val="standardContextual"/>
          </w:rPr>
          <w:tab/>
        </w:r>
        <w:r w:rsidRPr="002D304A">
          <w:rPr>
            <w:rStyle w:val="Hyperlink"/>
          </w:rPr>
          <w:t>Employees</w:t>
        </w:r>
        <w:r>
          <w:rPr>
            <w:webHidden/>
          </w:rPr>
          <w:tab/>
        </w:r>
        <w:r>
          <w:rPr>
            <w:webHidden/>
          </w:rPr>
          <w:fldChar w:fldCharType="begin"/>
        </w:r>
        <w:r>
          <w:rPr>
            <w:webHidden/>
          </w:rPr>
          <w:instrText xml:space="preserve"> PAGEREF _Toc173413859 \h </w:instrText>
        </w:r>
        <w:r>
          <w:rPr>
            <w:webHidden/>
          </w:rPr>
        </w:r>
        <w:r>
          <w:rPr>
            <w:webHidden/>
          </w:rPr>
          <w:fldChar w:fldCharType="separate"/>
        </w:r>
        <w:r>
          <w:rPr>
            <w:webHidden/>
          </w:rPr>
          <w:t>2</w:t>
        </w:r>
        <w:r>
          <w:rPr>
            <w:webHidden/>
          </w:rPr>
          <w:fldChar w:fldCharType="end"/>
        </w:r>
      </w:hyperlink>
    </w:p>
    <w:p w14:paraId="50712F96" w14:textId="2C7E8AC7" w:rsidR="00DA52AB" w:rsidRDefault="00DA52A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413860" w:history="1">
        <w:r w:rsidRPr="002D304A">
          <w:rPr>
            <w:rStyle w:val="Hyperlink"/>
          </w:rPr>
          <w:t>5.</w:t>
        </w:r>
        <w:r>
          <w:rPr>
            <w:rFonts w:asciiTheme="minorHAnsi" w:eastAsiaTheme="minorEastAsia" w:hAnsiTheme="minorHAnsi" w:cstheme="minorBidi"/>
            <w:b w:val="0"/>
            <w:bCs w:val="0"/>
            <w:kern w:val="2"/>
            <w:sz w:val="24"/>
            <w:lang w:eastAsia="en-GB"/>
            <w14:ligatures w14:val="standardContextual"/>
          </w:rPr>
          <w:tab/>
        </w:r>
        <w:r w:rsidRPr="002D304A">
          <w:rPr>
            <w:rStyle w:val="Hyperlink"/>
          </w:rPr>
          <w:t>Expectations</w:t>
        </w:r>
        <w:r>
          <w:rPr>
            <w:webHidden/>
          </w:rPr>
          <w:tab/>
        </w:r>
        <w:r>
          <w:rPr>
            <w:webHidden/>
          </w:rPr>
          <w:fldChar w:fldCharType="begin"/>
        </w:r>
        <w:r>
          <w:rPr>
            <w:webHidden/>
          </w:rPr>
          <w:instrText xml:space="preserve"> PAGEREF _Toc173413860 \h </w:instrText>
        </w:r>
        <w:r>
          <w:rPr>
            <w:webHidden/>
          </w:rPr>
        </w:r>
        <w:r>
          <w:rPr>
            <w:webHidden/>
          </w:rPr>
          <w:fldChar w:fldCharType="separate"/>
        </w:r>
        <w:r>
          <w:rPr>
            <w:webHidden/>
          </w:rPr>
          <w:t>3</w:t>
        </w:r>
        <w:r>
          <w:rPr>
            <w:webHidden/>
          </w:rPr>
          <w:fldChar w:fldCharType="end"/>
        </w:r>
      </w:hyperlink>
    </w:p>
    <w:p w14:paraId="213B745F" w14:textId="74887E73"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1" w:history="1">
        <w:r w:rsidRPr="002D304A">
          <w:rPr>
            <w:rStyle w:val="Hyperlink"/>
          </w:rPr>
          <w:t>5.1.</w:t>
        </w:r>
        <w:r>
          <w:rPr>
            <w:rFonts w:asciiTheme="minorHAnsi" w:eastAsiaTheme="minorEastAsia" w:hAnsiTheme="minorHAnsi" w:cstheme="minorBidi"/>
            <w:kern w:val="2"/>
            <w:sz w:val="24"/>
            <w:lang w:eastAsia="en-GB"/>
            <w14:ligatures w14:val="standardContextual"/>
          </w:rPr>
          <w:tab/>
        </w:r>
        <w:r w:rsidRPr="002D304A">
          <w:rPr>
            <w:rStyle w:val="Hyperlink"/>
            <w:lang w:val="en-US"/>
          </w:rPr>
          <w:t>What is a conflict of interest?</w:t>
        </w:r>
        <w:r>
          <w:rPr>
            <w:webHidden/>
          </w:rPr>
          <w:tab/>
        </w:r>
        <w:r>
          <w:rPr>
            <w:webHidden/>
          </w:rPr>
          <w:fldChar w:fldCharType="begin"/>
        </w:r>
        <w:r>
          <w:rPr>
            <w:webHidden/>
          </w:rPr>
          <w:instrText xml:space="preserve"> PAGEREF _Toc173413861 \h </w:instrText>
        </w:r>
        <w:r>
          <w:rPr>
            <w:webHidden/>
          </w:rPr>
        </w:r>
        <w:r>
          <w:rPr>
            <w:webHidden/>
          </w:rPr>
          <w:fldChar w:fldCharType="separate"/>
        </w:r>
        <w:r>
          <w:rPr>
            <w:webHidden/>
          </w:rPr>
          <w:t>3</w:t>
        </w:r>
        <w:r>
          <w:rPr>
            <w:webHidden/>
          </w:rPr>
          <w:fldChar w:fldCharType="end"/>
        </w:r>
      </w:hyperlink>
    </w:p>
    <w:p w14:paraId="00EC230D" w14:textId="5194B739"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2" w:history="1">
        <w:r w:rsidRPr="002D304A">
          <w:rPr>
            <w:rStyle w:val="Hyperlink"/>
          </w:rPr>
          <w:t>5.2.</w:t>
        </w:r>
        <w:r>
          <w:rPr>
            <w:rFonts w:asciiTheme="minorHAnsi" w:eastAsiaTheme="minorEastAsia" w:hAnsiTheme="minorHAnsi" w:cstheme="minorBidi"/>
            <w:kern w:val="2"/>
            <w:sz w:val="24"/>
            <w:lang w:eastAsia="en-GB"/>
            <w14:ligatures w14:val="standardContextual"/>
          </w:rPr>
          <w:tab/>
        </w:r>
        <w:r w:rsidRPr="002D304A">
          <w:rPr>
            <w:rStyle w:val="Hyperlink"/>
            <w:lang w:val="en-US"/>
          </w:rPr>
          <w:t>Identifying conflicts of interest</w:t>
        </w:r>
        <w:r>
          <w:rPr>
            <w:webHidden/>
          </w:rPr>
          <w:tab/>
        </w:r>
        <w:r>
          <w:rPr>
            <w:webHidden/>
          </w:rPr>
          <w:fldChar w:fldCharType="begin"/>
        </w:r>
        <w:r>
          <w:rPr>
            <w:webHidden/>
          </w:rPr>
          <w:instrText xml:space="preserve"> PAGEREF _Toc173413862 \h </w:instrText>
        </w:r>
        <w:r>
          <w:rPr>
            <w:webHidden/>
          </w:rPr>
        </w:r>
        <w:r>
          <w:rPr>
            <w:webHidden/>
          </w:rPr>
          <w:fldChar w:fldCharType="separate"/>
        </w:r>
        <w:r>
          <w:rPr>
            <w:webHidden/>
          </w:rPr>
          <w:t>3</w:t>
        </w:r>
        <w:r>
          <w:rPr>
            <w:webHidden/>
          </w:rPr>
          <w:fldChar w:fldCharType="end"/>
        </w:r>
      </w:hyperlink>
    </w:p>
    <w:p w14:paraId="7E096896" w14:textId="1DFA7BCB"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3" w:history="1">
        <w:r w:rsidRPr="002D304A">
          <w:rPr>
            <w:rStyle w:val="Hyperlink"/>
          </w:rPr>
          <w:t>5.3.</w:t>
        </w:r>
        <w:r>
          <w:rPr>
            <w:rFonts w:asciiTheme="minorHAnsi" w:eastAsiaTheme="minorEastAsia" w:hAnsiTheme="minorHAnsi" w:cstheme="minorBidi"/>
            <w:kern w:val="2"/>
            <w:sz w:val="24"/>
            <w:lang w:eastAsia="en-GB"/>
            <w14:ligatures w14:val="standardContextual"/>
          </w:rPr>
          <w:tab/>
        </w:r>
        <w:r w:rsidRPr="002D304A">
          <w:rPr>
            <w:rStyle w:val="Hyperlink"/>
          </w:rPr>
          <w:t>Avoiding conflicts of interest</w:t>
        </w:r>
        <w:r>
          <w:rPr>
            <w:webHidden/>
          </w:rPr>
          <w:tab/>
        </w:r>
        <w:r>
          <w:rPr>
            <w:webHidden/>
          </w:rPr>
          <w:fldChar w:fldCharType="begin"/>
        </w:r>
        <w:r>
          <w:rPr>
            <w:webHidden/>
          </w:rPr>
          <w:instrText xml:space="preserve"> PAGEREF _Toc173413863 \h </w:instrText>
        </w:r>
        <w:r>
          <w:rPr>
            <w:webHidden/>
          </w:rPr>
        </w:r>
        <w:r>
          <w:rPr>
            <w:webHidden/>
          </w:rPr>
          <w:fldChar w:fldCharType="separate"/>
        </w:r>
        <w:r>
          <w:rPr>
            <w:webHidden/>
          </w:rPr>
          <w:t>4</w:t>
        </w:r>
        <w:r>
          <w:rPr>
            <w:webHidden/>
          </w:rPr>
          <w:fldChar w:fldCharType="end"/>
        </w:r>
      </w:hyperlink>
    </w:p>
    <w:p w14:paraId="49FE2B8B" w14:textId="2383AF7B"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4" w:history="1">
        <w:r w:rsidRPr="002D304A">
          <w:rPr>
            <w:rStyle w:val="Hyperlink"/>
          </w:rPr>
          <w:t>5.4.</w:t>
        </w:r>
        <w:r>
          <w:rPr>
            <w:rFonts w:asciiTheme="minorHAnsi" w:eastAsiaTheme="minorEastAsia" w:hAnsiTheme="minorHAnsi" w:cstheme="minorBidi"/>
            <w:kern w:val="2"/>
            <w:sz w:val="24"/>
            <w:lang w:eastAsia="en-GB"/>
            <w14:ligatures w14:val="standardContextual"/>
          </w:rPr>
          <w:tab/>
        </w:r>
        <w:r w:rsidRPr="002D304A">
          <w:rPr>
            <w:rStyle w:val="Hyperlink"/>
          </w:rPr>
          <w:t>Managing conflicts of interest</w:t>
        </w:r>
        <w:r>
          <w:rPr>
            <w:webHidden/>
          </w:rPr>
          <w:tab/>
        </w:r>
        <w:r>
          <w:rPr>
            <w:webHidden/>
          </w:rPr>
          <w:fldChar w:fldCharType="begin"/>
        </w:r>
        <w:r>
          <w:rPr>
            <w:webHidden/>
          </w:rPr>
          <w:instrText xml:space="preserve"> PAGEREF _Toc173413864 \h </w:instrText>
        </w:r>
        <w:r>
          <w:rPr>
            <w:webHidden/>
          </w:rPr>
        </w:r>
        <w:r>
          <w:rPr>
            <w:webHidden/>
          </w:rPr>
          <w:fldChar w:fldCharType="separate"/>
        </w:r>
        <w:r>
          <w:rPr>
            <w:webHidden/>
          </w:rPr>
          <w:t>4</w:t>
        </w:r>
        <w:r>
          <w:rPr>
            <w:webHidden/>
          </w:rPr>
          <w:fldChar w:fldCharType="end"/>
        </w:r>
      </w:hyperlink>
    </w:p>
    <w:p w14:paraId="36D94BD6" w14:textId="4539D841"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5" w:history="1">
        <w:r w:rsidRPr="002D304A">
          <w:rPr>
            <w:rStyle w:val="Hyperlink"/>
          </w:rPr>
          <w:t>5.5.</w:t>
        </w:r>
        <w:r>
          <w:rPr>
            <w:rFonts w:asciiTheme="minorHAnsi" w:eastAsiaTheme="minorEastAsia" w:hAnsiTheme="minorHAnsi" w:cstheme="minorBidi"/>
            <w:kern w:val="2"/>
            <w:sz w:val="24"/>
            <w:lang w:eastAsia="en-GB"/>
            <w14:ligatures w14:val="standardContextual"/>
          </w:rPr>
          <w:tab/>
        </w:r>
        <w:r w:rsidRPr="002D304A">
          <w:rPr>
            <w:rStyle w:val="Hyperlink"/>
          </w:rPr>
          <w:t>Management strategies</w:t>
        </w:r>
        <w:r>
          <w:rPr>
            <w:webHidden/>
          </w:rPr>
          <w:tab/>
        </w:r>
        <w:r>
          <w:rPr>
            <w:webHidden/>
          </w:rPr>
          <w:fldChar w:fldCharType="begin"/>
        </w:r>
        <w:r>
          <w:rPr>
            <w:webHidden/>
          </w:rPr>
          <w:instrText xml:space="preserve"> PAGEREF _Toc173413865 \h </w:instrText>
        </w:r>
        <w:r>
          <w:rPr>
            <w:webHidden/>
          </w:rPr>
        </w:r>
        <w:r>
          <w:rPr>
            <w:webHidden/>
          </w:rPr>
          <w:fldChar w:fldCharType="separate"/>
        </w:r>
        <w:r>
          <w:rPr>
            <w:webHidden/>
          </w:rPr>
          <w:t>4</w:t>
        </w:r>
        <w:r>
          <w:rPr>
            <w:webHidden/>
          </w:rPr>
          <w:fldChar w:fldCharType="end"/>
        </w:r>
      </w:hyperlink>
    </w:p>
    <w:p w14:paraId="493F3080" w14:textId="711F03C5"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6" w:history="1">
        <w:r w:rsidRPr="002D304A">
          <w:rPr>
            <w:rStyle w:val="Hyperlink"/>
          </w:rPr>
          <w:t>5.6.</w:t>
        </w:r>
        <w:r>
          <w:rPr>
            <w:rFonts w:asciiTheme="minorHAnsi" w:eastAsiaTheme="minorEastAsia" w:hAnsiTheme="minorHAnsi" w:cstheme="minorBidi"/>
            <w:kern w:val="2"/>
            <w:sz w:val="24"/>
            <w:lang w:eastAsia="en-GB"/>
            <w14:ligatures w14:val="standardContextual"/>
          </w:rPr>
          <w:tab/>
        </w:r>
        <w:r w:rsidRPr="002D304A">
          <w:rPr>
            <w:rStyle w:val="Hyperlink"/>
          </w:rPr>
          <w:t>Declaration of private interests</w:t>
        </w:r>
        <w:r>
          <w:rPr>
            <w:webHidden/>
          </w:rPr>
          <w:tab/>
        </w:r>
        <w:r>
          <w:rPr>
            <w:webHidden/>
          </w:rPr>
          <w:fldChar w:fldCharType="begin"/>
        </w:r>
        <w:r>
          <w:rPr>
            <w:webHidden/>
          </w:rPr>
          <w:instrText xml:space="preserve"> PAGEREF _Toc173413866 \h </w:instrText>
        </w:r>
        <w:r>
          <w:rPr>
            <w:webHidden/>
          </w:rPr>
        </w:r>
        <w:r>
          <w:rPr>
            <w:webHidden/>
          </w:rPr>
          <w:fldChar w:fldCharType="separate"/>
        </w:r>
        <w:r>
          <w:rPr>
            <w:webHidden/>
          </w:rPr>
          <w:t>5</w:t>
        </w:r>
        <w:r>
          <w:rPr>
            <w:webHidden/>
          </w:rPr>
          <w:fldChar w:fldCharType="end"/>
        </w:r>
      </w:hyperlink>
    </w:p>
    <w:p w14:paraId="18347D96" w14:textId="5C2CDB8F"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7" w:history="1">
        <w:r w:rsidRPr="002D304A">
          <w:rPr>
            <w:rStyle w:val="Hyperlink"/>
          </w:rPr>
          <w:t>5.7.</w:t>
        </w:r>
        <w:r>
          <w:rPr>
            <w:rFonts w:asciiTheme="minorHAnsi" w:eastAsiaTheme="minorEastAsia" w:hAnsiTheme="minorHAnsi" w:cstheme="minorBidi"/>
            <w:kern w:val="2"/>
            <w:sz w:val="24"/>
            <w:lang w:eastAsia="en-GB"/>
            <w14:ligatures w14:val="standardContextual"/>
          </w:rPr>
          <w:tab/>
        </w:r>
        <w:r w:rsidRPr="002D304A">
          <w:rPr>
            <w:rStyle w:val="Hyperlink"/>
            <w:lang w:val="en-US"/>
          </w:rPr>
          <w:t>Identifying higher risk</w:t>
        </w:r>
        <w:r>
          <w:rPr>
            <w:webHidden/>
          </w:rPr>
          <w:tab/>
        </w:r>
        <w:r>
          <w:rPr>
            <w:webHidden/>
          </w:rPr>
          <w:fldChar w:fldCharType="begin"/>
        </w:r>
        <w:r>
          <w:rPr>
            <w:webHidden/>
          </w:rPr>
          <w:instrText xml:space="preserve"> PAGEREF _Toc173413867 \h </w:instrText>
        </w:r>
        <w:r>
          <w:rPr>
            <w:webHidden/>
          </w:rPr>
        </w:r>
        <w:r>
          <w:rPr>
            <w:webHidden/>
          </w:rPr>
          <w:fldChar w:fldCharType="separate"/>
        </w:r>
        <w:r>
          <w:rPr>
            <w:webHidden/>
          </w:rPr>
          <w:t>5</w:t>
        </w:r>
        <w:r>
          <w:rPr>
            <w:webHidden/>
          </w:rPr>
          <w:fldChar w:fldCharType="end"/>
        </w:r>
      </w:hyperlink>
    </w:p>
    <w:p w14:paraId="30C2AA3A" w14:textId="54CAA984"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8" w:history="1">
        <w:r w:rsidRPr="002D304A">
          <w:rPr>
            <w:rStyle w:val="Hyperlink"/>
          </w:rPr>
          <w:t>5.8.</w:t>
        </w:r>
        <w:r>
          <w:rPr>
            <w:rFonts w:asciiTheme="minorHAnsi" w:eastAsiaTheme="minorEastAsia" w:hAnsiTheme="minorHAnsi" w:cstheme="minorBidi"/>
            <w:kern w:val="2"/>
            <w:sz w:val="24"/>
            <w:lang w:eastAsia="en-GB"/>
            <w14:ligatures w14:val="standardContextual"/>
          </w:rPr>
          <w:tab/>
        </w:r>
        <w:r w:rsidRPr="002D304A">
          <w:rPr>
            <w:rStyle w:val="Hyperlink"/>
          </w:rPr>
          <w:t>Personal relationships in the workplace</w:t>
        </w:r>
        <w:r>
          <w:rPr>
            <w:webHidden/>
          </w:rPr>
          <w:tab/>
        </w:r>
        <w:r>
          <w:rPr>
            <w:webHidden/>
          </w:rPr>
          <w:fldChar w:fldCharType="begin"/>
        </w:r>
        <w:r>
          <w:rPr>
            <w:webHidden/>
          </w:rPr>
          <w:instrText xml:space="preserve"> PAGEREF _Toc173413868 \h </w:instrText>
        </w:r>
        <w:r>
          <w:rPr>
            <w:webHidden/>
          </w:rPr>
        </w:r>
        <w:r>
          <w:rPr>
            <w:webHidden/>
          </w:rPr>
          <w:fldChar w:fldCharType="separate"/>
        </w:r>
        <w:r>
          <w:rPr>
            <w:webHidden/>
          </w:rPr>
          <w:t>6</w:t>
        </w:r>
        <w:r>
          <w:rPr>
            <w:webHidden/>
          </w:rPr>
          <w:fldChar w:fldCharType="end"/>
        </w:r>
      </w:hyperlink>
    </w:p>
    <w:p w14:paraId="37093888" w14:textId="63282C44" w:rsidR="00DA52AB" w:rsidRDefault="00DA52AB">
      <w:pPr>
        <w:pStyle w:val="TOC2"/>
        <w:tabs>
          <w:tab w:val="left" w:pos="1100"/>
        </w:tabs>
        <w:rPr>
          <w:rFonts w:asciiTheme="minorHAnsi" w:eastAsiaTheme="minorEastAsia" w:hAnsiTheme="minorHAnsi" w:cstheme="minorBidi"/>
          <w:kern w:val="2"/>
          <w:sz w:val="24"/>
          <w:lang w:eastAsia="en-GB"/>
          <w14:ligatures w14:val="standardContextual"/>
        </w:rPr>
      </w:pPr>
      <w:hyperlink w:anchor="_Toc173413869" w:history="1">
        <w:r w:rsidRPr="002D304A">
          <w:rPr>
            <w:rStyle w:val="Hyperlink"/>
          </w:rPr>
          <w:t>5.9.</w:t>
        </w:r>
        <w:r>
          <w:rPr>
            <w:rFonts w:asciiTheme="minorHAnsi" w:eastAsiaTheme="minorEastAsia" w:hAnsiTheme="minorHAnsi" w:cstheme="minorBidi"/>
            <w:kern w:val="2"/>
            <w:sz w:val="24"/>
            <w:lang w:eastAsia="en-GB"/>
            <w14:ligatures w14:val="standardContextual"/>
          </w:rPr>
          <w:tab/>
        </w:r>
        <w:r w:rsidRPr="002D304A">
          <w:rPr>
            <w:rStyle w:val="Hyperlink"/>
          </w:rPr>
          <w:t>Conflict of interest wheel</w:t>
        </w:r>
        <w:r>
          <w:rPr>
            <w:webHidden/>
          </w:rPr>
          <w:tab/>
        </w:r>
        <w:r>
          <w:rPr>
            <w:webHidden/>
          </w:rPr>
          <w:fldChar w:fldCharType="begin"/>
        </w:r>
        <w:r>
          <w:rPr>
            <w:webHidden/>
          </w:rPr>
          <w:instrText xml:space="preserve"> PAGEREF _Toc173413869 \h </w:instrText>
        </w:r>
        <w:r>
          <w:rPr>
            <w:webHidden/>
          </w:rPr>
        </w:r>
        <w:r>
          <w:rPr>
            <w:webHidden/>
          </w:rPr>
          <w:fldChar w:fldCharType="separate"/>
        </w:r>
        <w:r>
          <w:rPr>
            <w:webHidden/>
          </w:rPr>
          <w:t>7</w:t>
        </w:r>
        <w:r>
          <w:rPr>
            <w:webHidden/>
          </w:rPr>
          <w:fldChar w:fldCharType="end"/>
        </w:r>
      </w:hyperlink>
    </w:p>
    <w:p w14:paraId="77CA7B7D" w14:textId="7F2980F9" w:rsidR="00DA52AB" w:rsidRDefault="00DA52AB">
      <w:pPr>
        <w:pStyle w:val="TOC2"/>
        <w:tabs>
          <w:tab w:val="left" w:pos="1320"/>
        </w:tabs>
        <w:rPr>
          <w:rFonts w:asciiTheme="minorHAnsi" w:eastAsiaTheme="minorEastAsia" w:hAnsiTheme="minorHAnsi" w:cstheme="minorBidi"/>
          <w:kern w:val="2"/>
          <w:sz w:val="24"/>
          <w:lang w:eastAsia="en-GB"/>
          <w14:ligatures w14:val="standardContextual"/>
        </w:rPr>
      </w:pPr>
      <w:hyperlink w:anchor="_Toc173413870" w:history="1">
        <w:r w:rsidRPr="002D304A">
          <w:rPr>
            <w:rStyle w:val="Hyperlink"/>
          </w:rPr>
          <w:t>5.10.</w:t>
        </w:r>
        <w:r>
          <w:rPr>
            <w:rFonts w:asciiTheme="minorHAnsi" w:eastAsiaTheme="minorEastAsia" w:hAnsiTheme="minorHAnsi" w:cstheme="minorBidi"/>
            <w:kern w:val="2"/>
            <w:sz w:val="24"/>
            <w:lang w:eastAsia="en-GB"/>
            <w14:ligatures w14:val="standardContextual"/>
          </w:rPr>
          <w:tab/>
        </w:r>
        <w:r w:rsidRPr="002D304A">
          <w:rPr>
            <w:rStyle w:val="Hyperlink"/>
          </w:rPr>
          <w:t>Breach of this policy</w:t>
        </w:r>
        <w:r>
          <w:rPr>
            <w:webHidden/>
          </w:rPr>
          <w:tab/>
        </w:r>
        <w:r>
          <w:rPr>
            <w:webHidden/>
          </w:rPr>
          <w:fldChar w:fldCharType="begin"/>
        </w:r>
        <w:r>
          <w:rPr>
            <w:webHidden/>
          </w:rPr>
          <w:instrText xml:space="preserve"> PAGEREF _Toc173413870 \h </w:instrText>
        </w:r>
        <w:r>
          <w:rPr>
            <w:webHidden/>
          </w:rPr>
        </w:r>
        <w:r>
          <w:rPr>
            <w:webHidden/>
          </w:rPr>
          <w:fldChar w:fldCharType="separate"/>
        </w:r>
        <w:r>
          <w:rPr>
            <w:webHidden/>
          </w:rPr>
          <w:t>7</w:t>
        </w:r>
        <w:r>
          <w:rPr>
            <w:webHidden/>
          </w:rPr>
          <w:fldChar w:fldCharType="end"/>
        </w:r>
      </w:hyperlink>
    </w:p>
    <w:p w14:paraId="2DF0728E" w14:textId="5EA28B38" w:rsidR="00DA52AB" w:rsidRDefault="00DA52AB">
      <w:pPr>
        <w:pStyle w:val="TOC2"/>
        <w:tabs>
          <w:tab w:val="left" w:pos="1320"/>
        </w:tabs>
        <w:rPr>
          <w:rFonts w:asciiTheme="minorHAnsi" w:eastAsiaTheme="minorEastAsia" w:hAnsiTheme="minorHAnsi" w:cstheme="minorBidi"/>
          <w:kern w:val="2"/>
          <w:sz w:val="24"/>
          <w:lang w:eastAsia="en-GB"/>
          <w14:ligatures w14:val="standardContextual"/>
        </w:rPr>
      </w:pPr>
      <w:hyperlink w:anchor="_Toc173413871" w:history="1">
        <w:r w:rsidRPr="002D304A">
          <w:rPr>
            <w:rStyle w:val="Hyperlink"/>
          </w:rPr>
          <w:t>5.11.</w:t>
        </w:r>
        <w:r>
          <w:rPr>
            <w:rFonts w:asciiTheme="minorHAnsi" w:eastAsiaTheme="minorEastAsia" w:hAnsiTheme="minorHAnsi" w:cstheme="minorBidi"/>
            <w:kern w:val="2"/>
            <w:sz w:val="24"/>
            <w:lang w:eastAsia="en-GB"/>
            <w14:ligatures w14:val="standardContextual"/>
          </w:rPr>
          <w:tab/>
        </w:r>
        <w:r w:rsidRPr="002D304A">
          <w:rPr>
            <w:rStyle w:val="Hyperlink"/>
          </w:rPr>
          <w:t>Definitions</w:t>
        </w:r>
        <w:r>
          <w:rPr>
            <w:webHidden/>
          </w:rPr>
          <w:tab/>
        </w:r>
        <w:r>
          <w:rPr>
            <w:webHidden/>
          </w:rPr>
          <w:fldChar w:fldCharType="begin"/>
        </w:r>
        <w:r>
          <w:rPr>
            <w:webHidden/>
          </w:rPr>
          <w:instrText xml:space="preserve"> PAGEREF _Toc173413871 \h </w:instrText>
        </w:r>
        <w:r>
          <w:rPr>
            <w:webHidden/>
          </w:rPr>
        </w:r>
        <w:r>
          <w:rPr>
            <w:webHidden/>
          </w:rPr>
          <w:fldChar w:fldCharType="separate"/>
        </w:r>
        <w:r>
          <w:rPr>
            <w:webHidden/>
          </w:rPr>
          <w:t>8</w:t>
        </w:r>
        <w:r>
          <w:rPr>
            <w:webHidden/>
          </w:rPr>
          <w:fldChar w:fldCharType="end"/>
        </w:r>
      </w:hyperlink>
    </w:p>
    <w:p w14:paraId="7C678D12" w14:textId="6B04BE11" w:rsidR="00DA52AB" w:rsidRDefault="00DA52A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413872" w:history="1">
        <w:r w:rsidRPr="002D304A">
          <w:rPr>
            <w:rStyle w:val="Hyperlink"/>
          </w:rPr>
          <w:t>6.</w:t>
        </w:r>
        <w:r>
          <w:rPr>
            <w:rFonts w:asciiTheme="minorHAnsi" w:eastAsiaTheme="minorEastAsia" w:hAnsiTheme="minorHAnsi" w:cstheme="minorBidi"/>
            <w:b w:val="0"/>
            <w:bCs w:val="0"/>
            <w:kern w:val="2"/>
            <w:sz w:val="24"/>
            <w:lang w:eastAsia="en-GB"/>
            <w14:ligatures w14:val="standardContextual"/>
          </w:rPr>
          <w:tab/>
        </w:r>
        <w:r w:rsidRPr="002D304A">
          <w:rPr>
            <w:rStyle w:val="Hyperlink"/>
            <w:shd w:val="clear" w:color="auto" w:fill="FFFFFF"/>
          </w:rPr>
          <w:t>Managing this policy</w:t>
        </w:r>
        <w:r>
          <w:rPr>
            <w:webHidden/>
          </w:rPr>
          <w:tab/>
        </w:r>
        <w:r>
          <w:rPr>
            <w:webHidden/>
          </w:rPr>
          <w:fldChar w:fldCharType="begin"/>
        </w:r>
        <w:r>
          <w:rPr>
            <w:webHidden/>
          </w:rPr>
          <w:instrText xml:space="preserve"> PAGEREF _Toc173413872 \h </w:instrText>
        </w:r>
        <w:r>
          <w:rPr>
            <w:webHidden/>
          </w:rPr>
        </w:r>
        <w:r>
          <w:rPr>
            <w:webHidden/>
          </w:rPr>
          <w:fldChar w:fldCharType="separate"/>
        </w:r>
        <w:r>
          <w:rPr>
            <w:webHidden/>
          </w:rPr>
          <w:t>9</w:t>
        </w:r>
        <w:r>
          <w:rPr>
            <w:webHidden/>
          </w:rPr>
          <w:fldChar w:fldCharType="end"/>
        </w:r>
      </w:hyperlink>
    </w:p>
    <w:p w14:paraId="2B9BE36D" w14:textId="464A6862" w:rsidR="00DA52AB" w:rsidRDefault="00DA52AB">
      <w:pPr>
        <w:pStyle w:val="TOC1"/>
        <w:tabs>
          <w:tab w:val="left" w:pos="442"/>
        </w:tabs>
        <w:rPr>
          <w:rFonts w:asciiTheme="minorHAnsi" w:eastAsiaTheme="minorEastAsia" w:hAnsiTheme="minorHAnsi" w:cstheme="minorBidi"/>
          <w:b w:val="0"/>
          <w:bCs w:val="0"/>
          <w:kern w:val="2"/>
          <w:sz w:val="24"/>
          <w:lang w:eastAsia="en-GB"/>
          <w14:ligatures w14:val="standardContextual"/>
        </w:rPr>
      </w:pPr>
      <w:hyperlink w:anchor="_Toc173413873" w:history="1">
        <w:r w:rsidRPr="002D304A">
          <w:rPr>
            <w:rStyle w:val="Hyperlink"/>
          </w:rPr>
          <w:t>7.</w:t>
        </w:r>
        <w:r>
          <w:rPr>
            <w:rFonts w:asciiTheme="minorHAnsi" w:eastAsiaTheme="minorEastAsia" w:hAnsiTheme="minorHAnsi" w:cstheme="minorBidi"/>
            <w:b w:val="0"/>
            <w:bCs w:val="0"/>
            <w:kern w:val="2"/>
            <w:sz w:val="24"/>
            <w:lang w:eastAsia="en-GB"/>
            <w14:ligatures w14:val="standardContextual"/>
          </w:rPr>
          <w:tab/>
        </w:r>
        <w:r w:rsidRPr="002D304A">
          <w:rPr>
            <w:rStyle w:val="Hyperlink"/>
          </w:rPr>
          <w:t>Related documents</w:t>
        </w:r>
        <w:r>
          <w:rPr>
            <w:webHidden/>
          </w:rPr>
          <w:tab/>
        </w:r>
        <w:r>
          <w:rPr>
            <w:webHidden/>
          </w:rPr>
          <w:fldChar w:fldCharType="begin"/>
        </w:r>
        <w:r>
          <w:rPr>
            <w:webHidden/>
          </w:rPr>
          <w:instrText xml:space="preserve"> PAGEREF _Toc173413873 \h </w:instrText>
        </w:r>
        <w:r>
          <w:rPr>
            <w:webHidden/>
          </w:rPr>
        </w:r>
        <w:r>
          <w:rPr>
            <w:webHidden/>
          </w:rPr>
          <w:fldChar w:fldCharType="separate"/>
        </w:r>
        <w:r>
          <w:rPr>
            <w:webHidden/>
          </w:rPr>
          <w:t>9</w:t>
        </w:r>
        <w:r>
          <w:rPr>
            <w:webHidden/>
          </w:rPr>
          <w:fldChar w:fldCharType="end"/>
        </w:r>
      </w:hyperlink>
    </w:p>
    <w:p w14:paraId="1E8BFB1A" w14:textId="1670980E" w:rsidR="00DB1C96" w:rsidRPr="000F5CEC" w:rsidRDefault="000F6DF8" w:rsidP="00D86551">
      <w:r>
        <w:rPr>
          <w:rFonts w:ascii="Arial" w:eastAsia="Times New Roman" w:hAnsi="Arial" w:cs="Arial"/>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21"/>
          <w:footerReference w:type="first" r:id="rId22"/>
          <w:type w:val="oddPage"/>
          <w:pgSz w:w="11907" w:h="16840" w:code="9"/>
          <w:pgMar w:top="1644" w:right="1134" w:bottom="238" w:left="1134" w:header="709" w:footer="567" w:gutter="0"/>
          <w:pgNumType w:fmt="lowerRoman" w:start="1"/>
          <w:cols w:space="708"/>
          <w:titlePg/>
          <w:docGrid w:linePitch="360"/>
        </w:sectPr>
      </w:pPr>
    </w:p>
    <w:p w14:paraId="753CB56C" w14:textId="77777777" w:rsidR="00FE6557" w:rsidRPr="00D4543A" w:rsidRDefault="00FE6557" w:rsidP="00FE6557">
      <w:pPr>
        <w:pStyle w:val="VCAAHeading2"/>
        <w:numPr>
          <w:ilvl w:val="0"/>
          <w:numId w:val="22"/>
        </w:numPr>
        <w:spacing w:line="276" w:lineRule="auto"/>
        <w:jc w:val="both"/>
      </w:pPr>
      <w:bookmarkStart w:id="4" w:name="_Toc144367132"/>
      <w:bookmarkStart w:id="5" w:name="_Toc170825925"/>
      <w:bookmarkStart w:id="6" w:name="_Toc173413850"/>
      <w:r w:rsidRPr="00D4543A">
        <w:lastRenderedPageBreak/>
        <w:t>Overview</w:t>
      </w:r>
      <w:bookmarkEnd w:id="4"/>
      <w:bookmarkEnd w:id="5"/>
      <w:bookmarkEnd w:id="6"/>
    </w:p>
    <w:p w14:paraId="3508E8B8" w14:textId="79E71210" w:rsidR="00FE6557" w:rsidRPr="00090D7F" w:rsidRDefault="00FE6557" w:rsidP="00FE6557">
      <w:pPr>
        <w:pStyle w:val="ESBodyText"/>
        <w:spacing w:line="276" w:lineRule="auto"/>
        <w:jc w:val="both"/>
        <w:rPr>
          <w:rFonts w:eastAsiaTheme="minorHAnsi"/>
        </w:rPr>
      </w:pPr>
      <w:bookmarkStart w:id="7" w:name="_Toc487209838"/>
      <w:bookmarkStart w:id="8" w:name="_Hlk147132135"/>
      <w:bookmarkStart w:id="9" w:name="_Toc455499269"/>
      <w:bookmarkStart w:id="10" w:name="_Toc455499463"/>
      <w:r w:rsidRPr="00090D7F">
        <w:rPr>
          <w:rFonts w:eastAsiaTheme="minorHAnsi"/>
        </w:rPr>
        <w:t xml:space="preserve">The Victorian Curriculum and Assessment Authority 's (VCAA) Conflict of Interest </w:t>
      </w:r>
      <w:r>
        <w:rPr>
          <w:rFonts w:eastAsiaTheme="minorHAnsi"/>
        </w:rPr>
        <w:t xml:space="preserve">(COI) </w:t>
      </w:r>
      <w:r w:rsidR="008B33FB">
        <w:rPr>
          <w:rFonts w:eastAsiaTheme="minorHAnsi"/>
        </w:rPr>
        <w:t>p</w:t>
      </w:r>
      <w:r w:rsidRPr="00090D7F">
        <w:rPr>
          <w:rFonts w:eastAsiaTheme="minorHAnsi"/>
        </w:rPr>
        <w:t xml:space="preserve">olicy </w:t>
      </w:r>
      <w:r>
        <w:rPr>
          <w:rFonts w:eastAsiaTheme="minorHAnsi"/>
        </w:rPr>
        <w:t xml:space="preserve">is </w:t>
      </w:r>
      <w:r w:rsidRPr="00090D7F">
        <w:rPr>
          <w:rFonts w:eastAsiaTheme="minorHAnsi"/>
        </w:rPr>
        <w:t xml:space="preserve">designed to underscore the crucial role of managing COI and to establish clear </w:t>
      </w:r>
      <w:r>
        <w:rPr>
          <w:rFonts w:eastAsiaTheme="minorHAnsi"/>
        </w:rPr>
        <w:t xml:space="preserve">procedural </w:t>
      </w:r>
      <w:r w:rsidRPr="00090D7F">
        <w:rPr>
          <w:rFonts w:eastAsiaTheme="minorHAnsi"/>
        </w:rPr>
        <w:t xml:space="preserve">requirements and expectations </w:t>
      </w:r>
      <w:r>
        <w:rPr>
          <w:rFonts w:eastAsiaTheme="minorHAnsi"/>
        </w:rPr>
        <w:t>of</w:t>
      </w:r>
      <w:r w:rsidRPr="00090D7F">
        <w:rPr>
          <w:rFonts w:eastAsiaTheme="minorHAnsi"/>
        </w:rPr>
        <w:t xml:space="preserve"> the VCAA.</w:t>
      </w:r>
    </w:p>
    <w:p w14:paraId="31D4B7AE" w14:textId="71A6A77B" w:rsidR="00FE6557" w:rsidRPr="00090D7F" w:rsidRDefault="00FE6557" w:rsidP="00FE6557">
      <w:pPr>
        <w:pStyle w:val="ESBodyText"/>
        <w:spacing w:line="276" w:lineRule="auto"/>
        <w:jc w:val="both"/>
        <w:rPr>
          <w:rFonts w:eastAsiaTheme="minorHAnsi"/>
        </w:rPr>
      </w:pPr>
      <w:r w:rsidRPr="00090D7F">
        <w:rPr>
          <w:rFonts w:eastAsiaTheme="minorHAnsi"/>
        </w:rPr>
        <w:t xml:space="preserve">Employees will encounter COI and the VCAA acknowledges that conflicts </w:t>
      </w:r>
      <w:r w:rsidR="008B33FB">
        <w:rPr>
          <w:rFonts w:eastAsiaTheme="minorHAnsi"/>
        </w:rPr>
        <w:t>cannot</w:t>
      </w:r>
      <w:r w:rsidRPr="00090D7F">
        <w:rPr>
          <w:rFonts w:eastAsiaTheme="minorHAnsi"/>
        </w:rPr>
        <w:t xml:space="preserve"> be avoided. They must, however</w:t>
      </w:r>
      <w:r>
        <w:rPr>
          <w:rFonts w:eastAsiaTheme="minorHAnsi"/>
        </w:rPr>
        <w:t>,</w:t>
      </w:r>
      <w:r w:rsidRPr="00090D7F">
        <w:rPr>
          <w:rFonts w:eastAsiaTheme="minorHAnsi"/>
        </w:rPr>
        <w:t xml:space="preserve"> be identified and appropriately managed to ensure </w:t>
      </w:r>
      <w:r>
        <w:rPr>
          <w:rFonts w:eastAsiaTheme="minorHAnsi"/>
        </w:rPr>
        <w:t>the organisation</w:t>
      </w:r>
      <w:r w:rsidRPr="00090D7F">
        <w:rPr>
          <w:rFonts w:eastAsiaTheme="minorHAnsi"/>
        </w:rPr>
        <w:t xml:space="preserve"> earn</w:t>
      </w:r>
      <w:r>
        <w:rPr>
          <w:rFonts w:eastAsiaTheme="minorHAnsi"/>
        </w:rPr>
        <w:t>s</w:t>
      </w:r>
      <w:r w:rsidRPr="00090D7F">
        <w:rPr>
          <w:rFonts w:eastAsiaTheme="minorHAnsi"/>
        </w:rPr>
        <w:t xml:space="preserve"> and maintain</w:t>
      </w:r>
      <w:r>
        <w:rPr>
          <w:rFonts w:eastAsiaTheme="minorHAnsi"/>
        </w:rPr>
        <w:t>s</w:t>
      </w:r>
      <w:r w:rsidRPr="00090D7F">
        <w:rPr>
          <w:rFonts w:eastAsiaTheme="minorHAnsi"/>
        </w:rPr>
        <w:t xml:space="preserve"> the highest levels of integrity and public trust </w:t>
      </w:r>
      <w:r>
        <w:rPr>
          <w:rFonts w:eastAsiaTheme="minorHAnsi"/>
        </w:rPr>
        <w:t>with</w:t>
      </w:r>
      <w:r w:rsidRPr="00090D7F">
        <w:rPr>
          <w:rFonts w:eastAsiaTheme="minorHAnsi"/>
        </w:rPr>
        <w:t>in the VCAA and the broader</w:t>
      </w:r>
      <w:r>
        <w:rPr>
          <w:rFonts w:eastAsiaTheme="minorHAnsi"/>
        </w:rPr>
        <w:t xml:space="preserve"> Victorian P</w:t>
      </w:r>
      <w:r w:rsidRPr="00090D7F">
        <w:rPr>
          <w:rFonts w:eastAsiaTheme="minorHAnsi"/>
        </w:rPr>
        <w:t xml:space="preserve">ublic </w:t>
      </w:r>
      <w:r>
        <w:rPr>
          <w:rFonts w:eastAsiaTheme="minorHAnsi"/>
        </w:rPr>
        <w:t>S</w:t>
      </w:r>
      <w:r w:rsidRPr="00090D7F">
        <w:rPr>
          <w:rFonts w:eastAsiaTheme="minorHAnsi"/>
        </w:rPr>
        <w:t>ector</w:t>
      </w:r>
      <w:r>
        <w:rPr>
          <w:rFonts w:eastAsiaTheme="minorHAnsi"/>
        </w:rPr>
        <w:t xml:space="preserve"> (VPS)</w:t>
      </w:r>
      <w:r w:rsidRPr="00090D7F">
        <w:rPr>
          <w:rFonts w:eastAsiaTheme="minorHAnsi"/>
        </w:rPr>
        <w:t>.</w:t>
      </w:r>
    </w:p>
    <w:p w14:paraId="48976A13" w14:textId="77777777" w:rsidR="00FE6557" w:rsidRDefault="00FE6557" w:rsidP="00FE6557">
      <w:pPr>
        <w:pStyle w:val="ESBodyText"/>
        <w:spacing w:line="276" w:lineRule="auto"/>
        <w:jc w:val="both"/>
        <w:rPr>
          <w:rFonts w:eastAsiaTheme="minorHAnsi"/>
        </w:rPr>
      </w:pPr>
      <w:r w:rsidRPr="00090D7F">
        <w:rPr>
          <w:rFonts w:eastAsiaTheme="minorHAnsi"/>
        </w:rPr>
        <w:t xml:space="preserve">This policy has been developed to support the application of the </w:t>
      </w:r>
      <w:r w:rsidRPr="00090D7F">
        <w:rPr>
          <w:rFonts w:eastAsiaTheme="minorHAnsi"/>
          <w:i/>
        </w:rPr>
        <w:t>Public Administration Act 2004</w:t>
      </w:r>
      <w:r w:rsidRPr="00090D7F">
        <w:rPr>
          <w:rFonts w:eastAsiaTheme="minorHAnsi"/>
        </w:rPr>
        <w:t xml:space="preserve"> (Vic) and the Code of Conduct</w:t>
      </w:r>
      <w:r>
        <w:rPr>
          <w:rFonts w:eastAsiaTheme="minorHAnsi"/>
        </w:rPr>
        <w:t xml:space="preserve"> for Victorian Public Sector Employees</w:t>
      </w:r>
      <w:r w:rsidRPr="00090D7F">
        <w:rPr>
          <w:rFonts w:eastAsiaTheme="minorHAnsi"/>
        </w:rPr>
        <w:t>.</w:t>
      </w:r>
    </w:p>
    <w:p w14:paraId="73CD28E6" w14:textId="21741385" w:rsidR="00FE6557" w:rsidRDefault="00FE6557" w:rsidP="00FE6557">
      <w:pPr>
        <w:pStyle w:val="ESBodyText"/>
        <w:spacing w:line="276" w:lineRule="auto"/>
        <w:jc w:val="both"/>
        <w:rPr>
          <w:rFonts w:eastAsiaTheme="minorHAnsi"/>
        </w:rPr>
      </w:pPr>
      <w:r w:rsidRPr="00090D7F">
        <w:rPr>
          <w:rFonts w:eastAsiaTheme="minorHAnsi"/>
        </w:rPr>
        <w:t>This policy outlines the</w:t>
      </w:r>
      <w:r>
        <w:rPr>
          <w:rFonts w:eastAsiaTheme="minorHAnsi"/>
        </w:rPr>
        <w:t xml:space="preserve"> expectations and</w:t>
      </w:r>
      <w:r w:rsidRPr="00090D7F">
        <w:rPr>
          <w:rFonts w:eastAsiaTheme="minorHAnsi"/>
        </w:rPr>
        <w:t xml:space="preserve"> obligations o</w:t>
      </w:r>
      <w:r>
        <w:rPr>
          <w:rFonts w:eastAsiaTheme="minorHAnsi"/>
        </w:rPr>
        <w:t>f</w:t>
      </w:r>
      <w:r w:rsidRPr="00090D7F">
        <w:rPr>
          <w:rFonts w:eastAsiaTheme="minorHAnsi"/>
        </w:rPr>
        <w:t xml:space="preserve"> all employees to proactively address COI that may arise in their roles, and to subject them to ongoing monitoring</w:t>
      </w:r>
      <w:r>
        <w:rPr>
          <w:rFonts w:eastAsiaTheme="minorHAnsi"/>
        </w:rPr>
        <w:t xml:space="preserve">. </w:t>
      </w:r>
      <w:r w:rsidRPr="00090D7F">
        <w:rPr>
          <w:rFonts w:eastAsiaTheme="minorHAnsi"/>
        </w:rPr>
        <w:t xml:space="preserve">The policy also identifies the role of managers </w:t>
      </w:r>
      <w:r>
        <w:rPr>
          <w:rFonts w:eastAsiaTheme="minorHAnsi"/>
        </w:rPr>
        <w:t xml:space="preserve">and the steps </w:t>
      </w:r>
      <w:r w:rsidRPr="00090D7F">
        <w:rPr>
          <w:rFonts w:eastAsiaTheme="minorHAnsi"/>
        </w:rPr>
        <w:t>to address risks of COI in relation to their employees.</w:t>
      </w:r>
    </w:p>
    <w:p w14:paraId="20A70322" w14:textId="77777777" w:rsidR="00FE6557" w:rsidRPr="009C725D" w:rsidRDefault="00FE6557" w:rsidP="00FE6557">
      <w:pPr>
        <w:pStyle w:val="ESBodyText"/>
        <w:spacing w:line="276" w:lineRule="auto"/>
        <w:jc w:val="both"/>
        <w:rPr>
          <w:lang w:val="en-AU"/>
        </w:rPr>
      </w:pPr>
      <w:bookmarkStart w:id="11" w:name="_Toc487209839"/>
      <w:bookmarkEnd w:id="7"/>
      <w:bookmarkEnd w:id="8"/>
      <w:bookmarkEnd w:id="9"/>
      <w:bookmarkEnd w:id="10"/>
      <w:r w:rsidRPr="009C725D">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14:paraId="422FE154" w14:textId="136D73CD" w:rsidR="00FE6557" w:rsidRPr="009C725D" w:rsidRDefault="00FE6557" w:rsidP="00FE6557">
      <w:pPr>
        <w:pStyle w:val="ESBodyText"/>
        <w:numPr>
          <w:ilvl w:val="0"/>
          <w:numId w:val="30"/>
        </w:numPr>
        <w:spacing w:line="276" w:lineRule="auto"/>
        <w:jc w:val="both"/>
        <w:rPr>
          <w:lang w:val="en-AU"/>
        </w:rPr>
      </w:pPr>
      <w:r w:rsidRPr="4DB21852">
        <w:rPr>
          <w:lang w:val="en-AU"/>
        </w:rPr>
        <w:t xml:space="preserve">all employees (fixed term, casual, sessional) employed under Ministerial Order No. 1451 </w:t>
      </w:r>
      <w:r w:rsidR="008B33FB">
        <w:rPr>
          <w:lang w:val="en-AU"/>
        </w:rPr>
        <w:t>–</w:t>
      </w:r>
      <w:r w:rsidRPr="4DB21852">
        <w:rPr>
          <w:lang w:val="en-AU"/>
        </w:rPr>
        <w:t xml:space="preserve"> Victorian Curriculum and Assessment Authority employees (Employment Conditions, Salaries, Allowances, Selection and Conduct) Order 2023 (referred to as </w:t>
      </w:r>
      <w:r w:rsidR="008B33FB">
        <w:rPr>
          <w:lang w:val="en-AU"/>
        </w:rPr>
        <w:t>‘</w:t>
      </w:r>
      <w:r w:rsidRPr="4DB21852">
        <w:rPr>
          <w:lang w:val="en-AU"/>
        </w:rPr>
        <w:t>The MO</w:t>
      </w:r>
      <w:r w:rsidR="008B33FB">
        <w:rPr>
          <w:lang w:val="en-AU"/>
        </w:rPr>
        <w:t>’</w:t>
      </w:r>
      <w:r w:rsidRPr="4DB21852">
        <w:rPr>
          <w:lang w:val="en-AU"/>
        </w:rPr>
        <w:t>)</w:t>
      </w:r>
    </w:p>
    <w:p w14:paraId="6A8FE383" w14:textId="690043BB" w:rsidR="00FE6557" w:rsidRPr="009C725D" w:rsidRDefault="00FE6557" w:rsidP="00FE6557">
      <w:pPr>
        <w:pStyle w:val="ESBodyText"/>
        <w:numPr>
          <w:ilvl w:val="0"/>
          <w:numId w:val="30"/>
        </w:numPr>
        <w:spacing w:line="276" w:lineRule="auto"/>
        <w:jc w:val="both"/>
        <w:rPr>
          <w:lang w:val="en-AU"/>
        </w:rPr>
      </w:pPr>
      <w:r w:rsidRPr="009C725D">
        <w:rPr>
          <w:lang w:val="en-AU"/>
        </w:rPr>
        <w:t xml:space="preserve">Board </w:t>
      </w:r>
      <w:r w:rsidR="008B33FB">
        <w:rPr>
          <w:lang w:val="en-AU"/>
        </w:rPr>
        <w:t>m</w:t>
      </w:r>
      <w:r w:rsidRPr="009C725D">
        <w:rPr>
          <w:lang w:val="en-AU"/>
        </w:rPr>
        <w:t>embers</w:t>
      </w:r>
      <w:r w:rsidR="008B33FB">
        <w:rPr>
          <w:lang w:val="en-AU"/>
        </w:rPr>
        <w:t>.</w:t>
      </w:r>
    </w:p>
    <w:p w14:paraId="2D1805B0" w14:textId="77777777" w:rsidR="00FE6557" w:rsidRPr="00D4543A" w:rsidRDefault="00FE6557" w:rsidP="00FE6557">
      <w:pPr>
        <w:pStyle w:val="VCAAHeading2"/>
        <w:numPr>
          <w:ilvl w:val="0"/>
          <w:numId w:val="22"/>
        </w:numPr>
        <w:spacing w:line="276" w:lineRule="auto"/>
        <w:jc w:val="both"/>
      </w:pPr>
      <w:bookmarkStart w:id="12" w:name="_Toc170825926"/>
      <w:bookmarkStart w:id="13" w:name="_Toc173413851"/>
      <w:r w:rsidRPr="00D4543A">
        <w:t>Objectives</w:t>
      </w:r>
      <w:bookmarkEnd w:id="11"/>
      <w:bookmarkEnd w:id="12"/>
      <w:bookmarkEnd w:id="13"/>
    </w:p>
    <w:p w14:paraId="0D9EF666" w14:textId="50B6022F" w:rsidR="00FE6557" w:rsidRPr="00D4543A" w:rsidRDefault="00FE6557" w:rsidP="00FE6557">
      <w:pPr>
        <w:pStyle w:val="ESBodyText"/>
        <w:numPr>
          <w:ilvl w:val="0"/>
          <w:numId w:val="21"/>
        </w:numPr>
        <w:spacing w:line="276" w:lineRule="auto"/>
        <w:jc w:val="both"/>
      </w:pPr>
      <w:bookmarkStart w:id="14" w:name="_Toc487209840"/>
      <w:bookmarkStart w:id="15" w:name="_Hlk148951928"/>
      <w:r w:rsidRPr="00D4543A">
        <w:rPr>
          <w:b/>
          <w:bCs/>
        </w:rPr>
        <w:t xml:space="preserve">Avoidance of </w:t>
      </w:r>
      <w:r w:rsidR="008B33FB">
        <w:rPr>
          <w:b/>
          <w:bCs/>
        </w:rPr>
        <w:t>COI</w:t>
      </w:r>
      <w:r w:rsidRPr="00D4543A">
        <w:rPr>
          <w:b/>
          <w:bCs/>
        </w:rPr>
        <w:t>:</w:t>
      </w:r>
      <w:r w:rsidRPr="00D4543A">
        <w:t xml:space="preserve"> The policy aims to ensure that </w:t>
      </w:r>
      <w:r>
        <w:t>VCAA employees</w:t>
      </w:r>
      <w:r w:rsidRPr="00D4543A">
        <w:t xml:space="preserve"> </w:t>
      </w:r>
      <w:r>
        <w:t>are aware of their responsibilities and obligations in</w:t>
      </w:r>
      <w:r w:rsidRPr="00D4543A">
        <w:t xml:space="preserve"> prevent</w:t>
      </w:r>
      <w:r>
        <w:t>ing</w:t>
      </w:r>
      <w:r w:rsidRPr="00D4543A">
        <w:t xml:space="preserve"> and avoid</w:t>
      </w:r>
      <w:r>
        <w:t>ing</w:t>
      </w:r>
      <w:r w:rsidRPr="00D4543A">
        <w:t xml:space="preserve"> situations where </w:t>
      </w:r>
      <w:r>
        <w:t>COIs</w:t>
      </w:r>
      <w:r w:rsidRPr="00D4543A">
        <w:t xml:space="preserve"> may arise.</w:t>
      </w:r>
    </w:p>
    <w:p w14:paraId="265F6925" w14:textId="00939CD9" w:rsidR="00FE6557" w:rsidRPr="00D4543A" w:rsidRDefault="00FE6557" w:rsidP="00FE6557">
      <w:pPr>
        <w:pStyle w:val="ESBodyText"/>
        <w:numPr>
          <w:ilvl w:val="0"/>
          <w:numId w:val="21"/>
        </w:numPr>
        <w:spacing w:line="276" w:lineRule="auto"/>
        <w:jc w:val="both"/>
      </w:pPr>
      <w:r w:rsidRPr="00D4543A">
        <w:rPr>
          <w:b/>
          <w:bCs/>
        </w:rPr>
        <w:t xml:space="preserve">Identification and </w:t>
      </w:r>
      <w:r w:rsidR="008B33FB">
        <w:rPr>
          <w:b/>
          <w:bCs/>
        </w:rPr>
        <w:t>d</w:t>
      </w:r>
      <w:r w:rsidRPr="00D4543A">
        <w:rPr>
          <w:b/>
          <w:bCs/>
        </w:rPr>
        <w:t xml:space="preserve">eclaration of </w:t>
      </w:r>
      <w:r w:rsidR="008B33FB">
        <w:rPr>
          <w:b/>
          <w:bCs/>
        </w:rPr>
        <w:t>COI</w:t>
      </w:r>
      <w:r w:rsidRPr="00D4543A">
        <w:rPr>
          <w:b/>
          <w:bCs/>
        </w:rPr>
        <w:t>:</w:t>
      </w:r>
      <w:r w:rsidRPr="00D4543A">
        <w:t xml:space="preserve"> </w:t>
      </w:r>
      <w:r>
        <w:t>W</w:t>
      </w:r>
      <w:r w:rsidRPr="00D4543A">
        <w:t xml:space="preserve">here a </w:t>
      </w:r>
      <w:r>
        <w:t>COI</w:t>
      </w:r>
      <w:r w:rsidRPr="00D4543A">
        <w:t xml:space="preserve"> is identified, th</w:t>
      </w:r>
      <w:r>
        <w:t>is</w:t>
      </w:r>
      <w:r w:rsidRPr="00D4543A">
        <w:t xml:space="preserve"> policy requires </w:t>
      </w:r>
      <w:r>
        <w:t>employees</w:t>
      </w:r>
      <w:r w:rsidRPr="00D4543A">
        <w:t xml:space="preserve"> to </w:t>
      </w:r>
      <w:r>
        <w:t xml:space="preserve">make a </w:t>
      </w:r>
      <w:r w:rsidRPr="00D4543A">
        <w:t>declar</w:t>
      </w:r>
      <w:r>
        <w:t xml:space="preserve">ation, </w:t>
      </w:r>
      <w:r w:rsidRPr="00D4543A">
        <w:t xml:space="preserve">and ensure that </w:t>
      </w:r>
      <w:r>
        <w:t>COI</w:t>
      </w:r>
      <w:r w:rsidRPr="00D4543A">
        <w:t xml:space="preserve"> are effectively identified, declared, and managed.</w:t>
      </w:r>
    </w:p>
    <w:p w14:paraId="35516BDC" w14:textId="0F7AF902" w:rsidR="00FE6557" w:rsidRPr="00D4543A" w:rsidRDefault="00FE6557" w:rsidP="00FE6557">
      <w:pPr>
        <w:pStyle w:val="ESBodyText"/>
        <w:numPr>
          <w:ilvl w:val="0"/>
          <w:numId w:val="21"/>
        </w:numPr>
        <w:spacing w:line="276" w:lineRule="auto"/>
        <w:jc w:val="both"/>
      </w:pPr>
      <w:r w:rsidRPr="00D4543A">
        <w:rPr>
          <w:b/>
          <w:bCs/>
        </w:rPr>
        <w:t xml:space="preserve">Active </w:t>
      </w:r>
      <w:r w:rsidR="008B33FB">
        <w:rPr>
          <w:b/>
          <w:bCs/>
        </w:rPr>
        <w:t>m</w:t>
      </w:r>
      <w:r w:rsidRPr="00D4543A">
        <w:rPr>
          <w:b/>
          <w:bCs/>
        </w:rPr>
        <w:t>anagement:</w:t>
      </w:r>
      <w:r w:rsidRPr="00D4543A">
        <w:t xml:space="preserve"> The policy underscores the need for active management of </w:t>
      </w:r>
      <w:r>
        <w:t>COI</w:t>
      </w:r>
      <w:r w:rsidRPr="00D4543A">
        <w:t xml:space="preserve">. Once identified and declared, </w:t>
      </w:r>
      <w:r>
        <w:t>COI</w:t>
      </w:r>
      <w:r w:rsidRPr="00D4543A">
        <w:t xml:space="preserve"> must not be ignored but actively addressed and managed.</w:t>
      </w:r>
    </w:p>
    <w:p w14:paraId="0FA3B256" w14:textId="577FD1DD" w:rsidR="00FE6557" w:rsidRDefault="00FE6557" w:rsidP="00FE6557">
      <w:pPr>
        <w:pStyle w:val="ESBodyText"/>
        <w:numPr>
          <w:ilvl w:val="0"/>
          <w:numId w:val="21"/>
        </w:numPr>
        <w:spacing w:line="276" w:lineRule="auto"/>
        <w:jc w:val="both"/>
      </w:pPr>
      <w:r w:rsidRPr="00D4543A">
        <w:rPr>
          <w:b/>
          <w:bCs/>
        </w:rPr>
        <w:t xml:space="preserve">Integrity and </w:t>
      </w:r>
      <w:r w:rsidR="008B33FB">
        <w:rPr>
          <w:b/>
          <w:bCs/>
        </w:rPr>
        <w:t>p</w:t>
      </w:r>
      <w:r w:rsidRPr="00D4543A">
        <w:rPr>
          <w:b/>
          <w:bCs/>
        </w:rPr>
        <w:t xml:space="preserve">ublic </w:t>
      </w:r>
      <w:r w:rsidR="008B33FB">
        <w:rPr>
          <w:b/>
          <w:bCs/>
        </w:rPr>
        <w:t>t</w:t>
      </w:r>
      <w:r w:rsidRPr="00D4543A">
        <w:rPr>
          <w:b/>
          <w:bCs/>
        </w:rPr>
        <w:t>rust:</w:t>
      </w:r>
      <w:r w:rsidRPr="00D4543A">
        <w:t xml:space="preserve"> </w:t>
      </w:r>
      <w:r w:rsidR="008B33FB">
        <w:t>T</w:t>
      </w:r>
      <w:r w:rsidRPr="00D4543A">
        <w:t xml:space="preserve">he overarching objective of the policy is to uphold and enhance the integrity of the VCAA and the broader </w:t>
      </w:r>
      <w:r>
        <w:t>Victorian P</w:t>
      </w:r>
      <w:r w:rsidRPr="00D4543A">
        <w:t xml:space="preserve">ublic </w:t>
      </w:r>
      <w:r>
        <w:t>S</w:t>
      </w:r>
      <w:r w:rsidRPr="00D4543A">
        <w:t>ector.</w:t>
      </w:r>
    </w:p>
    <w:p w14:paraId="15FD57CC" w14:textId="77777777" w:rsidR="00FE6557" w:rsidRDefault="00FE6557" w:rsidP="00FE6557">
      <w:pPr>
        <w:pStyle w:val="VCAAHeading2"/>
        <w:numPr>
          <w:ilvl w:val="0"/>
          <w:numId w:val="22"/>
        </w:numPr>
        <w:spacing w:line="276" w:lineRule="auto"/>
        <w:jc w:val="both"/>
      </w:pPr>
      <w:bookmarkStart w:id="16" w:name="_Toc170825927"/>
      <w:bookmarkStart w:id="17" w:name="_Toc173413852"/>
      <w:r w:rsidRPr="00D4543A">
        <w:t>Principles</w:t>
      </w:r>
      <w:bookmarkEnd w:id="14"/>
      <w:bookmarkEnd w:id="16"/>
      <w:bookmarkEnd w:id="17"/>
    </w:p>
    <w:p w14:paraId="331DFCAF" w14:textId="77777777" w:rsidR="00FE6557" w:rsidRDefault="00FE6557" w:rsidP="00FE6557">
      <w:pPr>
        <w:pStyle w:val="VCAAHeading5"/>
        <w:numPr>
          <w:ilvl w:val="1"/>
          <w:numId w:val="22"/>
        </w:numPr>
      </w:pPr>
      <w:bookmarkStart w:id="18" w:name="_Toc170825928"/>
      <w:bookmarkStart w:id="19" w:name="_Toc173413853"/>
      <w:r w:rsidRPr="00D4543A">
        <w:t xml:space="preserve">Protecting the public interest through upholding </w:t>
      </w:r>
      <w:r>
        <w:t>VPS</w:t>
      </w:r>
      <w:r w:rsidRPr="00D4543A">
        <w:t xml:space="preserve"> values</w:t>
      </w:r>
      <w:bookmarkEnd w:id="18"/>
      <w:bookmarkEnd w:id="19"/>
    </w:p>
    <w:p w14:paraId="20739BAB" w14:textId="77777777" w:rsidR="00FE6557" w:rsidRDefault="00FE6557" w:rsidP="00FE6557">
      <w:pPr>
        <w:pStyle w:val="ESBodyText"/>
        <w:spacing w:line="276" w:lineRule="auto"/>
        <w:jc w:val="both"/>
      </w:pPr>
      <w:r w:rsidRPr="00D4543A">
        <w:t xml:space="preserve">Protecting the public interest is central to the public duty of </w:t>
      </w:r>
      <w:r>
        <w:t>employees within the VPS</w:t>
      </w:r>
      <w:r w:rsidRPr="00D4543A">
        <w:t>.</w:t>
      </w:r>
      <w:r>
        <w:t xml:space="preserve"> </w:t>
      </w:r>
      <w:r w:rsidRPr="00D4543A">
        <w:t xml:space="preserve">To meet their public duty obligations employees must </w:t>
      </w:r>
      <w:r>
        <w:t>follow legislation</w:t>
      </w:r>
      <w:r w:rsidRPr="00D4543A">
        <w:t xml:space="preserve"> </w:t>
      </w:r>
      <w:r>
        <w:t>and</w:t>
      </w:r>
      <w:r w:rsidRPr="00D4543A">
        <w:t xml:space="preserve"> apply the </w:t>
      </w:r>
      <w:r>
        <w:t>VPS</w:t>
      </w:r>
      <w:r w:rsidRPr="00D4543A">
        <w:t xml:space="preserve"> values set out in Section 7 of the </w:t>
      </w:r>
      <w:r w:rsidRPr="007818F5">
        <w:rPr>
          <w:i/>
          <w:iCs/>
        </w:rPr>
        <w:t>Public Administration Act</w:t>
      </w:r>
      <w:r w:rsidRPr="00D4543A">
        <w:t xml:space="preserve"> (2004).</w:t>
      </w:r>
    </w:p>
    <w:p w14:paraId="0E27BDA6" w14:textId="77777777" w:rsidR="00FE6557" w:rsidRDefault="00FE6557" w:rsidP="00FE6557">
      <w:pPr>
        <w:pStyle w:val="VCAAHeading5"/>
        <w:numPr>
          <w:ilvl w:val="1"/>
          <w:numId w:val="22"/>
        </w:numPr>
      </w:pPr>
      <w:bookmarkStart w:id="20" w:name="_Toc170825929"/>
      <w:bookmarkStart w:id="21" w:name="_Toc173413854"/>
      <w:r w:rsidRPr="00D4543A">
        <w:t>Supporting transparency and accountability</w:t>
      </w:r>
      <w:bookmarkEnd w:id="20"/>
      <w:bookmarkEnd w:id="21"/>
    </w:p>
    <w:p w14:paraId="25A34A92" w14:textId="4FB251F9" w:rsidR="008B33FB" w:rsidRDefault="00FE6557" w:rsidP="00FE6557">
      <w:pPr>
        <w:pStyle w:val="ESBodyText"/>
        <w:spacing w:line="276" w:lineRule="auto"/>
        <w:jc w:val="both"/>
      </w:pPr>
      <w:r>
        <w:t>COI</w:t>
      </w:r>
      <w:r w:rsidRPr="00D4543A">
        <w:t xml:space="preserve"> must be </w:t>
      </w:r>
      <w:r w:rsidRPr="00F51853">
        <w:t>seen</w:t>
      </w:r>
      <w:r w:rsidRPr="00D4543A">
        <w:t xml:space="preserve"> to be managed fairly and effectively. The process </w:t>
      </w:r>
      <w:r>
        <w:t>for i</w:t>
      </w:r>
      <w:r w:rsidRPr="00D4543A">
        <w:t xml:space="preserve">dentifying, disclosing, and managing </w:t>
      </w:r>
      <w:r>
        <w:t>COI</w:t>
      </w:r>
      <w:r w:rsidRPr="00D4543A">
        <w:t xml:space="preserve"> must be transparent. By taking a consistent and open approach to resolving or managing conflicts, </w:t>
      </w:r>
      <w:r>
        <w:t>the VCAA</w:t>
      </w:r>
      <w:r w:rsidRPr="00D4543A">
        <w:t xml:space="preserve"> </w:t>
      </w:r>
      <w:r>
        <w:t>requires</w:t>
      </w:r>
      <w:r w:rsidRPr="00D4543A">
        <w:t xml:space="preserve"> </w:t>
      </w:r>
      <w:r>
        <w:t>employees</w:t>
      </w:r>
      <w:r w:rsidRPr="00D4543A">
        <w:t xml:space="preserve"> to follow</w:t>
      </w:r>
      <w:r>
        <w:t xml:space="preserve"> </w:t>
      </w:r>
      <w:r w:rsidRPr="00D4543A">
        <w:t>established polic</w:t>
      </w:r>
      <w:r>
        <w:t>ies</w:t>
      </w:r>
      <w:r w:rsidRPr="00D4543A">
        <w:t xml:space="preserve"> and procedures.</w:t>
      </w:r>
    </w:p>
    <w:p w14:paraId="6100C27A" w14:textId="77777777" w:rsidR="008B33FB" w:rsidRDefault="008B33FB">
      <w:pPr>
        <w:spacing w:line="276" w:lineRule="auto"/>
        <w:rPr>
          <w:rFonts w:ascii="Arial" w:eastAsiaTheme="minorEastAsia" w:hAnsi="Arial" w:cs="Arial"/>
          <w:sz w:val="18"/>
          <w:szCs w:val="18"/>
        </w:rPr>
      </w:pPr>
      <w:r>
        <w:br w:type="page"/>
      </w:r>
    </w:p>
    <w:p w14:paraId="04707E89" w14:textId="77777777" w:rsidR="00FE6557" w:rsidRDefault="00FE6557" w:rsidP="00FE6557">
      <w:pPr>
        <w:pStyle w:val="VCAAHeading5"/>
        <w:numPr>
          <w:ilvl w:val="1"/>
          <w:numId w:val="22"/>
        </w:numPr>
      </w:pPr>
      <w:bookmarkStart w:id="22" w:name="_Toc173404393"/>
      <w:bookmarkStart w:id="23" w:name="_Toc170825930"/>
      <w:bookmarkStart w:id="24" w:name="_Toc173413855"/>
      <w:bookmarkEnd w:id="22"/>
      <w:r w:rsidRPr="00D4543A">
        <w:lastRenderedPageBreak/>
        <w:t>Promoting individual responsibility for integrity and impartiality</w:t>
      </w:r>
      <w:bookmarkEnd w:id="23"/>
      <w:bookmarkEnd w:id="24"/>
    </w:p>
    <w:p w14:paraId="6AB309C9" w14:textId="056CD5E8" w:rsidR="00FE6557" w:rsidRPr="00D4543A" w:rsidRDefault="00FE6557" w:rsidP="00FE6557">
      <w:pPr>
        <w:pStyle w:val="ESBodyText"/>
        <w:spacing w:line="276" w:lineRule="auto"/>
        <w:jc w:val="both"/>
      </w:pPr>
      <w:r w:rsidRPr="00D4543A">
        <w:t xml:space="preserve">Resolving or managing </w:t>
      </w:r>
      <w:r>
        <w:t>COI</w:t>
      </w:r>
      <w:r w:rsidRPr="00D4543A">
        <w:t xml:space="preserve"> in </w:t>
      </w:r>
      <w:proofErr w:type="spellStart"/>
      <w:r w:rsidRPr="00D4543A">
        <w:t>favour</w:t>
      </w:r>
      <w:proofErr w:type="spellEnd"/>
      <w:r w:rsidRPr="00D4543A">
        <w:t xml:space="preserve"> of the public interest demonstrates the </w:t>
      </w:r>
      <w:r>
        <w:t xml:space="preserve">VCAA’s </w:t>
      </w:r>
      <w:r w:rsidRPr="00D4543A">
        <w:t xml:space="preserve">integrity and professionalism of </w:t>
      </w:r>
      <w:r>
        <w:t>employees</w:t>
      </w:r>
      <w:r w:rsidRPr="00D4543A">
        <w:t>.</w:t>
      </w:r>
    </w:p>
    <w:p w14:paraId="718B50D0" w14:textId="4B0EBE34" w:rsidR="00FE6557" w:rsidRDefault="00FE6557" w:rsidP="00FE6557">
      <w:pPr>
        <w:pStyle w:val="ESBodyText"/>
        <w:spacing w:line="276" w:lineRule="auto"/>
        <w:jc w:val="both"/>
      </w:pPr>
      <w:r w:rsidRPr="00D4543A">
        <w:t xml:space="preserve">All </w:t>
      </w:r>
      <w:r>
        <w:t xml:space="preserve">VCAA </w:t>
      </w:r>
      <w:r w:rsidRPr="00D4543A">
        <w:t xml:space="preserve">employees are individually responsible for arranging their private affairs as far as possible to prevent </w:t>
      </w:r>
      <w:r>
        <w:t xml:space="preserve">a </w:t>
      </w:r>
      <w:r w:rsidRPr="00D4543A">
        <w:t>conflict of interest arising. Managers have an additional responsibility to se</w:t>
      </w:r>
      <w:r>
        <w:t>t</w:t>
      </w:r>
      <w:r w:rsidRPr="00D4543A">
        <w:t xml:space="preserve"> an example for </w:t>
      </w:r>
      <w:r>
        <w:t>t</w:t>
      </w:r>
      <w:r w:rsidRPr="00D4543A">
        <w:t xml:space="preserve">heir </w:t>
      </w:r>
      <w:r>
        <w:t>employees</w:t>
      </w:r>
      <w:r w:rsidRPr="00D4543A">
        <w:t xml:space="preserve"> </w:t>
      </w:r>
      <w:r w:rsidR="00707F21">
        <w:t>by</w:t>
      </w:r>
      <w:r w:rsidR="00707F21" w:rsidRPr="00D4543A">
        <w:t xml:space="preserve"> </w:t>
      </w:r>
      <w:r w:rsidRPr="00D4543A">
        <w:t>demonstrat</w:t>
      </w:r>
      <w:r w:rsidR="00707F21">
        <w:t>ing</w:t>
      </w:r>
      <w:r w:rsidRPr="00D4543A">
        <w:t xml:space="preserve"> commitment </w:t>
      </w:r>
      <w:r w:rsidR="00707F21">
        <w:t>and</w:t>
      </w:r>
      <w:r w:rsidRPr="00D4543A">
        <w:t xml:space="preserve"> adherence to established policies and procedure.</w:t>
      </w:r>
    </w:p>
    <w:p w14:paraId="08A831E1" w14:textId="77777777" w:rsidR="00FE6557" w:rsidRDefault="00FE6557" w:rsidP="00FE6557">
      <w:pPr>
        <w:pStyle w:val="VCAAHeading5"/>
        <w:numPr>
          <w:ilvl w:val="1"/>
          <w:numId w:val="22"/>
        </w:numPr>
      </w:pPr>
      <w:bookmarkStart w:id="25" w:name="_Toc170825931"/>
      <w:bookmarkStart w:id="26" w:name="_Toc173413856"/>
      <w:r w:rsidRPr="7F6B224A">
        <w:rPr>
          <w:lang w:val="en-US"/>
        </w:rPr>
        <w:t xml:space="preserve">Upholding a supportive </w:t>
      </w:r>
      <w:proofErr w:type="spellStart"/>
      <w:r w:rsidRPr="7F6B224A">
        <w:rPr>
          <w:lang w:val="en-US"/>
        </w:rPr>
        <w:t>organisational</w:t>
      </w:r>
      <w:proofErr w:type="spellEnd"/>
      <w:r w:rsidRPr="7F6B224A">
        <w:rPr>
          <w:lang w:val="en-US"/>
        </w:rPr>
        <w:t xml:space="preserve"> culture</w:t>
      </w:r>
      <w:bookmarkEnd w:id="25"/>
      <w:bookmarkEnd w:id="26"/>
    </w:p>
    <w:p w14:paraId="378E3106" w14:textId="0243FEBE" w:rsidR="00FE6557" w:rsidRPr="00E91303" w:rsidRDefault="00FE6557" w:rsidP="00FE6557">
      <w:pPr>
        <w:pStyle w:val="ESBodyText"/>
        <w:spacing w:line="276" w:lineRule="auto"/>
        <w:jc w:val="both"/>
      </w:pPr>
      <w:r w:rsidRPr="00E91303">
        <w:t xml:space="preserve">Leadership plays a crucial role in fostering a supportive </w:t>
      </w:r>
      <w:proofErr w:type="spellStart"/>
      <w:r w:rsidRPr="00E91303">
        <w:t>organi</w:t>
      </w:r>
      <w:r>
        <w:t>s</w:t>
      </w:r>
      <w:r w:rsidRPr="00E91303">
        <w:t>ational</w:t>
      </w:r>
      <w:proofErr w:type="spellEnd"/>
      <w:r w:rsidRPr="00E91303">
        <w:t xml:space="preserve"> culture through guiding and training employees on established policies, procedures, and practices. </w:t>
      </w:r>
      <w:r>
        <w:t>This</w:t>
      </w:r>
      <w:r w:rsidRPr="00E91303">
        <w:t xml:space="preserve"> promote</w:t>
      </w:r>
      <w:r>
        <w:t>s</w:t>
      </w:r>
      <w:r w:rsidRPr="00E91303">
        <w:t xml:space="preserve"> open communication where employees feel at ease discussing and disclosing COI in the workplace. Additionally, they ensure that information related to disclosed COI remains safeguarded from misuse by others.</w:t>
      </w:r>
    </w:p>
    <w:p w14:paraId="64FB7411" w14:textId="77777777" w:rsidR="00FE6557" w:rsidRPr="00D4543A" w:rsidRDefault="00FE6557" w:rsidP="00FE6557">
      <w:pPr>
        <w:pStyle w:val="VCAAHeading2"/>
        <w:numPr>
          <w:ilvl w:val="0"/>
          <w:numId w:val="22"/>
        </w:numPr>
        <w:spacing w:line="276" w:lineRule="auto"/>
        <w:jc w:val="both"/>
      </w:pPr>
      <w:bookmarkStart w:id="27" w:name="_Toc487209841"/>
      <w:bookmarkStart w:id="28" w:name="_Hlk148952074"/>
      <w:bookmarkStart w:id="29" w:name="_Toc170825932"/>
      <w:bookmarkStart w:id="30" w:name="_Toc144367136"/>
      <w:bookmarkStart w:id="31" w:name="_Toc173413857"/>
      <w:bookmarkEnd w:id="15"/>
      <w:r>
        <w:t>Roles and responsibilities</w:t>
      </w:r>
      <w:bookmarkEnd w:id="27"/>
      <w:bookmarkEnd w:id="28"/>
      <w:bookmarkEnd w:id="29"/>
      <w:bookmarkEnd w:id="31"/>
    </w:p>
    <w:p w14:paraId="1DA0958E" w14:textId="059080D0" w:rsidR="00FE6557" w:rsidRDefault="00FE6557" w:rsidP="000F6DF8">
      <w:pPr>
        <w:pStyle w:val="VCAAHeading5"/>
        <w:numPr>
          <w:ilvl w:val="1"/>
          <w:numId w:val="22"/>
        </w:numPr>
      </w:pPr>
      <w:bookmarkStart w:id="32" w:name="_Toc170825933"/>
      <w:bookmarkStart w:id="33" w:name="_Toc173413858"/>
      <w:r>
        <w:t xml:space="preserve">The </w:t>
      </w:r>
      <w:r w:rsidR="00707F21">
        <w:t>e</w:t>
      </w:r>
      <w:r>
        <w:t>mployer</w:t>
      </w:r>
      <w:bookmarkEnd w:id="32"/>
      <w:bookmarkEnd w:id="33"/>
    </w:p>
    <w:p w14:paraId="4F52D2E7" w14:textId="0718842C" w:rsidR="00707F21" w:rsidRPr="007818F5" w:rsidRDefault="00707F21" w:rsidP="007818F5">
      <w:pPr>
        <w:pStyle w:val="VCAAbody"/>
        <w:rPr>
          <w:sz w:val="18"/>
          <w:szCs w:val="21"/>
        </w:rPr>
      </w:pPr>
      <w:r w:rsidRPr="007818F5">
        <w:rPr>
          <w:sz w:val="18"/>
          <w:szCs w:val="21"/>
          <w:lang w:val="en" w:eastAsia="en-AU"/>
        </w:rPr>
        <w:t>The employer’s responsibilities include:</w:t>
      </w:r>
    </w:p>
    <w:p w14:paraId="34963936" w14:textId="0CD00B7E" w:rsidR="00FE6557" w:rsidRPr="00D4543A" w:rsidRDefault="00707F21" w:rsidP="00FE6557">
      <w:pPr>
        <w:pStyle w:val="ESBodyText"/>
        <w:numPr>
          <w:ilvl w:val="0"/>
          <w:numId w:val="20"/>
        </w:numPr>
        <w:spacing w:line="276" w:lineRule="auto"/>
        <w:jc w:val="both"/>
      </w:pPr>
      <w:r>
        <w:t>s</w:t>
      </w:r>
      <w:r w:rsidR="00FE6557" w:rsidRPr="00D4543A">
        <w:t>upport</w:t>
      </w:r>
      <w:r w:rsidR="00FE6557">
        <w:t>ing</w:t>
      </w:r>
      <w:r w:rsidR="00FE6557" w:rsidRPr="00D4543A">
        <w:t xml:space="preserve"> </w:t>
      </w:r>
      <w:r w:rsidR="00FE6557">
        <w:t>employees</w:t>
      </w:r>
      <w:r w:rsidR="00FE6557" w:rsidRPr="00D4543A">
        <w:t xml:space="preserve"> in identifying and addressing COI</w:t>
      </w:r>
    </w:p>
    <w:p w14:paraId="021D912E" w14:textId="24559924" w:rsidR="00FE6557" w:rsidRPr="00D4543A" w:rsidRDefault="00707F21" w:rsidP="00FE6557">
      <w:pPr>
        <w:pStyle w:val="ESBodyText"/>
        <w:numPr>
          <w:ilvl w:val="0"/>
          <w:numId w:val="20"/>
        </w:numPr>
        <w:spacing w:line="276" w:lineRule="auto"/>
        <w:jc w:val="both"/>
      </w:pPr>
      <w:r>
        <w:t>e</w:t>
      </w:r>
      <w:r w:rsidR="00FE6557">
        <w:t>ducating</w:t>
      </w:r>
      <w:r w:rsidR="00FE6557" w:rsidRPr="00D4543A">
        <w:t xml:space="preserve"> </w:t>
      </w:r>
      <w:r w:rsidR="00FE6557">
        <w:t>employees</w:t>
      </w:r>
      <w:r w:rsidR="00FE6557" w:rsidRPr="00D4543A">
        <w:t xml:space="preserve"> about </w:t>
      </w:r>
      <w:r w:rsidR="00FE6557">
        <w:t xml:space="preserve">the </w:t>
      </w:r>
      <w:r w:rsidR="00FE6557" w:rsidRPr="00D4543A">
        <w:t>COI policy</w:t>
      </w:r>
    </w:p>
    <w:p w14:paraId="43574CE8" w14:textId="02E0BC7D" w:rsidR="00FE6557" w:rsidRPr="00D4543A" w:rsidRDefault="00707F21" w:rsidP="00FE6557">
      <w:pPr>
        <w:pStyle w:val="ESBodyText"/>
        <w:numPr>
          <w:ilvl w:val="0"/>
          <w:numId w:val="20"/>
        </w:numPr>
        <w:spacing w:line="276" w:lineRule="auto"/>
        <w:jc w:val="both"/>
      </w:pPr>
      <w:r>
        <w:t>a</w:t>
      </w:r>
      <w:r w:rsidR="00FE6557" w:rsidRPr="00D4543A">
        <w:t>ssess</w:t>
      </w:r>
      <w:r w:rsidR="00FE6557">
        <w:t>ing</w:t>
      </w:r>
      <w:r w:rsidR="00FE6557" w:rsidRPr="00D4543A">
        <w:t xml:space="preserve"> </w:t>
      </w:r>
      <w:r w:rsidR="00FE6557">
        <w:t>employees</w:t>
      </w:r>
      <w:r w:rsidR="00FE6557" w:rsidRPr="00D4543A">
        <w:t>’ training needs</w:t>
      </w:r>
    </w:p>
    <w:p w14:paraId="072E26CB" w14:textId="0F9F4A0E" w:rsidR="00FE6557" w:rsidRPr="00D4543A" w:rsidRDefault="00707F21" w:rsidP="00FE6557">
      <w:pPr>
        <w:pStyle w:val="ESBodyText"/>
        <w:numPr>
          <w:ilvl w:val="0"/>
          <w:numId w:val="20"/>
        </w:numPr>
        <w:spacing w:line="276" w:lineRule="auto"/>
        <w:jc w:val="both"/>
      </w:pPr>
      <w:r>
        <w:t>p</w:t>
      </w:r>
      <w:r w:rsidR="00FE6557">
        <w:t>roviding</w:t>
      </w:r>
      <w:r w:rsidR="00FE6557" w:rsidRPr="00D4543A">
        <w:t xml:space="preserve"> guidance on addressing COI</w:t>
      </w:r>
    </w:p>
    <w:p w14:paraId="1093014E" w14:textId="6CE8AD3E" w:rsidR="00FE6557" w:rsidRPr="00D4543A" w:rsidRDefault="00707F21" w:rsidP="00FE6557">
      <w:pPr>
        <w:pStyle w:val="ESBodyText"/>
        <w:numPr>
          <w:ilvl w:val="0"/>
          <w:numId w:val="20"/>
        </w:numPr>
        <w:spacing w:line="276" w:lineRule="auto"/>
        <w:jc w:val="both"/>
      </w:pPr>
      <w:r>
        <w:t>r</w:t>
      </w:r>
      <w:r w:rsidR="00FE6557" w:rsidRPr="00D4543A">
        <w:t>ecord</w:t>
      </w:r>
      <w:r w:rsidR="00FE6557">
        <w:t>ing</w:t>
      </w:r>
      <w:r w:rsidR="00FE6557" w:rsidRPr="00D4543A">
        <w:t xml:space="preserve"> and monitor</w:t>
      </w:r>
      <w:r w:rsidR="00FE6557">
        <w:t>ing</w:t>
      </w:r>
      <w:r w:rsidR="00FE6557" w:rsidRPr="00D4543A">
        <w:t xml:space="preserve"> COI disclosures</w:t>
      </w:r>
    </w:p>
    <w:p w14:paraId="72A5D2B7" w14:textId="354B2043" w:rsidR="00FE6557" w:rsidRPr="00D4543A" w:rsidRDefault="00707F21" w:rsidP="00FE6557">
      <w:pPr>
        <w:pStyle w:val="ESBodyText"/>
        <w:numPr>
          <w:ilvl w:val="0"/>
          <w:numId w:val="20"/>
        </w:numPr>
        <w:spacing w:line="276" w:lineRule="auto"/>
        <w:jc w:val="both"/>
      </w:pPr>
      <w:r>
        <w:t>e</w:t>
      </w:r>
      <w:r w:rsidR="00FE6557">
        <w:t>nsuring</w:t>
      </w:r>
      <w:r w:rsidR="00FE6557" w:rsidRPr="00D4543A">
        <w:t xml:space="preserve"> </w:t>
      </w:r>
      <w:r w:rsidR="00FE6557">
        <w:t>employees</w:t>
      </w:r>
      <w:r w:rsidR="00FE6557" w:rsidRPr="00D4543A">
        <w:t xml:space="preserve"> adhere to COI policies</w:t>
      </w:r>
    </w:p>
    <w:p w14:paraId="5E91BE53" w14:textId="04C20271" w:rsidR="00FE6557" w:rsidRPr="00D4543A" w:rsidRDefault="00707F21" w:rsidP="00FE6557">
      <w:pPr>
        <w:pStyle w:val="ESBodyText"/>
        <w:numPr>
          <w:ilvl w:val="0"/>
          <w:numId w:val="20"/>
        </w:numPr>
        <w:spacing w:line="276" w:lineRule="auto"/>
        <w:jc w:val="both"/>
      </w:pPr>
      <w:r>
        <w:t>m</w:t>
      </w:r>
      <w:r w:rsidR="00FE6557" w:rsidRPr="00D4543A">
        <w:t>odel</w:t>
      </w:r>
      <w:r w:rsidR="00FE6557">
        <w:t>ling</w:t>
      </w:r>
      <w:r w:rsidR="00FE6557" w:rsidRPr="00D4543A">
        <w:t xml:space="preserve"> transparency and consistency in managing their own COI.</w:t>
      </w:r>
    </w:p>
    <w:p w14:paraId="183F5C22" w14:textId="77777777" w:rsidR="00FE6557" w:rsidRDefault="00FE6557" w:rsidP="00FE6557">
      <w:pPr>
        <w:pStyle w:val="VCAAHeading5"/>
        <w:numPr>
          <w:ilvl w:val="1"/>
          <w:numId w:val="22"/>
        </w:numPr>
      </w:pPr>
      <w:bookmarkStart w:id="34" w:name="_Toc170825934"/>
      <w:bookmarkStart w:id="35" w:name="_Toc173413859"/>
      <w:r w:rsidRPr="00D07B9E">
        <w:t>Employees</w:t>
      </w:r>
      <w:bookmarkEnd w:id="34"/>
      <w:bookmarkEnd w:id="35"/>
    </w:p>
    <w:p w14:paraId="1813D5BA" w14:textId="631EA2F9" w:rsidR="00707F21" w:rsidRPr="007818F5" w:rsidRDefault="00707F21" w:rsidP="007818F5">
      <w:pPr>
        <w:pStyle w:val="VCAAbody"/>
        <w:rPr>
          <w:sz w:val="18"/>
          <w:szCs w:val="21"/>
        </w:rPr>
      </w:pPr>
      <w:r w:rsidRPr="007818F5">
        <w:rPr>
          <w:sz w:val="18"/>
          <w:szCs w:val="21"/>
          <w:lang w:val="en" w:eastAsia="en-AU"/>
        </w:rPr>
        <w:t>Employees must</w:t>
      </w:r>
    </w:p>
    <w:p w14:paraId="51BE3FFE" w14:textId="50907AC9" w:rsidR="00FE6557" w:rsidRPr="008870EF" w:rsidRDefault="00FE6557" w:rsidP="00FE6557">
      <w:pPr>
        <w:pStyle w:val="ESBodyText"/>
        <w:numPr>
          <w:ilvl w:val="0"/>
          <w:numId w:val="23"/>
        </w:numPr>
        <w:spacing w:line="276" w:lineRule="auto"/>
        <w:jc w:val="both"/>
        <w:rPr>
          <w:bCs/>
        </w:rPr>
      </w:pPr>
      <w:r>
        <w:rPr>
          <w:bCs/>
        </w:rPr>
        <w:t>Hold</w:t>
      </w:r>
      <w:r w:rsidRPr="008870EF">
        <w:rPr>
          <w:bCs/>
        </w:rPr>
        <w:t xml:space="preserve"> an individual responsib</w:t>
      </w:r>
      <w:r w:rsidR="008420AF">
        <w:rPr>
          <w:bCs/>
        </w:rPr>
        <w:t>le</w:t>
      </w:r>
      <w:r w:rsidRPr="008870EF">
        <w:rPr>
          <w:bCs/>
        </w:rPr>
        <w:t xml:space="preserve"> for managing integrity risks </w:t>
      </w:r>
      <w:proofErr w:type="gramStart"/>
      <w:r w:rsidRPr="008870EF">
        <w:rPr>
          <w:bCs/>
        </w:rPr>
        <w:t>in the course of</w:t>
      </w:r>
      <w:proofErr w:type="gramEnd"/>
      <w:r w:rsidRPr="008870EF">
        <w:rPr>
          <w:bCs/>
        </w:rPr>
        <w:t xml:space="preserve"> their engagement with the VCAA</w:t>
      </w:r>
    </w:p>
    <w:p w14:paraId="0AA9E398" w14:textId="4A6C7EFE" w:rsidR="00FE6557" w:rsidRPr="008870EF" w:rsidRDefault="008420AF" w:rsidP="00FE6557">
      <w:pPr>
        <w:pStyle w:val="ESBodyText"/>
        <w:numPr>
          <w:ilvl w:val="0"/>
          <w:numId w:val="23"/>
        </w:numPr>
        <w:spacing w:line="276" w:lineRule="auto"/>
        <w:jc w:val="both"/>
        <w:rPr>
          <w:bCs/>
        </w:rPr>
      </w:pPr>
      <w:r>
        <w:rPr>
          <w:bCs/>
        </w:rPr>
        <w:t>d</w:t>
      </w:r>
      <w:r w:rsidR="00FE6557" w:rsidRPr="008870EF">
        <w:rPr>
          <w:bCs/>
        </w:rPr>
        <w:t>emonstrat</w:t>
      </w:r>
      <w:r>
        <w:rPr>
          <w:bCs/>
        </w:rPr>
        <w:t>e</w:t>
      </w:r>
      <w:r w:rsidR="00FE6557" w:rsidRPr="008870EF">
        <w:rPr>
          <w:bCs/>
        </w:rPr>
        <w:t xml:space="preserve"> integrity and impartiality</w:t>
      </w:r>
    </w:p>
    <w:p w14:paraId="328CFC69" w14:textId="4BBE9EB6" w:rsidR="00FE6557" w:rsidRPr="008870EF" w:rsidRDefault="008420AF" w:rsidP="00FE6557">
      <w:pPr>
        <w:pStyle w:val="ESBodyText"/>
        <w:numPr>
          <w:ilvl w:val="0"/>
          <w:numId w:val="23"/>
        </w:numPr>
        <w:spacing w:line="276" w:lineRule="auto"/>
        <w:jc w:val="both"/>
        <w:rPr>
          <w:bCs/>
        </w:rPr>
      </w:pPr>
      <w:r>
        <w:rPr>
          <w:bCs/>
        </w:rPr>
        <w:t>u</w:t>
      </w:r>
      <w:r w:rsidR="00FE6557" w:rsidRPr="008870EF">
        <w:rPr>
          <w:bCs/>
        </w:rPr>
        <w:t>nderstand and</w:t>
      </w:r>
      <w:r w:rsidR="00FE6557">
        <w:rPr>
          <w:bCs/>
        </w:rPr>
        <w:t xml:space="preserve"> </w:t>
      </w:r>
      <w:r>
        <w:rPr>
          <w:bCs/>
        </w:rPr>
        <w:t>get</w:t>
      </w:r>
      <w:r w:rsidRPr="008870EF">
        <w:rPr>
          <w:bCs/>
        </w:rPr>
        <w:t xml:space="preserve"> </w:t>
      </w:r>
      <w:r w:rsidR="00FE6557" w:rsidRPr="008870EF">
        <w:rPr>
          <w:bCs/>
        </w:rPr>
        <w:t>clarity of relevant policy obligations, guidance and supports</w:t>
      </w:r>
    </w:p>
    <w:bookmarkEnd w:id="30"/>
    <w:p w14:paraId="65BC18D7" w14:textId="75F7B6C0" w:rsidR="00FE6557" w:rsidRDefault="008420AF" w:rsidP="00FE6557">
      <w:pPr>
        <w:pStyle w:val="ESBodyText"/>
        <w:numPr>
          <w:ilvl w:val="0"/>
          <w:numId w:val="23"/>
        </w:numPr>
        <w:spacing w:line="276" w:lineRule="auto"/>
        <w:jc w:val="both"/>
        <w:rPr>
          <w:bCs/>
        </w:rPr>
      </w:pPr>
      <w:r>
        <w:rPr>
          <w:bCs/>
        </w:rPr>
        <w:t>p</w:t>
      </w:r>
      <w:r w:rsidR="00FE6557" w:rsidRPr="001E15BF">
        <w:rPr>
          <w:bCs/>
        </w:rPr>
        <w:t>lac</w:t>
      </w:r>
      <w:r>
        <w:rPr>
          <w:bCs/>
        </w:rPr>
        <w:t>e</w:t>
      </w:r>
      <w:r w:rsidR="00FE6557" w:rsidRPr="001E15BF">
        <w:rPr>
          <w:bCs/>
        </w:rPr>
        <w:t xml:space="preserve"> the public interest above their private interests when performing </w:t>
      </w:r>
      <w:r w:rsidR="00FE6557">
        <w:rPr>
          <w:bCs/>
        </w:rPr>
        <w:t>VCAA work-related</w:t>
      </w:r>
      <w:r w:rsidR="00FE6557" w:rsidRPr="001E15BF">
        <w:rPr>
          <w:bCs/>
        </w:rPr>
        <w:t xml:space="preserve"> duties</w:t>
      </w:r>
    </w:p>
    <w:p w14:paraId="7C11E1FE" w14:textId="75D9EC02" w:rsidR="00FE6557" w:rsidRPr="004820A7" w:rsidRDefault="008420AF" w:rsidP="00FE6557">
      <w:pPr>
        <w:pStyle w:val="ESBodyText"/>
        <w:numPr>
          <w:ilvl w:val="0"/>
          <w:numId w:val="23"/>
        </w:numPr>
        <w:spacing w:line="276" w:lineRule="auto"/>
        <w:jc w:val="both"/>
        <w:rPr>
          <w:bCs/>
        </w:rPr>
      </w:pPr>
      <w:r>
        <w:rPr>
          <w:bCs/>
        </w:rPr>
        <w:t>m</w:t>
      </w:r>
      <w:r w:rsidR="00FE6557" w:rsidRPr="004820A7">
        <w:rPr>
          <w:bCs/>
        </w:rPr>
        <w:t>aintain awareness of COI obligations</w:t>
      </w:r>
    </w:p>
    <w:p w14:paraId="5517D112" w14:textId="658F9C0E" w:rsidR="00FE6557" w:rsidRDefault="008420AF" w:rsidP="00FE6557">
      <w:pPr>
        <w:pStyle w:val="ESBodyText"/>
        <w:numPr>
          <w:ilvl w:val="0"/>
          <w:numId w:val="23"/>
        </w:numPr>
        <w:spacing w:line="276" w:lineRule="auto"/>
        <w:jc w:val="both"/>
        <w:rPr>
          <w:bCs/>
        </w:rPr>
      </w:pPr>
      <w:r>
        <w:rPr>
          <w:bCs/>
        </w:rPr>
        <w:t>c</w:t>
      </w:r>
      <w:r w:rsidR="00FE6557" w:rsidRPr="004820A7">
        <w:rPr>
          <w:bCs/>
        </w:rPr>
        <w:t>ontinuously assess personal interests against public duties</w:t>
      </w:r>
    </w:p>
    <w:p w14:paraId="0DBC8CDD" w14:textId="36B7B7BD" w:rsidR="00FE6557" w:rsidRPr="0053795E" w:rsidRDefault="008420AF" w:rsidP="00FE6557">
      <w:pPr>
        <w:pStyle w:val="ESBodyText"/>
        <w:numPr>
          <w:ilvl w:val="0"/>
          <w:numId w:val="23"/>
        </w:numPr>
        <w:spacing w:line="276" w:lineRule="auto"/>
        <w:jc w:val="both"/>
        <w:rPr>
          <w:bCs/>
        </w:rPr>
      </w:pPr>
      <w:r>
        <w:rPr>
          <w:rFonts w:eastAsiaTheme="minorHAnsi"/>
          <w:bCs/>
        </w:rPr>
        <w:t>w</w:t>
      </w:r>
      <w:r w:rsidR="00FE6557" w:rsidRPr="0053795E">
        <w:rPr>
          <w:rFonts w:eastAsiaTheme="minorHAnsi"/>
          <w:bCs/>
        </w:rPr>
        <w:t>here possible, take action to avoid COI in the first instance</w:t>
      </w:r>
    </w:p>
    <w:p w14:paraId="1574AE4A" w14:textId="33752182" w:rsidR="00FE6557" w:rsidRPr="004820A7" w:rsidRDefault="008420AF" w:rsidP="00FE6557">
      <w:pPr>
        <w:pStyle w:val="ESBodyText"/>
        <w:numPr>
          <w:ilvl w:val="0"/>
          <w:numId w:val="23"/>
        </w:numPr>
        <w:spacing w:line="276" w:lineRule="auto"/>
        <w:jc w:val="both"/>
        <w:rPr>
          <w:bCs/>
        </w:rPr>
      </w:pPr>
      <w:r>
        <w:rPr>
          <w:rFonts w:eastAsiaTheme="minorHAnsi"/>
          <w:bCs/>
        </w:rPr>
        <w:t>t</w:t>
      </w:r>
      <w:r w:rsidR="00FE6557" w:rsidRPr="004820A7">
        <w:rPr>
          <w:rFonts w:eastAsiaTheme="minorHAnsi"/>
          <w:bCs/>
        </w:rPr>
        <w:t>ak</w:t>
      </w:r>
      <w:r>
        <w:rPr>
          <w:rFonts w:eastAsiaTheme="minorHAnsi"/>
          <w:bCs/>
        </w:rPr>
        <w:t>e</w:t>
      </w:r>
      <w:r w:rsidR="00FE6557" w:rsidRPr="004820A7">
        <w:rPr>
          <w:rFonts w:eastAsiaTheme="minorHAnsi"/>
          <w:bCs/>
        </w:rPr>
        <w:t xml:space="preserve"> appropriate action to resolv</w:t>
      </w:r>
      <w:r>
        <w:rPr>
          <w:rFonts w:eastAsiaTheme="minorHAnsi"/>
          <w:bCs/>
        </w:rPr>
        <w:t>e</w:t>
      </w:r>
      <w:r w:rsidR="00FE6557">
        <w:rPr>
          <w:rFonts w:eastAsiaTheme="minorHAnsi"/>
          <w:bCs/>
        </w:rPr>
        <w:t xml:space="preserve"> any</w:t>
      </w:r>
      <w:r w:rsidR="00FE6557" w:rsidRPr="004820A7">
        <w:rPr>
          <w:rFonts w:eastAsiaTheme="minorHAnsi"/>
          <w:bCs/>
        </w:rPr>
        <w:t xml:space="preserve"> identified COI</w:t>
      </w:r>
      <w:r w:rsidR="00FE6557">
        <w:rPr>
          <w:rFonts w:eastAsiaTheme="minorHAnsi"/>
          <w:bCs/>
        </w:rPr>
        <w:t xml:space="preserve"> through </w:t>
      </w:r>
      <w:r w:rsidR="00FE6557" w:rsidRPr="004820A7">
        <w:rPr>
          <w:rFonts w:eastAsiaTheme="minorHAnsi"/>
          <w:bCs/>
        </w:rPr>
        <w:t>declar</w:t>
      </w:r>
      <w:r w:rsidR="00FE6557">
        <w:rPr>
          <w:rFonts w:eastAsiaTheme="minorHAnsi"/>
          <w:bCs/>
        </w:rPr>
        <w:t>ing</w:t>
      </w:r>
      <w:r w:rsidR="00FE6557" w:rsidRPr="004820A7">
        <w:rPr>
          <w:rFonts w:eastAsiaTheme="minorHAnsi"/>
          <w:bCs/>
        </w:rPr>
        <w:t xml:space="preserve"> and manag</w:t>
      </w:r>
      <w:r w:rsidR="00FE6557">
        <w:rPr>
          <w:rFonts w:eastAsiaTheme="minorHAnsi"/>
          <w:bCs/>
        </w:rPr>
        <w:t>ing</w:t>
      </w:r>
      <w:r w:rsidR="00FE6557" w:rsidRPr="004820A7">
        <w:rPr>
          <w:rFonts w:eastAsiaTheme="minorHAnsi"/>
          <w:bCs/>
        </w:rPr>
        <w:t xml:space="preserve"> COI in accordance with this policy</w:t>
      </w:r>
    </w:p>
    <w:p w14:paraId="384F029B" w14:textId="0A34E40F" w:rsidR="00FE6557" w:rsidRPr="004820A7" w:rsidRDefault="008420AF" w:rsidP="00FE6557">
      <w:pPr>
        <w:pStyle w:val="ESBodyText"/>
        <w:numPr>
          <w:ilvl w:val="0"/>
          <w:numId w:val="23"/>
        </w:numPr>
        <w:spacing w:line="276" w:lineRule="auto"/>
        <w:jc w:val="both"/>
        <w:rPr>
          <w:bCs/>
        </w:rPr>
      </w:pPr>
      <w:r>
        <w:rPr>
          <w:bCs/>
        </w:rPr>
        <w:t>r</w:t>
      </w:r>
      <w:r w:rsidR="00FE6557" w:rsidRPr="004820A7">
        <w:rPr>
          <w:bCs/>
        </w:rPr>
        <w:t xml:space="preserve">eport identified COI to </w:t>
      </w:r>
      <w:r w:rsidR="00FE6557">
        <w:rPr>
          <w:bCs/>
        </w:rPr>
        <w:t xml:space="preserve">a </w:t>
      </w:r>
      <w:r w:rsidR="00FE6557" w:rsidRPr="004820A7">
        <w:rPr>
          <w:bCs/>
        </w:rPr>
        <w:t>manager,</w:t>
      </w:r>
      <w:r w:rsidR="00FE6557">
        <w:rPr>
          <w:bCs/>
        </w:rPr>
        <w:t xml:space="preserve"> or</w:t>
      </w:r>
      <w:r w:rsidR="00FE6557" w:rsidRPr="004820A7">
        <w:rPr>
          <w:bCs/>
        </w:rPr>
        <w:t xml:space="preserve"> </w:t>
      </w:r>
      <w:proofErr w:type="spellStart"/>
      <w:r w:rsidR="00FE6557">
        <w:rPr>
          <w:bCs/>
        </w:rPr>
        <w:t>authorised</w:t>
      </w:r>
      <w:proofErr w:type="spellEnd"/>
      <w:r w:rsidR="00FE6557">
        <w:rPr>
          <w:bCs/>
        </w:rPr>
        <w:t xml:space="preserve"> delegate</w:t>
      </w:r>
      <w:r w:rsidR="00FE6557" w:rsidRPr="004820A7">
        <w:rPr>
          <w:bCs/>
        </w:rPr>
        <w:t>.</w:t>
      </w:r>
    </w:p>
    <w:p w14:paraId="6F1EE63C" w14:textId="77777777" w:rsidR="008420AF" w:rsidRPr="008420AF" w:rsidRDefault="008420AF" w:rsidP="008420AF">
      <w:pPr>
        <w:pStyle w:val="BodyText"/>
      </w:pPr>
      <w:bookmarkStart w:id="36" w:name="_Toc170825935"/>
      <w:bookmarkStart w:id="37" w:name="_Toc487209845"/>
      <w:r w:rsidRPr="008420AF">
        <w:br w:type="page"/>
      </w:r>
    </w:p>
    <w:p w14:paraId="4A23D737" w14:textId="38AD6595" w:rsidR="00FE6557" w:rsidRDefault="00FE6557" w:rsidP="00FE6557">
      <w:pPr>
        <w:pStyle w:val="VCAAHeading2"/>
        <w:numPr>
          <w:ilvl w:val="0"/>
          <w:numId w:val="22"/>
        </w:numPr>
        <w:spacing w:line="276" w:lineRule="auto"/>
        <w:jc w:val="both"/>
      </w:pPr>
      <w:bookmarkStart w:id="38" w:name="_Toc173413860"/>
      <w:r>
        <w:lastRenderedPageBreak/>
        <w:t>Expectations</w:t>
      </w:r>
      <w:bookmarkEnd w:id="36"/>
      <w:bookmarkEnd w:id="38"/>
    </w:p>
    <w:p w14:paraId="5C0429D4" w14:textId="5311E785" w:rsidR="00FE6557" w:rsidRPr="00D4543A" w:rsidRDefault="00FE6557" w:rsidP="00FE6557">
      <w:pPr>
        <w:pStyle w:val="VCAAHeading5"/>
        <w:numPr>
          <w:ilvl w:val="1"/>
          <w:numId w:val="22"/>
        </w:numPr>
        <w:spacing w:line="276" w:lineRule="auto"/>
        <w:jc w:val="both"/>
      </w:pPr>
      <w:bookmarkStart w:id="39" w:name="_Toc170825936"/>
      <w:bookmarkStart w:id="40" w:name="_Toc173413861"/>
      <w:r w:rsidRPr="4DB21852">
        <w:rPr>
          <w:lang w:val="en-US"/>
        </w:rPr>
        <w:t xml:space="preserve">What is a </w:t>
      </w:r>
      <w:r w:rsidR="008420AF">
        <w:rPr>
          <w:lang w:val="en-US"/>
        </w:rPr>
        <w:t>c</w:t>
      </w:r>
      <w:r w:rsidRPr="4DB21852">
        <w:rPr>
          <w:lang w:val="en-US"/>
        </w:rPr>
        <w:t xml:space="preserve">onflict </w:t>
      </w:r>
      <w:r>
        <w:rPr>
          <w:lang w:val="en-US"/>
        </w:rPr>
        <w:t>o</w:t>
      </w:r>
      <w:r w:rsidRPr="4DB21852">
        <w:rPr>
          <w:lang w:val="en-US"/>
        </w:rPr>
        <w:t xml:space="preserve">f </w:t>
      </w:r>
      <w:r w:rsidR="008420AF">
        <w:rPr>
          <w:lang w:val="en-US"/>
        </w:rPr>
        <w:t>i</w:t>
      </w:r>
      <w:r w:rsidRPr="4DB21852">
        <w:rPr>
          <w:lang w:val="en-US"/>
        </w:rPr>
        <w:t>nterest?</w:t>
      </w:r>
      <w:bookmarkEnd w:id="39"/>
      <w:bookmarkEnd w:id="40"/>
    </w:p>
    <w:p w14:paraId="26C5837B" w14:textId="70EBB720" w:rsidR="00FE6557" w:rsidRDefault="00FE6557" w:rsidP="00FE6557">
      <w:pPr>
        <w:pStyle w:val="ESBodyText"/>
        <w:spacing w:line="276" w:lineRule="auto"/>
        <w:jc w:val="both"/>
      </w:pPr>
      <w:r>
        <w:t xml:space="preserve">A </w:t>
      </w:r>
      <w:r w:rsidRPr="00113E5A">
        <w:t>COI is where a</w:t>
      </w:r>
      <w:r>
        <w:t xml:space="preserve">n employee within the VPS </w:t>
      </w:r>
      <w:r w:rsidRPr="00113E5A">
        <w:t>has private interests that could improperly influence, or be seen to influence, their decisions, or actions in the performance of their duties</w:t>
      </w:r>
      <w:r w:rsidRPr="00113E5A" w:rsidDel="002F1464">
        <w:t xml:space="preserve"> </w:t>
      </w:r>
      <w:r w:rsidRPr="00113E5A">
        <w:t xml:space="preserve">These </w:t>
      </w:r>
      <w:r>
        <w:t>COI</w:t>
      </w:r>
      <w:r w:rsidRPr="00113E5A">
        <w:t xml:space="preserve"> can be actual, potential, or perceived and may involve financial or non-financial interests, including those of family members and close associates.</w:t>
      </w:r>
    </w:p>
    <w:p w14:paraId="0251DAE2" w14:textId="1DDD305A" w:rsidR="00FE6557" w:rsidRPr="00113E5A" w:rsidRDefault="00FE6557" w:rsidP="00FE6557">
      <w:pPr>
        <w:pStyle w:val="ESBodyText"/>
        <w:spacing w:line="276" w:lineRule="auto"/>
        <w:jc w:val="both"/>
      </w:pPr>
      <w:r w:rsidRPr="00113E5A">
        <w:t>COI can affect employees at all levels and areas of the VCAA. The key is to ensure that private interests do not compromise public dut</w:t>
      </w:r>
      <w:r>
        <w:t>ies</w:t>
      </w:r>
      <w:r w:rsidRPr="00113E5A">
        <w:t>.</w:t>
      </w:r>
      <w:r>
        <w:t xml:space="preserve"> </w:t>
      </w:r>
      <w:r w:rsidRPr="006B1EFD">
        <w:rPr>
          <w:rFonts w:eastAsia="Calibri"/>
          <w:lang w:val="en-AU"/>
        </w:rPr>
        <w:t>Conflicts may be actual, potential, or perceived:</w:t>
      </w:r>
    </w:p>
    <w:p w14:paraId="1946B15F" w14:textId="4994AB8F" w:rsidR="00FE6557" w:rsidRPr="006B1EFD" w:rsidRDefault="00FE6557" w:rsidP="00FE6557">
      <w:pPr>
        <w:pStyle w:val="ESBodyText"/>
        <w:numPr>
          <w:ilvl w:val="0"/>
          <w:numId w:val="29"/>
        </w:numPr>
        <w:spacing w:line="276" w:lineRule="auto"/>
        <w:jc w:val="both"/>
        <w:rPr>
          <w:rFonts w:eastAsia="Calibri"/>
          <w:lang w:val="en-AU"/>
        </w:rPr>
      </w:pPr>
      <w:r w:rsidRPr="00D62723">
        <w:rPr>
          <w:rFonts w:eastAsia="Calibri"/>
          <w:b/>
          <w:lang w:val="en-AU"/>
        </w:rPr>
        <w:t xml:space="preserve">Actual </w:t>
      </w:r>
      <w:r w:rsidR="008420AF">
        <w:rPr>
          <w:rFonts w:eastAsia="Calibri"/>
          <w:b/>
          <w:lang w:val="en-AU"/>
        </w:rPr>
        <w:t>COI</w:t>
      </w:r>
      <w:r w:rsidRPr="00D62723">
        <w:rPr>
          <w:rFonts w:eastAsia="Calibri"/>
          <w:b/>
          <w:lang w:val="en-AU"/>
        </w:rPr>
        <w:t>:</w:t>
      </w:r>
      <w:r>
        <w:rPr>
          <w:rFonts w:eastAsia="Calibri"/>
          <w:lang w:val="en-AU"/>
        </w:rPr>
        <w:t xml:space="preserve"> </w:t>
      </w:r>
      <w:r w:rsidRPr="006B1EFD">
        <w:rPr>
          <w:rFonts w:eastAsia="Calibri"/>
          <w:lang w:val="en-AU"/>
        </w:rPr>
        <w:t xml:space="preserve">there is a </w:t>
      </w:r>
      <w:r w:rsidRPr="007818F5">
        <w:rPr>
          <w:rFonts w:eastAsia="Calibri"/>
          <w:b/>
          <w:bCs/>
          <w:lang w:val="en-AU"/>
        </w:rPr>
        <w:t>real conflict</w:t>
      </w:r>
      <w:r w:rsidRPr="006B1EFD">
        <w:rPr>
          <w:rFonts w:eastAsia="Calibri"/>
          <w:lang w:val="en-AU"/>
        </w:rPr>
        <w:t xml:space="preserve"> between</w:t>
      </w:r>
      <w:r>
        <w:rPr>
          <w:rFonts w:eastAsia="Calibri"/>
          <w:lang w:val="en-AU"/>
        </w:rPr>
        <w:t xml:space="preserve"> an employees’</w:t>
      </w:r>
      <w:r w:rsidRPr="006B1EFD">
        <w:rPr>
          <w:rFonts w:eastAsia="Calibri"/>
          <w:lang w:val="en-AU"/>
        </w:rPr>
        <w:t xml:space="preserve"> public duties and private interests.</w:t>
      </w:r>
    </w:p>
    <w:p w14:paraId="480F55DE" w14:textId="678675FF" w:rsidR="00FE6557" w:rsidRPr="006B1EFD" w:rsidRDefault="00FE6557" w:rsidP="00FE6557">
      <w:pPr>
        <w:pStyle w:val="ESBodyText"/>
        <w:numPr>
          <w:ilvl w:val="0"/>
          <w:numId w:val="29"/>
        </w:numPr>
        <w:spacing w:line="276" w:lineRule="auto"/>
        <w:jc w:val="both"/>
        <w:rPr>
          <w:rFonts w:eastAsia="Calibri"/>
          <w:lang w:val="en-AU"/>
        </w:rPr>
      </w:pPr>
      <w:r w:rsidRPr="00D62723">
        <w:rPr>
          <w:rFonts w:eastAsia="Calibri"/>
          <w:b/>
          <w:lang w:val="en-AU"/>
        </w:rPr>
        <w:t xml:space="preserve">Potential </w:t>
      </w:r>
      <w:r w:rsidR="008420AF">
        <w:rPr>
          <w:rFonts w:eastAsia="Calibri"/>
          <w:b/>
          <w:lang w:val="en-AU"/>
        </w:rPr>
        <w:t>COI</w:t>
      </w:r>
      <w:r w:rsidRPr="00D62723">
        <w:rPr>
          <w:rFonts w:eastAsia="Calibri"/>
          <w:b/>
          <w:lang w:val="en-AU"/>
        </w:rPr>
        <w:t>:</w:t>
      </w:r>
      <w:r>
        <w:rPr>
          <w:rFonts w:eastAsia="Calibri"/>
          <w:lang w:val="en-AU"/>
        </w:rPr>
        <w:t xml:space="preserve"> an employee </w:t>
      </w:r>
      <w:r w:rsidRPr="006B1EFD">
        <w:rPr>
          <w:rFonts w:eastAsia="Calibri"/>
          <w:lang w:val="en-AU"/>
        </w:rPr>
        <w:t xml:space="preserve">has private interests that </w:t>
      </w:r>
      <w:r w:rsidRPr="007818F5">
        <w:rPr>
          <w:rFonts w:eastAsia="Calibri"/>
          <w:b/>
          <w:bCs/>
          <w:lang w:val="en-AU"/>
        </w:rPr>
        <w:t>could conflict</w:t>
      </w:r>
      <w:r w:rsidRPr="006B1EFD">
        <w:rPr>
          <w:rFonts w:eastAsia="Calibri"/>
          <w:lang w:val="en-AU"/>
        </w:rPr>
        <w:t xml:space="preserve"> with their public duties. This refers to circumstances where it is foreseeable that a conflict may arise in future and steps should be taken now to mitigate </w:t>
      </w:r>
      <w:r>
        <w:rPr>
          <w:rFonts w:eastAsia="Calibri"/>
          <w:lang w:val="en-AU"/>
        </w:rPr>
        <w:t>possible</w:t>
      </w:r>
      <w:r w:rsidRPr="006B1EFD">
        <w:rPr>
          <w:rFonts w:eastAsia="Calibri"/>
          <w:lang w:val="en-AU"/>
        </w:rPr>
        <w:t xml:space="preserve"> future risk</w:t>
      </w:r>
      <w:r>
        <w:rPr>
          <w:rFonts w:eastAsia="Calibri"/>
          <w:lang w:val="en-AU"/>
        </w:rPr>
        <w:t>s</w:t>
      </w:r>
      <w:r w:rsidRPr="006B1EFD">
        <w:rPr>
          <w:rFonts w:eastAsia="Calibri"/>
          <w:lang w:val="en-AU"/>
        </w:rPr>
        <w:t>.</w:t>
      </w:r>
    </w:p>
    <w:p w14:paraId="0F5DF3A7" w14:textId="2C69AACE" w:rsidR="00FE6557" w:rsidRPr="006B1EFD" w:rsidRDefault="00FE6557" w:rsidP="00FE6557">
      <w:pPr>
        <w:pStyle w:val="ESBodyText"/>
        <w:numPr>
          <w:ilvl w:val="0"/>
          <w:numId w:val="29"/>
        </w:numPr>
        <w:spacing w:line="276" w:lineRule="auto"/>
        <w:jc w:val="both"/>
        <w:rPr>
          <w:rFonts w:eastAsia="Calibri"/>
          <w:lang w:val="en-AU"/>
        </w:rPr>
      </w:pPr>
      <w:r w:rsidRPr="00D62723">
        <w:rPr>
          <w:rFonts w:eastAsia="Calibri"/>
          <w:b/>
          <w:lang w:val="en-AU"/>
        </w:rPr>
        <w:t xml:space="preserve">Perceived </w:t>
      </w:r>
      <w:r w:rsidR="008420AF">
        <w:rPr>
          <w:rFonts w:eastAsia="Calibri"/>
          <w:b/>
          <w:lang w:val="en-AU"/>
        </w:rPr>
        <w:t>COI</w:t>
      </w:r>
      <w:r w:rsidRPr="00D62723">
        <w:rPr>
          <w:rFonts w:eastAsia="Calibri"/>
          <w:b/>
          <w:lang w:val="en-AU"/>
        </w:rPr>
        <w:t>:</w:t>
      </w:r>
      <w:r>
        <w:rPr>
          <w:rFonts w:eastAsia="Calibri"/>
          <w:lang w:val="en-AU"/>
        </w:rPr>
        <w:t xml:space="preserve"> </w:t>
      </w:r>
      <w:r w:rsidRPr="006B1EFD">
        <w:rPr>
          <w:rFonts w:eastAsia="Calibri"/>
          <w:lang w:val="en-AU"/>
        </w:rPr>
        <w:t xml:space="preserve">the public or a third party could </w:t>
      </w:r>
      <w:r w:rsidRPr="007818F5">
        <w:rPr>
          <w:rFonts w:eastAsia="Calibri"/>
          <w:b/>
          <w:bCs/>
          <w:lang w:val="en-AU"/>
        </w:rPr>
        <w:t>form the view</w:t>
      </w:r>
      <w:r w:rsidRPr="006B1EFD">
        <w:rPr>
          <w:rFonts w:eastAsia="Calibri"/>
          <w:lang w:val="en-AU"/>
        </w:rPr>
        <w:t xml:space="preserve"> that </w:t>
      </w:r>
      <w:r>
        <w:rPr>
          <w:rFonts w:eastAsia="Calibri"/>
          <w:lang w:val="en-AU"/>
        </w:rPr>
        <w:t>an employees’</w:t>
      </w:r>
      <w:r w:rsidRPr="006B1EFD">
        <w:rPr>
          <w:rFonts w:eastAsia="Calibri"/>
          <w:lang w:val="en-AU"/>
        </w:rPr>
        <w:t xml:space="preserve"> private interests could improperly influence their decisions or actions, now or in the future.</w:t>
      </w:r>
    </w:p>
    <w:p w14:paraId="22590485" w14:textId="77777777" w:rsidR="00FE6557" w:rsidRDefault="00FE6557" w:rsidP="00FE6557">
      <w:pPr>
        <w:pStyle w:val="ESBodyText"/>
        <w:numPr>
          <w:ilvl w:val="0"/>
          <w:numId w:val="29"/>
        </w:numPr>
        <w:spacing w:line="276" w:lineRule="auto"/>
        <w:jc w:val="both"/>
        <w:rPr>
          <w:rFonts w:eastAsia="Calibri"/>
          <w:lang w:val="en-AU"/>
        </w:rPr>
      </w:pPr>
      <w:r w:rsidRPr="00113E5A">
        <w:rPr>
          <w:rFonts w:eastAsia="Calibri"/>
          <w:b/>
          <w:bCs/>
          <w:iCs/>
          <w:lang w:val="en-AU"/>
        </w:rPr>
        <w:t>Private interest:</w:t>
      </w:r>
      <w:r>
        <w:rPr>
          <w:rFonts w:eastAsia="Calibri"/>
          <w:b/>
          <w:bCs/>
          <w:iCs/>
          <w:lang w:val="en-AU"/>
        </w:rPr>
        <w:t xml:space="preserve"> </w:t>
      </w:r>
      <w:r w:rsidRPr="006B1A3F">
        <w:rPr>
          <w:rFonts w:eastAsia="Calibri"/>
          <w:iCs/>
          <w:lang w:val="en-AU"/>
        </w:rPr>
        <w:t>a private interest only needs to be declared as a conflict of interest if it could influence, or reasonably be seen to influence, your public duties.</w:t>
      </w:r>
      <w:r w:rsidRPr="006B1A3F">
        <w:rPr>
          <w:rFonts w:eastAsia="Calibri"/>
          <w:lang w:val="en-AU"/>
        </w:rPr>
        <w:t xml:space="preserve"> Private interests include direct and indirect interest categories, such as:</w:t>
      </w:r>
    </w:p>
    <w:p w14:paraId="4C0F144B" w14:textId="6CCA5B47" w:rsidR="00FE6557" w:rsidRPr="006B1A3F" w:rsidRDefault="008420AF" w:rsidP="00FE6557">
      <w:pPr>
        <w:pStyle w:val="ESBodyText"/>
        <w:numPr>
          <w:ilvl w:val="0"/>
          <w:numId w:val="33"/>
        </w:numPr>
        <w:spacing w:line="276" w:lineRule="auto"/>
        <w:jc w:val="both"/>
        <w:rPr>
          <w:rFonts w:eastAsia="Calibri"/>
          <w:lang w:val="en-AU"/>
        </w:rPr>
      </w:pPr>
      <w:r>
        <w:rPr>
          <w:rFonts w:eastAsia="Calibri"/>
          <w:iCs/>
          <w:lang w:val="en-AU"/>
        </w:rPr>
        <w:t>r</w:t>
      </w:r>
      <w:r w:rsidR="00FE6557" w:rsidRPr="006B1A3F">
        <w:rPr>
          <w:rFonts w:eastAsia="Calibri"/>
          <w:iCs/>
          <w:lang w:val="en-AU"/>
        </w:rPr>
        <w:t>elationships (personal relationships, consensual relationships between employees, declarable associations)</w:t>
      </w:r>
    </w:p>
    <w:p w14:paraId="798A6100" w14:textId="2A1CA6B5" w:rsidR="00FE6557" w:rsidRPr="006B1A3F" w:rsidRDefault="008420AF" w:rsidP="00FE6557">
      <w:pPr>
        <w:pStyle w:val="ESBodyText"/>
        <w:numPr>
          <w:ilvl w:val="0"/>
          <w:numId w:val="33"/>
        </w:numPr>
        <w:spacing w:line="276" w:lineRule="auto"/>
        <w:jc w:val="both"/>
        <w:rPr>
          <w:rFonts w:eastAsia="Calibri"/>
          <w:lang w:val="en-AU"/>
        </w:rPr>
      </w:pPr>
      <w:r>
        <w:rPr>
          <w:rFonts w:eastAsia="Calibri"/>
          <w:iCs/>
          <w:lang w:val="en-AU"/>
        </w:rPr>
        <w:t>f</w:t>
      </w:r>
      <w:r w:rsidR="00FE6557" w:rsidRPr="006B1A3F">
        <w:rPr>
          <w:rFonts w:eastAsia="Calibri"/>
          <w:iCs/>
          <w:lang w:val="en-AU"/>
        </w:rPr>
        <w:t>inancial (financial interests, outside employment)</w:t>
      </w:r>
    </w:p>
    <w:p w14:paraId="4CB84272" w14:textId="28344798" w:rsidR="00FE6557" w:rsidRPr="006B1A3F" w:rsidRDefault="008420AF" w:rsidP="00FE6557">
      <w:pPr>
        <w:pStyle w:val="ESBodyText"/>
        <w:numPr>
          <w:ilvl w:val="0"/>
          <w:numId w:val="33"/>
        </w:numPr>
        <w:spacing w:line="276" w:lineRule="auto"/>
        <w:jc w:val="both"/>
        <w:rPr>
          <w:rFonts w:eastAsia="Calibri"/>
          <w:iCs/>
          <w:lang w:val="en-AU"/>
        </w:rPr>
      </w:pPr>
      <w:r>
        <w:rPr>
          <w:rFonts w:eastAsia="Calibri"/>
          <w:iCs/>
          <w:lang w:val="en-AU"/>
        </w:rPr>
        <w:t>a</w:t>
      </w:r>
      <w:r w:rsidR="00FE6557" w:rsidRPr="006B1A3F">
        <w:rPr>
          <w:rFonts w:eastAsia="Calibri"/>
          <w:iCs/>
          <w:lang w:val="en-AU"/>
        </w:rPr>
        <w:t xml:space="preserve">ctivities (membership of a social, cultural, community or sporting institution, volunteering at a particular association, institution or club, or involvement with a social, cultural, community or sporting organisation, including family members </w:t>
      </w:r>
      <w:r w:rsidR="00FE6557">
        <w:rPr>
          <w:rFonts w:eastAsia="Calibri"/>
          <w:iCs/>
          <w:lang w:val="en-AU"/>
        </w:rPr>
        <w:t>being</w:t>
      </w:r>
      <w:r w:rsidR="00FE6557" w:rsidRPr="006B1A3F">
        <w:rPr>
          <w:rFonts w:eastAsia="Calibri"/>
          <w:iCs/>
          <w:lang w:val="en-AU"/>
        </w:rPr>
        <w:t xml:space="preserve"> members or attendees)</w:t>
      </w:r>
    </w:p>
    <w:p w14:paraId="53D9FC95" w14:textId="78AB63E3" w:rsidR="00FE6557" w:rsidRPr="006B1A3F" w:rsidRDefault="008420AF" w:rsidP="00FE6557">
      <w:pPr>
        <w:pStyle w:val="ESBodyText"/>
        <w:numPr>
          <w:ilvl w:val="0"/>
          <w:numId w:val="33"/>
        </w:numPr>
        <w:spacing w:line="276" w:lineRule="auto"/>
        <w:jc w:val="both"/>
        <w:rPr>
          <w:rFonts w:eastAsia="Calibri"/>
          <w:iCs/>
          <w:lang w:val="en-AU"/>
        </w:rPr>
      </w:pPr>
      <w:r>
        <w:rPr>
          <w:rFonts w:eastAsia="Calibri"/>
          <w:iCs/>
          <w:lang w:val="en-AU"/>
        </w:rPr>
        <w:t>d</w:t>
      </w:r>
      <w:r w:rsidR="00FE6557" w:rsidRPr="006B1A3F">
        <w:rPr>
          <w:rFonts w:eastAsia="Calibri"/>
          <w:iCs/>
          <w:lang w:val="en-AU"/>
        </w:rPr>
        <w:t>uties and influences (other duties, loyalties, and biases)</w:t>
      </w:r>
    </w:p>
    <w:p w14:paraId="6CBBD2EB" w14:textId="77777777" w:rsidR="00FE6557" w:rsidRPr="00113E5A" w:rsidRDefault="00FE6557" w:rsidP="00FE6557">
      <w:pPr>
        <w:pStyle w:val="ESBodyText"/>
        <w:numPr>
          <w:ilvl w:val="0"/>
          <w:numId w:val="29"/>
        </w:numPr>
        <w:spacing w:line="276" w:lineRule="auto"/>
        <w:jc w:val="both"/>
        <w:rPr>
          <w:rFonts w:eastAsia="Calibri"/>
          <w:b/>
          <w:bCs/>
          <w:iCs/>
          <w:lang w:val="en-AU"/>
        </w:rPr>
      </w:pPr>
      <w:r w:rsidRPr="00113E5A">
        <w:rPr>
          <w:rFonts w:eastAsia="Calibri"/>
          <w:b/>
          <w:bCs/>
          <w:iCs/>
          <w:lang w:val="en-AU"/>
        </w:rPr>
        <w:t>Consensual personal relationships</w:t>
      </w:r>
      <w:r>
        <w:rPr>
          <w:rFonts w:eastAsia="Calibri"/>
          <w:b/>
          <w:bCs/>
          <w:iCs/>
          <w:lang w:val="en-AU"/>
        </w:rPr>
        <w:t xml:space="preserve">: </w:t>
      </w:r>
      <w:r w:rsidRPr="00113E5A">
        <w:rPr>
          <w:rFonts w:eastAsia="Calibri"/>
          <w:lang w:val="en-AU"/>
        </w:rPr>
        <w:t>Consensual personal relationships include consensual sexual, intimate and/or romantic relationships between adults of any sex or gender identity. Relationships of this kind may be on a casual, periodic, or regular basis and may or may not constitute a primary relationship. A familial relationship of spouse or de facto partner also constitutes a consensual personal relationship.</w:t>
      </w:r>
    </w:p>
    <w:p w14:paraId="7C9765B2" w14:textId="77777777" w:rsidR="00FE6557" w:rsidRDefault="00FE6557" w:rsidP="00FE6557">
      <w:pPr>
        <w:pStyle w:val="VCAAHeading5"/>
        <w:numPr>
          <w:ilvl w:val="1"/>
          <w:numId w:val="22"/>
        </w:numPr>
        <w:spacing w:line="276" w:lineRule="auto"/>
        <w:jc w:val="both"/>
      </w:pPr>
      <w:bookmarkStart w:id="41" w:name="_Toc170825937"/>
      <w:bookmarkStart w:id="42" w:name="_Toc487209847"/>
      <w:bookmarkStart w:id="43" w:name="_Toc173413862"/>
      <w:r w:rsidRPr="3856EBCD">
        <w:rPr>
          <w:lang w:val="en-US"/>
        </w:rPr>
        <w:t>Identifying conflicts of interest</w:t>
      </w:r>
      <w:bookmarkEnd w:id="41"/>
      <w:bookmarkEnd w:id="43"/>
    </w:p>
    <w:p w14:paraId="57256642" w14:textId="77777777" w:rsidR="00FE6557" w:rsidRPr="0083333C" w:rsidRDefault="00FE6557" w:rsidP="00FE6557">
      <w:pPr>
        <w:pStyle w:val="ESBodyText"/>
        <w:spacing w:line="276" w:lineRule="auto"/>
        <w:jc w:val="both"/>
        <w:rPr>
          <w:rFonts w:eastAsia="Calibri"/>
          <w:lang w:val="en-AU"/>
        </w:rPr>
      </w:pPr>
      <w:r w:rsidRPr="0083333C">
        <w:rPr>
          <w:rFonts w:eastAsia="Calibri"/>
          <w:lang w:val="en-AU"/>
        </w:rPr>
        <w:t>Many employees will encounter a COI during their employment. All employees are responsible for actively considering their private interests and how these could intersect with their public duties.</w:t>
      </w:r>
    </w:p>
    <w:p w14:paraId="50D0D0E9" w14:textId="77777777" w:rsidR="00FE6557" w:rsidRPr="0083333C" w:rsidRDefault="00FE6557" w:rsidP="00FE6557">
      <w:pPr>
        <w:pStyle w:val="ESBodyText"/>
        <w:spacing w:line="276" w:lineRule="auto"/>
        <w:jc w:val="both"/>
        <w:rPr>
          <w:rFonts w:eastAsia="Calibri"/>
          <w:lang w:val="en-AU"/>
        </w:rPr>
      </w:pPr>
      <w:r w:rsidRPr="0083333C">
        <w:rPr>
          <w:rFonts w:eastAsia="Calibri"/>
          <w:lang w:val="en-AU"/>
        </w:rPr>
        <w:t>Employees are encouraged to consult with their manager</w:t>
      </w:r>
      <w:r>
        <w:rPr>
          <w:rFonts w:eastAsia="Calibri"/>
          <w:lang w:val="en-AU"/>
        </w:rPr>
        <w:t xml:space="preserve"> </w:t>
      </w:r>
      <w:r w:rsidRPr="0083333C">
        <w:rPr>
          <w:rFonts w:eastAsia="Calibri"/>
          <w:lang w:val="en-AU"/>
        </w:rPr>
        <w:t>for assistance in identifying whether a private interest could be an actual, potential, or perceived conflict of interest.</w:t>
      </w:r>
    </w:p>
    <w:p w14:paraId="75EB59CD" w14:textId="77777777" w:rsidR="00FE6557" w:rsidRPr="0083333C" w:rsidRDefault="00FE6557" w:rsidP="00FE6557">
      <w:pPr>
        <w:pStyle w:val="ESBodyText"/>
        <w:spacing w:line="276" w:lineRule="auto"/>
        <w:jc w:val="both"/>
        <w:rPr>
          <w:rFonts w:eastAsia="Calibri"/>
          <w:lang w:val="en-AU"/>
        </w:rPr>
      </w:pPr>
      <w:r w:rsidRPr="0083333C">
        <w:rPr>
          <w:rFonts w:eastAsia="Calibri"/>
          <w:lang w:val="en-AU"/>
        </w:rPr>
        <w:t>Employees with higher risk factors for COI include those who have:</w:t>
      </w:r>
    </w:p>
    <w:p w14:paraId="60E10189" w14:textId="77777777" w:rsidR="00FE6557" w:rsidRPr="0083333C" w:rsidRDefault="00FE6557" w:rsidP="00FE6557">
      <w:pPr>
        <w:pStyle w:val="ESBodyText"/>
        <w:numPr>
          <w:ilvl w:val="0"/>
          <w:numId w:val="29"/>
        </w:numPr>
        <w:spacing w:line="276" w:lineRule="auto"/>
        <w:jc w:val="both"/>
        <w:rPr>
          <w:rFonts w:eastAsia="Calibri"/>
          <w:lang w:val="en-AU"/>
        </w:rPr>
      </w:pPr>
      <w:r w:rsidRPr="0083333C">
        <w:rPr>
          <w:rFonts w:eastAsia="Calibri"/>
          <w:lang w:val="en-AU"/>
        </w:rPr>
        <w:t>responsibility, or involvement in, key decision-making processes – such as those that involve the allocation of public funds (procurement, grants, contract management, finance)</w:t>
      </w:r>
    </w:p>
    <w:p w14:paraId="3304CC8C" w14:textId="77777777" w:rsidR="00FE6557" w:rsidRPr="0083333C" w:rsidRDefault="00FE6557" w:rsidP="00FE6557">
      <w:pPr>
        <w:pStyle w:val="ESBodyText"/>
        <w:numPr>
          <w:ilvl w:val="0"/>
          <w:numId w:val="29"/>
        </w:numPr>
        <w:spacing w:line="276" w:lineRule="auto"/>
        <w:jc w:val="both"/>
        <w:rPr>
          <w:rFonts w:eastAsia="Calibri"/>
          <w:lang w:val="en-AU"/>
        </w:rPr>
      </w:pPr>
      <w:r w:rsidRPr="0083333C">
        <w:rPr>
          <w:rFonts w:eastAsia="Calibri"/>
          <w:lang w:val="en-AU"/>
        </w:rPr>
        <w:t>unique operating environments – such as working alone with little supervision or working in small or regional communities where likelihood for close personal relationships within the community is increased</w:t>
      </w:r>
    </w:p>
    <w:p w14:paraId="5A27E04A" w14:textId="77777777" w:rsidR="00FE6557" w:rsidRPr="0083333C" w:rsidRDefault="00FE6557" w:rsidP="00FE6557">
      <w:pPr>
        <w:pStyle w:val="ESBodyText"/>
        <w:numPr>
          <w:ilvl w:val="0"/>
          <w:numId w:val="29"/>
        </w:numPr>
        <w:spacing w:line="276" w:lineRule="auto"/>
        <w:jc w:val="both"/>
        <w:rPr>
          <w:rFonts w:eastAsia="Calibri"/>
          <w:lang w:val="en-AU"/>
        </w:rPr>
      </w:pPr>
      <w:r w:rsidRPr="0083333C">
        <w:rPr>
          <w:rFonts w:eastAsia="Calibri"/>
          <w:lang w:val="en-AU"/>
        </w:rPr>
        <w:t>other public-facing duties such as managing public correspondence or working with private sector organisations</w:t>
      </w:r>
    </w:p>
    <w:p w14:paraId="46D45105" w14:textId="77777777" w:rsidR="00FE6557" w:rsidRPr="0083333C" w:rsidRDefault="00FE6557" w:rsidP="00FE6557">
      <w:pPr>
        <w:pStyle w:val="ESBodyText"/>
        <w:numPr>
          <w:ilvl w:val="0"/>
          <w:numId w:val="29"/>
        </w:numPr>
        <w:spacing w:line="276" w:lineRule="auto"/>
        <w:jc w:val="both"/>
        <w:rPr>
          <w:rFonts w:eastAsia="Calibri"/>
          <w:lang w:val="en-AU"/>
        </w:rPr>
      </w:pPr>
      <w:r w:rsidRPr="0083333C">
        <w:rPr>
          <w:rFonts w:eastAsia="Calibri"/>
          <w:lang w:val="en-AU"/>
        </w:rPr>
        <w:t>regulatory responsibilities for identified sectors</w:t>
      </w:r>
    </w:p>
    <w:p w14:paraId="5A351A5C" w14:textId="77777777" w:rsidR="00FE6557" w:rsidRPr="0083333C" w:rsidRDefault="00FE6557" w:rsidP="00FE6557">
      <w:pPr>
        <w:pStyle w:val="ESBodyText"/>
        <w:numPr>
          <w:ilvl w:val="0"/>
          <w:numId w:val="29"/>
        </w:numPr>
        <w:spacing w:line="276" w:lineRule="auto"/>
        <w:jc w:val="both"/>
        <w:rPr>
          <w:rFonts w:eastAsia="Calibri"/>
          <w:lang w:val="en-AU"/>
        </w:rPr>
      </w:pPr>
      <w:r w:rsidRPr="0083333C">
        <w:rPr>
          <w:rFonts w:eastAsia="Calibri"/>
          <w:lang w:val="en-AU"/>
        </w:rPr>
        <w:t xml:space="preserve">primary employment with another organisation who may benefit from access to the </w:t>
      </w:r>
      <w:r>
        <w:rPr>
          <w:rFonts w:eastAsia="Calibri"/>
          <w:lang w:val="en-AU"/>
        </w:rPr>
        <w:t>VCAA’s</w:t>
      </w:r>
      <w:r w:rsidRPr="0083333C">
        <w:rPr>
          <w:rFonts w:eastAsia="Calibri"/>
          <w:lang w:val="en-AU"/>
        </w:rPr>
        <w:t xml:space="preserve"> systems, data and information</w:t>
      </w:r>
    </w:p>
    <w:p w14:paraId="42412AB1" w14:textId="77777777" w:rsidR="00FE6557" w:rsidRPr="0083333C" w:rsidRDefault="00FE6557" w:rsidP="00FE6557">
      <w:pPr>
        <w:pStyle w:val="ESBodyText"/>
        <w:numPr>
          <w:ilvl w:val="0"/>
          <w:numId w:val="29"/>
        </w:numPr>
        <w:spacing w:line="276" w:lineRule="auto"/>
        <w:jc w:val="both"/>
        <w:rPr>
          <w:rFonts w:eastAsia="Calibri"/>
          <w:lang w:val="en-AU"/>
        </w:rPr>
      </w:pPr>
      <w:r w:rsidRPr="0083333C">
        <w:rPr>
          <w:rFonts w:eastAsia="Calibri"/>
          <w:lang w:val="en-AU"/>
        </w:rPr>
        <w:lastRenderedPageBreak/>
        <w:t xml:space="preserve">personal relationships within the </w:t>
      </w:r>
      <w:r>
        <w:rPr>
          <w:rFonts w:eastAsia="Calibri"/>
          <w:lang w:val="en-AU"/>
        </w:rPr>
        <w:t>VCAA</w:t>
      </w:r>
      <w:r w:rsidRPr="0083333C">
        <w:rPr>
          <w:rFonts w:eastAsia="Calibri"/>
          <w:lang w:val="en-AU"/>
        </w:rPr>
        <w:t xml:space="preserve"> – such as a consensual personal relationship with another employee or a family relationship with an employee</w:t>
      </w:r>
    </w:p>
    <w:p w14:paraId="590F9806" w14:textId="77777777" w:rsidR="00FE6557" w:rsidRPr="0083333C" w:rsidRDefault="00FE6557" w:rsidP="00FE6557">
      <w:pPr>
        <w:pStyle w:val="ESBodyText"/>
        <w:spacing w:line="276" w:lineRule="auto"/>
        <w:jc w:val="both"/>
        <w:rPr>
          <w:rFonts w:eastAsia="Calibri"/>
          <w:lang w:val="en-AU"/>
        </w:rPr>
      </w:pPr>
      <w:r w:rsidRPr="0083333C">
        <w:rPr>
          <w:rFonts w:eastAsia="Calibri"/>
          <w:lang w:val="en-AU"/>
        </w:rPr>
        <w:t>Managers should consider the risk profile of the employee’s role and expected duties and assist them to identify situations which may give rise to conflicts with their private interests.</w:t>
      </w:r>
    </w:p>
    <w:p w14:paraId="46480235" w14:textId="77777777" w:rsidR="00FE6557" w:rsidRPr="00D4543A" w:rsidRDefault="00FE6557" w:rsidP="00FE6557">
      <w:pPr>
        <w:pStyle w:val="VCAAHeading5"/>
        <w:numPr>
          <w:ilvl w:val="1"/>
          <w:numId w:val="22"/>
        </w:numPr>
        <w:spacing w:line="276" w:lineRule="auto"/>
        <w:jc w:val="both"/>
      </w:pPr>
      <w:bookmarkStart w:id="44" w:name="_Toc170825938"/>
      <w:bookmarkStart w:id="45" w:name="_Toc173413863"/>
      <w:bookmarkEnd w:id="42"/>
      <w:r>
        <w:t>Avoiding conflicts of interest</w:t>
      </w:r>
      <w:bookmarkEnd w:id="44"/>
      <w:bookmarkEnd w:id="45"/>
    </w:p>
    <w:p w14:paraId="538997E6" w14:textId="6223FB37" w:rsidR="00FE6557" w:rsidRPr="00D4543A" w:rsidRDefault="00FE6557" w:rsidP="00FE6557">
      <w:pPr>
        <w:pStyle w:val="ESBodyText"/>
        <w:numPr>
          <w:ilvl w:val="0"/>
          <w:numId w:val="25"/>
        </w:numPr>
        <w:spacing w:line="276" w:lineRule="auto"/>
        <w:jc w:val="both"/>
        <w:rPr>
          <w:noProof/>
          <w:lang w:val="en-AU"/>
        </w:rPr>
      </w:pPr>
      <w:r>
        <w:rPr>
          <w:noProof/>
          <w:lang w:val="en-AU"/>
        </w:rPr>
        <w:t>All employees</w:t>
      </w:r>
      <w:r w:rsidRPr="00D4543A">
        <w:rPr>
          <w:noProof/>
          <w:lang w:val="en-AU"/>
        </w:rPr>
        <w:t xml:space="preserve"> must, wherever possible, avoid </w:t>
      </w:r>
      <w:r>
        <w:rPr>
          <w:noProof/>
          <w:lang w:val="en-AU"/>
        </w:rPr>
        <w:t>COI</w:t>
      </w:r>
      <w:r w:rsidRPr="00D4543A">
        <w:rPr>
          <w:noProof/>
          <w:lang w:val="en-AU"/>
        </w:rPr>
        <w:t xml:space="preserve"> in </w:t>
      </w:r>
      <w:r>
        <w:rPr>
          <w:noProof/>
          <w:lang w:val="en-AU"/>
        </w:rPr>
        <w:t>their public duties</w:t>
      </w:r>
    </w:p>
    <w:p w14:paraId="60953AEE" w14:textId="196961A6" w:rsidR="00FE6557" w:rsidRPr="00113E5A" w:rsidRDefault="00FE6557" w:rsidP="00FE6557">
      <w:pPr>
        <w:pStyle w:val="ESBodyText"/>
        <w:numPr>
          <w:ilvl w:val="0"/>
          <w:numId w:val="25"/>
        </w:numPr>
        <w:spacing w:line="276" w:lineRule="auto"/>
        <w:jc w:val="both"/>
        <w:rPr>
          <w:noProof/>
          <w:lang w:val="en-AU"/>
        </w:rPr>
      </w:pPr>
      <w:r w:rsidRPr="00113E5A">
        <w:rPr>
          <w:noProof/>
          <w:lang w:val="en-AU"/>
        </w:rPr>
        <w:t xml:space="preserve">Where it is not possible to avoid COI, </w:t>
      </w:r>
      <w:r>
        <w:rPr>
          <w:noProof/>
          <w:lang w:val="en-AU"/>
        </w:rPr>
        <w:t>employees</w:t>
      </w:r>
      <w:r w:rsidRPr="00113E5A">
        <w:rPr>
          <w:noProof/>
          <w:lang w:val="en-AU"/>
        </w:rPr>
        <w:t xml:space="preserve"> must declare and manage the COI in accordance with this policy</w:t>
      </w:r>
    </w:p>
    <w:p w14:paraId="58029746" w14:textId="29EC469E" w:rsidR="00FE6557" w:rsidRPr="00113E5A" w:rsidRDefault="00FE6557" w:rsidP="00FE6557">
      <w:pPr>
        <w:pStyle w:val="ESBodyText"/>
        <w:numPr>
          <w:ilvl w:val="0"/>
          <w:numId w:val="25"/>
        </w:numPr>
        <w:spacing w:line="276" w:lineRule="auto"/>
        <w:jc w:val="both"/>
        <w:rPr>
          <w:noProof/>
          <w:lang w:val="en-AU"/>
        </w:rPr>
      </w:pPr>
      <w:r>
        <w:rPr>
          <w:noProof/>
          <w:lang w:val="en-AU"/>
        </w:rPr>
        <w:t>Although i</w:t>
      </w:r>
      <w:r w:rsidRPr="00113E5A">
        <w:rPr>
          <w:noProof/>
          <w:lang w:val="en-AU"/>
        </w:rPr>
        <w:t>t is not possible to identify all possible COI in advance</w:t>
      </w:r>
      <w:r>
        <w:rPr>
          <w:noProof/>
          <w:lang w:val="en-AU"/>
        </w:rPr>
        <w:t>, employees</w:t>
      </w:r>
      <w:r w:rsidRPr="00113E5A">
        <w:rPr>
          <w:noProof/>
          <w:lang w:val="en-AU"/>
        </w:rPr>
        <w:t xml:space="preserve"> must deal with conflicts promptly once they arise. </w:t>
      </w:r>
      <w:r>
        <w:rPr>
          <w:noProof/>
          <w:lang w:val="en-AU"/>
        </w:rPr>
        <w:t xml:space="preserve">Employees </w:t>
      </w:r>
      <w:r w:rsidRPr="00113E5A">
        <w:rPr>
          <w:noProof/>
          <w:lang w:val="en-AU"/>
        </w:rPr>
        <w:t>must be also able to identify potential COI and put in place appropriate measures to prevent an actual conflict arising where possible</w:t>
      </w:r>
    </w:p>
    <w:p w14:paraId="767237F6" w14:textId="77777777" w:rsidR="00FE6557" w:rsidRDefault="00FE6557" w:rsidP="00FE6557">
      <w:pPr>
        <w:pStyle w:val="ESBodyText"/>
        <w:numPr>
          <w:ilvl w:val="0"/>
          <w:numId w:val="25"/>
        </w:numPr>
        <w:spacing w:line="276" w:lineRule="auto"/>
        <w:jc w:val="both"/>
        <w:rPr>
          <w:noProof/>
          <w:lang w:val="en-AU"/>
        </w:rPr>
      </w:pPr>
      <w:r w:rsidRPr="00D4543A">
        <w:rPr>
          <w:noProof/>
          <w:lang w:val="en-AU"/>
        </w:rPr>
        <w:t>I</w:t>
      </w:r>
      <w:r>
        <w:rPr>
          <w:noProof/>
          <w:lang w:val="en-AU"/>
        </w:rPr>
        <w:t>n the case of a</w:t>
      </w:r>
      <w:r w:rsidRPr="00D4543A">
        <w:rPr>
          <w:noProof/>
          <w:lang w:val="en-AU"/>
        </w:rPr>
        <w:t>ny doub</w:t>
      </w:r>
      <w:r>
        <w:rPr>
          <w:noProof/>
          <w:lang w:val="en-AU"/>
        </w:rPr>
        <w:t xml:space="preserve">ts regarding </w:t>
      </w:r>
      <w:r w:rsidRPr="00D4543A">
        <w:rPr>
          <w:noProof/>
          <w:lang w:val="en-AU"/>
        </w:rPr>
        <w:t xml:space="preserve">a </w:t>
      </w:r>
      <w:r>
        <w:rPr>
          <w:noProof/>
          <w:lang w:val="en-AU"/>
        </w:rPr>
        <w:t>COI</w:t>
      </w:r>
      <w:r w:rsidRPr="00D4543A">
        <w:rPr>
          <w:noProof/>
          <w:lang w:val="en-AU"/>
        </w:rPr>
        <w:t xml:space="preserve">, or about the application of this policy, </w:t>
      </w:r>
      <w:r>
        <w:rPr>
          <w:noProof/>
          <w:lang w:val="en-AU"/>
        </w:rPr>
        <w:t>employees</w:t>
      </w:r>
      <w:r w:rsidRPr="00D4543A">
        <w:rPr>
          <w:noProof/>
          <w:lang w:val="en-AU"/>
        </w:rPr>
        <w:t xml:space="preserve"> should immediately raise the matter with </w:t>
      </w:r>
      <w:r>
        <w:rPr>
          <w:noProof/>
          <w:lang w:val="en-AU"/>
        </w:rPr>
        <w:t>a manager, or authorised delegate.</w:t>
      </w:r>
    </w:p>
    <w:p w14:paraId="16D9C8EA" w14:textId="77777777" w:rsidR="00FE6557" w:rsidRDefault="00FE6557" w:rsidP="00FE6557">
      <w:pPr>
        <w:pStyle w:val="VCAAHeading5"/>
        <w:numPr>
          <w:ilvl w:val="1"/>
          <w:numId w:val="22"/>
        </w:numPr>
        <w:rPr>
          <w:noProof/>
        </w:rPr>
      </w:pPr>
      <w:bookmarkStart w:id="46" w:name="_Toc170825939"/>
      <w:bookmarkStart w:id="47" w:name="_Toc173413864"/>
      <w:r>
        <w:rPr>
          <w:noProof/>
        </w:rPr>
        <w:t>Managing conflicts of interest</w:t>
      </w:r>
      <w:bookmarkEnd w:id="46"/>
      <w:bookmarkEnd w:id="47"/>
    </w:p>
    <w:p w14:paraId="3BFD65BE" w14:textId="77777777" w:rsidR="00FE6557" w:rsidRPr="002D7F01" w:rsidRDefault="00FE6557" w:rsidP="00FE6557">
      <w:pPr>
        <w:pStyle w:val="ESBodyText"/>
        <w:spacing w:line="276" w:lineRule="auto"/>
        <w:jc w:val="both"/>
      </w:pPr>
      <w:r w:rsidRPr="002D7F01">
        <w:t>Where a conflict cannot be avoided, an employee must actively manage the conflict to protect the public interest from influence of a private interest.</w:t>
      </w:r>
    </w:p>
    <w:p w14:paraId="0334EE5D" w14:textId="685DD65D" w:rsidR="00FE6557" w:rsidRPr="002D7F01" w:rsidRDefault="00FE6557" w:rsidP="00FE6557">
      <w:pPr>
        <w:pStyle w:val="ESBodyText"/>
        <w:spacing w:line="276" w:lineRule="auto"/>
        <w:jc w:val="both"/>
      </w:pPr>
      <w:r w:rsidRPr="002D7F01">
        <w:t xml:space="preserve">Where the </w:t>
      </w:r>
      <w:r>
        <w:t>VCAA</w:t>
      </w:r>
      <w:r w:rsidRPr="002D7F01">
        <w:t xml:space="preserve"> or public might also benefit from circumstances that involve a conflict of interest (e.g. discounts on goods or services), the COI must still be declared, and steps taken to manage its impact. With any COI, there is the potential that the personal benefit involved can create perceptions of corruption.</w:t>
      </w:r>
    </w:p>
    <w:p w14:paraId="20A90C13" w14:textId="4ED31B7E" w:rsidR="00FE6557" w:rsidRPr="002D7F01" w:rsidRDefault="00FE6557" w:rsidP="00FE6557">
      <w:pPr>
        <w:pStyle w:val="ESBodyText"/>
        <w:spacing w:line="276" w:lineRule="auto"/>
        <w:jc w:val="both"/>
      </w:pPr>
      <w:r>
        <w:t xml:space="preserve">Employees must develop a COI management plan as part of their COI declaration which </w:t>
      </w:r>
      <w:proofErr w:type="gramStart"/>
      <w:r>
        <w:t xml:space="preserve">is </w:t>
      </w:r>
      <w:r w:rsidR="4D9FBB53">
        <w:t>must</w:t>
      </w:r>
      <w:r>
        <w:t xml:space="preserve"> be</w:t>
      </w:r>
      <w:proofErr w:type="gramEnd"/>
      <w:r>
        <w:t xml:space="preserve"> approved by their manager.</w:t>
      </w:r>
    </w:p>
    <w:p w14:paraId="104107C7" w14:textId="77777777" w:rsidR="00FE6557" w:rsidRPr="002D7F01" w:rsidRDefault="00FE6557" w:rsidP="00FE6557">
      <w:pPr>
        <w:pStyle w:val="ESBodyText"/>
        <w:spacing w:line="276" w:lineRule="auto"/>
        <w:jc w:val="both"/>
      </w:pPr>
      <w:r w:rsidRPr="002D7F01">
        <w:t>Management plans are a risk mitigation strategy and should seek to address:</w:t>
      </w:r>
    </w:p>
    <w:p w14:paraId="29D423BA" w14:textId="72F5AC1D" w:rsidR="00FE6557" w:rsidRPr="002D7F01" w:rsidRDefault="00FE6557" w:rsidP="00FE6557">
      <w:pPr>
        <w:pStyle w:val="ESBodyText"/>
        <w:numPr>
          <w:ilvl w:val="0"/>
          <w:numId w:val="39"/>
        </w:numPr>
        <w:spacing w:line="276" w:lineRule="auto"/>
        <w:jc w:val="both"/>
      </w:pPr>
      <w:r w:rsidRPr="002D7F01">
        <w:t>how public duties impacted by the conflict of interest will be performed</w:t>
      </w:r>
    </w:p>
    <w:p w14:paraId="4A6B6685" w14:textId="77777777" w:rsidR="00FE6557" w:rsidRPr="002D7F01" w:rsidRDefault="00FE6557" w:rsidP="00FE6557">
      <w:pPr>
        <w:pStyle w:val="ESBodyText"/>
        <w:numPr>
          <w:ilvl w:val="0"/>
          <w:numId w:val="39"/>
        </w:numPr>
        <w:spacing w:line="276" w:lineRule="auto"/>
        <w:jc w:val="both"/>
      </w:pPr>
      <w:r w:rsidRPr="002D7F01">
        <w:t>the communication of the COI and relevant management strategies.</w:t>
      </w:r>
    </w:p>
    <w:p w14:paraId="1548CEE4" w14:textId="77777777" w:rsidR="00FE6557" w:rsidRDefault="00FE6557" w:rsidP="00FE6557">
      <w:pPr>
        <w:pStyle w:val="VCAAHeading5"/>
        <w:numPr>
          <w:ilvl w:val="1"/>
          <w:numId w:val="22"/>
        </w:numPr>
        <w:spacing w:line="276" w:lineRule="auto"/>
        <w:jc w:val="both"/>
      </w:pPr>
      <w:bookmarkStart w:id="48" w:name="_Toc170825940"/>
      <w:bookmarkStart w:id="49" w:name="_Toc173413865"/>
      <w:r>
        <w:t>Management strategies</w:t>
      </w:r>
      <w:bookmarkEnd w:id="48"/>
      <w:bookmarkEnd w:id="49"/>
    </w:p>
    <w:p w14:paraId="2535BAC0" w14:textId="77777777" w:rsidR="00FE6557" w:rsidRPr="007806E5" w:rsidRDefault="00FE6557" w:rsidP="00FE6557">
      <w:pPr>
        <w:pStyle w:val="ESBodyText"/>
        <w:spacing w:line="276" w:lineRule="auto"/>
        <w:jc w:val="both"/>
      </w:pPr>
      <w:r w:rsidRPr="007806E5">
        <w:t>COI management plans often involve the implementation of one or more of the following risk mitigation strategies, depending on the circumstances of the conflict and the identified risks.</w:t>
      </w:r>
    </w:p>
    <w:p w14:paraId="194A1AE3" w14:textId="77777777" w:rsidR="00FE6557" w:rsidRPr="007806E5" w:rsidRDefault="00FE6557" w:rsidP="00FE6557">
      <w:pPr>
        <w:pStyle w:val="ESBodyText"/>
        <w:spacing w:line="276" w:lineRule="auto"/>
        <w:jc w:val="both"/>
      </w:pPr>
      <w:r w:rsidRPr="007806E5">
        <w:t>Employees must monitor and review their COI declaration and management plan regularly and in response to any changes in circumstances or risks to ensure that the plan remains effective.</w:t>
      </w:r>
    </w:p>
    <w:p w14:paraId="4AF646B6" w14:textId="77777777" w:rsidR="00FE6557" w:rsidRPr="007806E5" w:rsidRDefault="00FE6557" w:rsidP="00FE6557">
      <w:pPr>
        <w:pStyle w:val="ESBodyText"/>
        <w:spacing w:line="276" w:lineRule="auto"/>
        <w:jc w:val="both"/>
        <w:rPr>
          <w:b/>
          <w:bCs/>
        </w:rPr>
      </w:pPr>
      <w:r w:rsidRPr="007806E5">
        <w:rPr>
          <w:b/>
          <w:bCs/>
        </w:rPr>
        <w:t>Record and monitor</w:t>
      </w:r>
    </w:p>
    <w:p w14:paraId="6503A28F" w14:textId="77777777" w:rsidR="00FE6557" w:rsidRPr="007806E5" w:rsidRDefault="00FE6557" w:rsidP="00FE6557">
      <w:pPr>
        <w:pStyle w:val="ESBodyText"/>
        <w:spacing w:line="276" w:lineRule="auto"/>
        <w:jc w:val="both"/>
      </w:pPr>
      <w:r w:rsidRPr="007806E5">
        <w:t>The conflict of interest is officially declared and recorded.</w:t>
      </w:r>
    </w:p>
    <w:p w14:paraId="57803E1C" w14:textId="77777777" w:rsidR="00FE6557" w:rsidRPr="007806E5" w:rsidRDefault="00FE6557" w:rsidP="00FE6557">
      <w:pPr>
        <w:pStyle w:val="ESBodyText"/>
        <w:spacing w:line="276" w:lineRule="auto"/>
        <w:jc w:val="both"/>
      </w:pPr>
      <w:r w:rsidRPr="007806E5">
        <w:t>Relevant managers and employees may be advised of the conflict on a ‘need to know’ basis to support ongoing monitoring of the situation to ensure the conflict does not intersect with or influence public duties.</w:t>
      </w:r>
    </w:p>
    <w:p w14:paraId="6DDBA32B" w14:textId="77777777" w:rsidR="00FE6557" w:rsidRPr="007806E5" w:rsidRDefault="00FE6557" w:rsidP="00FE6557">
      <w:pPr>
        <w:pStyle w:val="ESBodyText"/>
        <w:spacing w:line="276" w:lineRule="auto"/>
        <w:jc w:val="both"/>
      </w:pPr>
      <w:r w:rsidRPr="007806E5">
        <w:t>Where changing circumstances result in the level of risk increasing, additional strategies (such as restrict or remove) may be implemented to appropriately address the conflict.</w:t>
      </w:r>
    </w:p>
    <w:p w14:paraId="1E0F9126" w14:textId="77777777" w:rsidR="00FE6557" w:rsidRPr="007806E5" w:rsidRDefault="00FE6557" w:rsidP="00FE6557">
      <w:pPr>
        <w:pStyle w:val="VCAAbody"/>
        <w:rPr>
          <w:rFonts w:ascii="Arial" w:hAnsi="Arial"/>
          <w:b/>
          <w:bCs/>
          <w:sz w:val="18"/>
          <w:szCs w:val="20"/>
          <w:lang w:val="en" w:eastAsia="en-AU"/>
        </w:rPr>
      </w:pPr>
      <w:r w:rsidRPr="007806E5">
        <w:rPr>
          <w:rFonts w:ascii="Arial" w:hAnsi="Arial"/>
          <w:b/>
          <w:bCs/>
          <w:sz w:val="18"/>
          <w:szCs w:val="20"/>
          <w:lang w:val="en" w:eastAsia="en-AU"/>
        </w:rPr>
        <w:t>Restrict</w:t>
      </w:r>
    </w:p>
    <w:p w14:paraId="56402144" w14:textId="77777777" w:rsidR="00FE6557" w:rsidRPr="007806E5" w:rsidRDefault="00FE6557" w:rsidP="00FE6557">
      <w:pPr>
        <w:pStyle w:val="VCAAbody"/>
        <w:rPr>
          <w:rFonts w:ascii="Arial" w:hAnsi="Arial"/>
          <w:sz w:val="18"/>
          <w:szCs w:val="18"/>
          <w:lang w:eastAsia="en-AU"/>
        </w:rPr>
      </w:pPr>
      <w:r w:rsidRPr="3856EBCD">
        <w:rPr>
          <w:rFonts w:ascii="Arial" w:hAnsi="Arial"/>
          <w:sz w:val="18"/>
          <w:szCs w:val="18"/>
          <w:lang w:eastAsia="en-AU"/>
        </w:rPr>
        <w:t>Some restrictions may be placed on the employee’s decision-making capacity where a private interest intersects with their public duties. For example:</w:t>
      </w:r>
    </w:p>
    <w:p w14:paraId="75490BF6" w14:textId="55D8B7D0" w:rsidR="00FE6557" w:rsidRPr="007806E5" w:rsidRDefault="008B1103" w:rsidP="00FE6557">
      <w:pPr>
        <w:pStyle w:val="VCAAbody"/>
        <w:numPr>
          <w:ilvl w:val="0"/>
          <w:numId w:val="40"/>
        </w:numPr>
        <w:rPr>
          <w:rFonts w:ascii="Arial" w:hAnsi="Arial"/>
          <w:sz w:val="18"/>
          <w:szCs w:val="20"/>
          <w:lang w:val="en" w:eastAsia="en-AU"/>
        </w:rPr>
      </w:pPr>
      <w:r>
        <w:rPr>
          <w:rFonts w:ascii="Arial" w:hAnsi="Arial"/>
          <w:sz w:val="18"/>
          <w:szCs w:val="20"/>
          <w:lang w:val="en" w:eastAsia="en-AU"/>
        </w:rPr>
        <w:t>l</w:t>
      </w:r>
      <w:r w:rsidR="00FE6557" w:rsidRPr="007806E5">
        <w:rPr>
          <w:rFonts w:ascii="Arial" w:hAnsi="Arial"/>
          <w:sz w:val="18"/>
          <w:szCs w:val="20"/>
          <w:lang w:val="en" w:eastAsia="en-AU"/>
        </w:rPr>
        <w:t>imiting involvement in discussions relating to the private interest to observation-only</w:t>
      </w:r>
    </w:p>
    <w:p w14:paraId="0E5CC98B" w14:textId="76109A53" w:rsidR="00FE6557" w:rsidRPr="007806E5" w:rsidRDefault="008B1103" w:rsidP="00FE6557">
      <w:pPr>
        <w:pStyle w:val="VCAAbody"/>
        <w:numPr>
          <w:ilvl w:val="0"/>
          <w:numId w:val="40"/>
        </w:numPr>
        <w:rPr>
          <w:rFonts w:ascii="Arial" w:hAnsi="Arial"/>
          <w:sz w:val="18"/>
          <w:szCs w:val="20"/>
          <w:lang w:val="en" w:eastAsia="en-AU"/>
        </w:rPr>
      </w:pPr>
      <w:r>
        <w:rPr>
          <w:rFonts w:ascii="Arial" w:hAnsi="Arial"/>
          <w:sz w:val="18"/>
          <w:szCs w:val="20"/>
          <w:lang w:val="en" w:eastAsia="en-AU"/>
        </w:rPr>
        <w:t>r</w:t>
      </w:r>
      <w:r w:rsidR="00FE6557" w:rsidRPr="007806E5">
        <w:rPr>
          <w:rFonts w:ascii="Arial" w:hAnsi="Arial"/>
          <w:sz w:val="18"/>
          <w:szCs w:val="20"/>
          <w:lang w:val="en" w:eastAsia="en-AU"/>
        </w:rPr>
        <w:t>estricting access to available information about matters that intersect with a private interest.</w:t>
      </w:r>
    </w:p>
    <w:p w14:paraId="18AC7FA3" w14:textId="77777777" w:rsidR="00FE6557" w:rsidRPr="007806E5" w:rsidRDefault="00FE6557" w:rsidP="00FE6557">
      <w:pPr>
        <w:pStyle w:val="VCAAbody"/>
        <w:rPr>
          <w:rFonts w:ascii="Arial" w:hAnsi="Arial"/>
          <w:sz w:val="18"/>
          <w:szCs w:val="20"/>
          <w:lang w:val="en" w:eastAsia="en-AU"/>
        </w:rPr>
      </w:pPr>
      <w:r w:rsidRPr="007806E5">
        <w:rPr>
          <w:rFonts w:ascii="Arial" w:hAnsi="Arial"/>
          <w:sz w:val="18"/>
          <w:szCs w:val="20"/>
          <w:lang w:val="en" w:eastAsia="en-AU"/>
        </w:rPr>
        <w:lastRenderedPageBreak/>
        <w:t>The use of the restriction strategy may still allow involvement in implementation of decisions made by others that relate to the conflicted duties.</w:t>
      </w:r>
    </w:p>
    <w:p w14:paraId="2CA95526" w14:textId="77777777" w:rsidR="00FE6557" w:rsidRPr="007806E5" w:rsidRDefault="00FE6557" w:rsidP="00FE6557">
      <w:pPr>
        <w:pStyle w:val="VCAAbody"/>
        <w:rPr>
          <w:rFonts w:ascii="Arial" w:hAnsi="Arial"/>
          <w:b/>
          <w:bCs/>
          <w:sz w:val="18"/>
          <w:szCs w:val="20"/>
          <w:lang w:val="en" w:eastAsia="en-AU"/>
        </w:rPr>
      </w:pPr>
      <w:r w:rsidRPr="007806E5">
        <w:rPr>
          <w:rFonts w:ascii="Arial" w:hAnsi="Arial"/>
          <w:b/>
          <w:bCs/>
          <w:sz w:val="18"/>
          <w:szCs w:val="20"/>
          <w:lang w:val="en" w:eastAsia="en-AU"/>
        </w:rPr>
        <w:t>Remove</w:t>
      </w:r>
    </w:p>
    <w:p w14:paraId="773470D6" w14:textId="129986EB" w:rsidR="00FE6557" w:rsidRPr="007806E5" w:rsidRDefault="00FE6557" w:rsidP="00FE6557">
      <w:pPr>
        <w:pStyle w:val="VCAAbody"/>
        <w:rPr>
          <w:rFonts w:ascii="Arial" w:hAnsi="Arial"/>
          <w:sz w:val="18"/>
          <w:szCs w:val="18"/>
          <w:lang w:eastAsia="en-AU"/>
        </w:rPr>
      </w:pPr>
      <w:r w:rsidRPr="3856EBCD">
        <w:rPr>
          <w:rFonts w:ascii="Arial" w:hAnsi="Arial"/>
          <w:sz w:val="18"/>
          <w:szCs w:val="18"/>
          <w:lang w:eastAsia="en-AU"/>
        </w:rPr>
        <w:t>A</w:t>
      </w:r>
      <w:r w:rsidR="00FF4ED5">
        <w:rPr>
          <w:rFonts w:ascii="Arial" w:hAnsi="Arial"/>
          <w:sz w:val="18"/>
          <w:szCs w:val="18"/>
          <w:lang w:eastAsia="en-AU"/>
        </w:rPr>
        <w:t>n</w:t>
      </w:r>
      <w:r w:rsidRPr="3856EBCD">
        <w:rPr>
          <w:rFonts w:ascii="Arial" w:hAnsi="Arial"/>
          <w:sz w:val="18"/>
          <w:szCs w:val="18"/>
          <w:lang w:eastAsia="en-AU"/>
        </w:rPr>
        <w:t xml:space="preserve"> employee</w:t>
      </w:r>
      <w:r w:rsidR="00FF4ED5">
        <w:rPr>
          <w:rFonts w:ascii="Arial" w:hAnsi="Arial"/>
          <w:sz w:val="18"/>
          <w:szCs w:val="18"/>
          <w:lang w:eastAsia="en-AU"/>
        </w:rPr>
        <w:t xml:space="preserve"> faced with a COI</w:t>
      </w:r>
      <w:r w:rsidRPr="3856EBCD">
        <w:rPr>
          <w:rFonts w:ascii="Arial" w:hAnsi="Arial"/>
          <w:sz w:val="18"/>
          <w:szCs w:val="18"/>
          <w:lang w:eastAsia="en-AU"/>
        </w:rPr>
        <w:t xml:space="preserve"> is completely removed from any involvement or performance of duties relating to the subject matter of the conflict. This may include </w:t>
      </w:r>
      <w:r w:rsidR="00FF4ED5">
        <w:rPr>
          <w:rFonts w:ascii="Arial" w:hAnsi="Arial"/>
          <w:sz w:val="18"/>
          <w:szCs w:val="18"/>
          <w:lang w:eastAsia="en-AU"/>
        </w:rPr>
        <w:t>removing</w:t>
      </w:r>
      <w:r w:rsidRPr="3856EBCD">
        <w:rPr>
          <w:rFonts w:ascii="Arial" w:hAnsi="Arial"/>
          <w:sz w:val="18"/>
          <w:szCs w:val="18"/>
          <w:lang w:eastAsia="en-AU"/>
        </w:rPr>
        <w:t>:</w:t>
      </w:r>
    </w:p>
    <w:p w14:paraId="31D9C05F" w14:textId="26D99BD9" w:rsidR="00FE6557" w:rsidRPr="007806E5" w:rsidRDefault="00FE6557" w:rsidP="00FE6557">
      <w:pPr>
        <w:pStyle w:val="VCAAbody"/>
        <w:numPr>
          <w:ilvl w:val="0"/>
          <w:numId w:val="41"/>
        </w:numPr>
        <w:rPr>
          <w:rFonts w:ascii="Arial" w:hAnsi="Arial"/>
          <w:sz w:val="18"/>
          <w:szCs w:val="20"/>
          <w:lang w:val="en" w:eastAsia="en-AU"/>
        </w:rPr>
      </w:pPr>
      <w:r w:rsidRPr="007806E5">
        <w:rPr>
          <w:rFonts w:ascii="Arial" w:hAnsi="Arial"/>
          <w:sz w:val="18"/>
          <w:szCs w:val="20"/>
          <w:lang w:val="en" w:eastAsia="en-AU"/>
        </w:rPr>
        <w:t>all decision-making responsibility relating to the matter</w:t>
      </w:r>
    </w:p>
    <w:p w14:paraId="09B5D54E" w14:textId="053C8956" w:rsidR="00FE6557" w:rsidRPr="007806E5" w:rsidRDefault="00FE6557" w:rsidP="00FE6557">
      <w:pPr>
        <w:pStyle w:val="VCAAbody"/>
        <w:numPr>
          <w:ilvl w:val="0"/>
          <w:numId w:val="41"/>
        </w:numPr>
        <w:rPr>
          <w:rFonts w:ascii="Arial" w:hAnsi="Arial"/>
          <w:sz w:val="18"/>
          <w:szCs w:val="20"/>
          <w:lang w:val="en" w:eastAsia="en-AU"/>
        </w:rPr>
      </w:pPr>
      <w:r w:rsidRPr="007806E5">
        <w:rPr>
          <w:rFonts w:ascii="Arial" w:hAnsi="Arial"/>
          <w:sz w:val="18"/>
          <w:szCs w:val="20"/>
          <w:lang w:val="en" w:eastAsia="en-AU"/>
        </w:rPr>
        <w:t>any opportunity to influence decision-making or considerations of others relating to the matter</w:t>
      </w:r>
    </w:p>
    <w:p w14:paraId="1FC4CE2E" w14:textId="77777777" w:rsidR="00FE6557" w:rsidRPr="007806E5" w:rsidRDefault="00FE6557" w:rsidP="00FE6557">
      <w:pPr>
        <w:pStyle w:val="VCAAbody"/>
        <w:numPr>
          <w:ilvl w:val="0"/>
          <w:numId w:val="41"/>
        </w:numPr>
        <w:rPr>
          <w:rFonts w:ascii="Arial" w:hAnsi="Arial"/>
          <w:sz w:val="18"/>
          <w:szCs w:val="20"/>
          <w:lang w:val="en" w:eastAsia="en-AU"/>
        </w:rPr>
      </w:pPr>
      <w:r w:rsidRPr="007806E5">
        <w:rPr>
          <w:rFonts w:ascii="Arial" w:hAnsi="Arial"/>
          <w:sz w:val="18"/>
          <w:szCs w:val="20"/>
          <w:lang w:val="en" w:eastAsia="en-AU"/>
        </w:rPr>
        <w:t>ability to access information about the matter, including participation in discussions and access to documents.</w:t>
      </w:r>
    </w:p>
    <w:p w14:paraId="5C268111" w14:textId="77777777" w:rsidR="00FE6557" w:rsidRPr="007806E5" w:rsidRDefault="00FE6557" w:rsidP="00FE6557">
      <w:pPr>
        <w:pStyle w:val="VCAAbody"/>
        <w:rPr>
          <w:rFonts w:ascii="Arial" w:hAnsi="Arial"/>
          <w:b/>
          <w:bCs/>
          <w:sz w:val="18"/>
          <w:szCs w:val="20"/>
          <w:lang w:val="en" w:eastAsia="en-AU"/>
        </w:rPr>
      </w:pPr>
      <w:r w:rsidRPr="007806E5">
        <w:rPr>
          <w:rFonts w:ascii="Arial" w:hAnsi="Arial"/>
          <w:b/>
          <w:bCs/>
          <w:sz w:val="18"/>
          <w:szCs w:val="20"/>
          <w:lang w:val="en" w:eastAsia="en-AU"/>
        </w:rPr>
        <w:t>Resolve</w:t>
      </w:r>
    </w:p>
    <w:p w14:paraId="4C325885" w14:textId="2F61EC5E" w:rsidR="00FE6557" w:rsidRPr="007806E5" w:rsidRDefault="00FE6557" w:rsidP="00FE6557">
      <w:pPr>
        <w:pStyle w:val="VCAAbody"/>
        <w:rPr>
          <w:rFonts w:ascii="Arial" w:hAnsi="Arial"/>
          <w:sz w:val="18"/>
          <w:szCs w:val="18"/>
          <w:lang w:eastAsia="en-AU"/>
        </w:rPr>
      </w:pPr>
      <w:r w:rsidRPr="79E3465B">
        <w:rPr>
          <w:rFonts w:ascii="Arial" w:hAnsi="Arial"/>
          <w:sz w:val="18"/>
          <w:szCs w:val="18"/>
          <w:lang w:eastAsia="en-AU"/>
        </w:rPr>
        <w:t xml:space="preserve">Sometimes, a COI </w:t>
      </w:r>
      <w:r w:rsidR="749F2337" w:rsidRPr="79E3465B">
        <w:rPr>
          <w:rFonts w:ascii="Arial" w:hAnsi="Arial"/>
          <w:sz w:val="18"/>
          <w:szCs w:val="18"/>
          <w:lang w:eastAsia="en-AU"/>
        </w:rPr>
        <w:t>cannot</w:t>
      </w:r>
      <w:r w:rsidRPr="79E3465B">
        <w:rPr>
          <w:rFonts w:ascii="Arial" w:hAnsi="Arial"/>
          <w:sz w:val="18"/>
          <w:szCs w:val="18"/>
          <w:lang w:eastAsia="en-AU"/>
        </w:rPr>
        <w:t xml:space="preserve"> adequately </w:t>
      </w:r>
      <w:r w:rsidR="1AA435BE" w:rsidRPr="79E3465B">
        <w:rPr>
          <w:rFonts w:ascii="Arial" w:hAnsi="Arial"/>
          <w:sz w:val="18"/>
          <w:szCs w:val="18"/>
          <w:lang w:eastAsia="en-AU"/>
        </w:rPr>
        <w:t>manage</w:t>
      </w:r>
      <w:r w:rsidRPr="79E3465B">
        <w:rPr>
          <w:rFonts w:ascii="Arial" w:hAnsi="Arial"/>
          <w:sz w:val="18"/>
          <w:szCs w:val="18"/>
          <w:lang w:eastAsia="en-AU"/>
        </w:rPr>
        <w:t xml:space="preserve"> to mitigate the risk to the public interest.</w:t>
      </w:r>
    </w:p>
    <w:p w14:paraId="427ABD02" w14:textId="77777777" w:rsidR="00FE6557" w:rsidRPr="007806E5" w:rsidRDefault="00FE6557" w:rsidP="00FE6557">
      <w:pPr>
        <w:pStyle w:val="VCAAbody"/>
        <w:rPr>
          <w:rFonts w:ascii="Arial" w:hAnsi="Arial"/>
          <w:sz w:val="18"/>
          <w:szCs w:val="20"/>
          <w:lang w:val="en" w:eastAsia="en-AU"/>
        </w:rPr>
      </w:pPr>
      <w:r w:rsidRPr="007806E5">
        <w:rPr>
          <w:rFonts w:ascii="Arial" w:hAnsi="Arial"/>
          <w:sz w:val="18"/>
          <w:szCs w:val="20"/>
          <w:lang w:val="en" w:eastAsia="en-AU"/>
        </w:rPr>
        <w:t>In these cases, it may be necessary for:</w:t>
      </w:r>
    </w:p>
    <w:p w14:paraId="79B1D5A2" w14:textId="77777777" w:rsidR="00FE6557" w:rsidRPr="007806E5" w:rsidRDefault="00FE6557" w:rsidP="00FE6557">
      <w:pPr>
        <w:pStyle w:val="VCAAbody"/>
        <w:numPr>
          <w:ilvl w:val="0"/>
          <w:numId w:val="42"/>
        </w:numPr>
        <w:rPr>
          <w:rFonts w:ascii="Arial" w:hAnsi="Arial"/>
          <w:sz w:val="18"/>
          <w:szCs w:val="20"/>
          <w:lang w:val="en" w:eastAsia="en-AU"/>
        </w:rPr>
      </w:pPr>
      <w:r w:rsidRPr="007806E5">
        <w:rPr>
          <w:rFonts w:ascii="Arial" w:hAnsi="Arial"/>
          <w:sz w:val="18"/>
          <w:szCs w:val="20"/>
          <w:lang w:val="en" w:eastAsia="en-AU"/>
        </w:rPr>
        <w:t>the employee to remove their private interest (where possible to do so)</w:t>
      </w:r>
    </w:p>
    <w:p w14:paraId="365D94E0" w14:textId="77777777" w:rsidR="00FE6557" w:rsidRPr="007806E5" w:rsidRDefault="00FE6557" w:rsidP="00FE6557">
      <w:pPr>
        <w:pStyle w:val="VCAAbody"/>
        <w:numPr>
          <w:ilvl w:val="0"/>
          <w:numId w:val="42"/>
        </w:numPr>
        <w:rPr>
          <w:rFonts w:ascii="Arial" w:hAnsi="Arial"/>
          <w:sz w:val="18"/>
          <w:szCs w:val="20"/>
          <w:lang w:val="en" w:eastAsia="en-AU"/>
        </w:rPr>
      </w:pPr>
      <w:r w:rsidRPr="007806E5">
        <w:rPr>
          <w:rFonts w:ascii="Arial" w:hAnsi="Arial"/>
          <w:sz w:val="18"/>
          <w:szCs w:val="20"/>
          <w:lang w:val="en" w:eastAsia="en-AU"/>
        </w:rPr>
        <w:t>the manager to explore alternative resolutions to mitigate the risk posed by the conflict.</w:t>
      </w:r>
    </w:p>
    <w:p w14:paraId="3F2513F1" w14:textId="77777777" w:rsidR="00FE6557" w:rsidRDefault="00FE6557" w:rsidP="00FE6557">
      <w:pPr>
        <w:pStyle w:val="VCAAHeading5"/>
        <w:numPr>
          <w:ilvl w:val="1"/>
          <w:numId w:val="22"/>
        </w:numPr>
        <w:spacing w:line="276" w:lineRule="auto"/>
        <w:jc w:val="both"/>
      </w:pPr>
      <w:bookmarkStart w:id="50" w:name="_Toc170825941"/>
      <w:bookmarkStart w:id="51" w:name="_Toc173413866"/>
      <w:r>
        <w:t>Declaration of private interests</w:t>
      </w:r>
      <w:bookmarkEnd w:id="50"/>
      <w:bookmarkEnd w:id="51"/>
    </w:p>
    <w:p w14:paraId="0C7AD1BB" w14:textId="6D864628" w:rsidR="00FE6557" w:rsidRPr="00C26F81" w:rsidRDefault="00FE6557" w:rsidP="00FE6557">
      <w:pPr>
        <w:pStyle w:val="VCAAbody"/>
        <w:rPr>
          <w:rFonts w:ascii="Arial" w:hAnsi="Arial"/>
          <w:sz w:val="18"/>
          <w:szCs w:val="18"/>
          <w:lang w:eastAsia="en-AU"/>
        </w:rPr>
      </w:pPr>
      <w:r w:rsidRPr="3856EBCD">
        <w:rPr>
          <w:rFonts w:ascii="Arial" w:hAnsi="Arial"/>
          <w:sz w:val="18"/>
          <w:szCs w:val="18"/>
          <w:lang w:eastAsia="en-AU"/>
        </w:rPr>
        <w:t xml:space="preserve">In addition to their obligations under this policy to identify, declare and manage COI, certain employees are required to also complete the </w:t>
      </w:r>
      <w:r w:rsidR="00FF4ED5">
        <w:rPr>
          <w:rFonts w:ascii="Arial" w:hAnsi="Arial"/>
          <w:sz w:val="18"/>
          <w:szCs w:val="18"/>
          <w:lang w:eastAsia="en-AU"/>
        </w:rPr>
        <w:t>d</w:t>
      </w:r>
      <w:r w:rsidRPr="3856EBCD">
        <w:rPr>
          <w:rFonts w:ascii="Arial" w:hAnsi="Arial"/>
          <w:sz w:val="18"/>
          <w:szCs w:val="18"/>
          <w:lang w:eastAsia="en-AU"/>
        </w:rPr>
        <w:t xml:space="preserve">eclaration of </w:t>
      </w:r>
      <w:r w:rsidR="00FF4ED5">
        <w:rPr>
          <w:rFonts w:ascii="Arial" w:hAnsi="Arial"/>
          <w:sz w:val="18"/>
          <w:szCs w:val="18"/>
          <w:lang w:eastAsia="en-AU"/>
        </w:rPr>
        <w:t>p</w:t>
      </w:r>
      <w:r w:rsidRPr="3856EBCD">
        <w:rPr>
          <w:rFonts w:ascii="Arial" w:hAnsi="Arial"/>
          <w:sz w:val="18"/>
          <w:szCs w:val="18"/>
          <w:lang w:eastAsia="en-AU"/>
        </w:rPr>
        <w:t xml:space="preserve">rivate </w:t>
      </w:r>
      <w:r w:rsidR="00FF4ED5">
        <w:rPr>
          <w:rFonts w:ascii="Arial" w:hAnsi="Arial"/>
          <w:sz w:val="18"/>
          <w:szCs w:val="18"/>
          <w:lang w:eastAsia="en-AU"/>
        </w:rPr>
        <w:t>i</w:t>
      </w:r>
      <w:r w:rsidRPr="3856EBCD">
        <w:rPr>
          <w:rFonts w:ascii="Arial" w:hAnsi="Arial"/>
          <w:sz w:val="18"/>
          <w:szCs w:val="18"/>
          <w:lang w:eastAsia="en-AU"/>
        </w:rPr>
        <w:t xml:space="preserve">nterest (DOPI) form on </w:t>
      </w:r>
      <w:proofErr w:type="spellStart"/>
      <w:r w:rsidRPr="3856EBCD">
        <w:rPr>
          <w:rFonts w:ascii="Arial" w:hAnsi="Arial"/>
          <w:sz w:val="18"/>
          <w:szCs w:val="18"/>
          <w:lang w:eastAsia="en-AU"/>
        </w:rPr>
        <w:t>eduPay</w:t>
      </w:r>
      <w:proofErr w:type="spellEnd"/>
      <w:r w:rsidRPr="3856EBCD">
        <w:rPr>
          <w:rFonts w:ascii="Arial" w:hAnsi="Arial"/>
          <w:sz w:val="18"/>
          <w:szCs w:val="18"/>
          <w:lang w:eastAsia="en-AU"/>
        </w:rPr>
        <w:t>.</w:t>
      </w:r>
    </w:p>
    <w:p w14:paraId="5ECCA9DB" w14:textId="77777777" w:rsidR="00FE6557" w:rsidRPr="00C26F81" w:rsidRDefault="00FE6557" w:rsidP="00FE6557">
      <w:pPr>
        <w:pStyle w:val="VCAAbody"/>
        <w:rPr>
          <w:rFonts w:ascii="Arial" w:hAnsi="Arial"/>
          <w:sz w:val="18"/>
          <w:szCs w:val="20"/>
          <w:lang w:val="en" w:eastAsia="en-AU"/>
        </w:rPr>
      </w:pPr>
      <w:r w:rsidRPr="00C26F81">
        <w:rPr>
          <w:rFonts w:ascii="Arial" w:hAnsi="Arial"/>
          <w:sz w:val="18"/>
          <w:szCs w:val="20"/>
          <w:lang w:val="en" w:eastAsia="en-AU"/>
        </w:rPr>
        <w:t>The following employees must complete a DOPI:</w:t>
      </w:r>
    </w:p>
    <w:p w14:paraId="6C9D15DD" w14:textId="533E4B9D" w:rsidR="00FE6557" w:rsidRPr="00C26F81" w:rsidRDefault="003C0381" w:rsidP="00FE6557">
      <w:pPr>
        <w:pStyle w:val="VCAAbody"/>
        <w:numPr>
          <w:ilvl w:val="0"/>
          <w:numId w:val="43"/>
        </w:numPr>
        <w:rPr>
          <w:rFonts w:ascii="Arial" w:hAnsi="Arial"/>
          <w:sz w:val="18"/>
          <w:szCs w:val="20"/>
          <w:lang w:val="en" w:eastAsia="en-AU"/>
        </w:rPr>
      </w:pPr>
      <w:r>
        <w:rPr>
          <w:rFonts w:ascii="Arial" w:hAnsi="Arial"/>
          <w:sz w:val="18"/>
          <w:szCs w:val="20"/>
          <w:lang w:val="en" w:eastAsia="en-AU"/>
        </w:rPr>
        <w:t>p</w:t>
      </w:r>
      <w:r w:rsidR="00FE6557" w:rsidRPr="00C26F81">
        <w:rPr>
          <w:rFonts w:ascii="Arial" w:hAnsi="Arial"/>
          <w:sz w:val="18"/>
          <w:szCs w:val="20"/>
          <w:lang w:val="en" w:eastAsia="en-AU"/>
        </w:rPr>
        <w:t>ublic entity board appointees</w:t>
      </w:r>
    </w:p>
    <w:p w14:paraId="615CC149" w14:textId="17E7B335" w:rsidR="00FE6557" w:rsidRPr="00C26F81" w:rsidRDefault="003C0381" w:rsidP="00FE6557">
      <w:pPr>
        <w:pStyle w:val="VCAAbody"/>
        <w:numPr>
          <w:ilvl w:val="0"/>
          <w:numId w:val="43"/>
        </w:numPr>
        <w:rPr>
          <w:rFonts w:ascii="Arial" w:hAnsi="Arial"/>
          <w:sz w:val="18"/>
          <w:szCs w:val="20"/>
          <w:lang w:val="en" w:eastAsia="en-AU"/>
        </w:rPr>
      </w:pPr>
      <w:r>
        <w:rPr>
          <w:rFonts w:ascii="Arial" w:hAnsi="Arial"/>
          <w:sz w:val="18"/>
          <w:szCs w:val="20"/>
          <w:lang w:val="en" w:eastAsia="en-AU"/>
        </w:rPr>
        <w:t>e</w:t>
      </w:r>
      <w:r w:rsidR="00FE6557" w:rsidRPr="00C26F81">
        <w:rPr>
          <w:rFonts w:ascii="Arial" w:hAnsi="Arial"/>
          <w:sz w:val="18"/>
          <w:szCs w:val="20"/>
          <w:lang w:val="en" w:eastAsia="en-AU"/>
        </w:rPr>
        <w:t>mployees holding a financial delegation of $20,000 or more</w:t>
      </w:r>
    </w:p>
    <w:p w14:paraId="3E6FED0E" w14:textId="2ED2C4AF" w:rsidR="00FE6557" w:rsidRPr="00A55193" w:rsidRDefault="003C0381" w:rsidP="00FE6557">
      <w:pPr>
        <w:pStyle w:val="VCAAbody"/>
        <w:numPr>
          <w:ilvl w:val="0"/>
          <w:numId w:val="43"/>
        </w:numPr>
        <w:rPr>
          <w:rFonts w:ascii="Arial" w:hAnsi="Arial"/>
          <w:sz w:val="18"/>
          <w:szCs w:val="18"/>
          <w:lang w:eastAsia="en-AU"/>
        </w:rPr>
      </w:pPr>
      <w:r>
        <w:rPr>
          <w:rFonts w:ascii="Arial" w:hAnsi="Arial"/>
          <w:sz w:val="18"/>
          <w:szCs w:val="18"/>
          <w:lang w:eastAsia="en-AU"/>
        </w:rPr>
        <w:t>e</w:t>
      </w:r>
      <w:r w:rsidR="00FE6557" w:rsidRPr="3856EBCD">
        <w:rPr>
          <w:rFonts w:ascii="Arial" w:hAnsi="Arial"/>
          <w:sz w:val="18"/>
          <w:szCs w:val="18"/>
          <w:lang w:eastAsia="en-AU"/>
        </w:rPr>
        <w:t>mployees directed to do so by their manager in recognition of a high COI risk due to a private interest they hold, or a work duty they perform.</w:t>
      </w:r>
    </w:p>
    <w:p w14:paraId="66E5FC43" w14:textId="77777777" w:rsidR="00FE6557" w:rsidRPr="00C26F81" w:rsidRDefault="00FE6557" w:rsidP="00FE6557">
      <w:pPr>
        <w:pStyle w:val="VCAAbody"/>
        <w:rPr>
          <w:rFonts w:ascii="Arial" w:hAnsi="Arial"/>
          <w:sz w:val="18"/>
          <w:szCs w:val="20"/>
          <w:lang w:val="en" w:eastAsia="en-AU"/>
        </w:rPr>
      </w:pPr>
      <w:r w:rsidRPr="00C26F81">
        <w:rPr>
          <w:rFonts w:ascii="Arial" w:hAnsi="Arial"/>
          <w:sz w:val="18"/>
          <w:szCs w:val="20"/>
          <w:lang w:val="en" w:eastAsia="en-AU"/>
        </w:rPr>
        <w:t xml:space="preserve">These designated employees must complete </w:t>
      </w:r>
      <w:r>
        <w:rPr>
          <w:rFonts w:ascii="Arial" w:hAnsi="Arial"/>
          <w:sz w:val="18"/>
          <w:szCs w:val="20"/>
          <w:lang w:val="en" w:eastAsia="en-AU"/>
        </w:rPr>
        <w:t xml:space="preserve">and/or review </w:t>
      </w:r>
      <w:r w:rsidRPr="00C26F81">
        <w:rPr>
          <w:rFonts w:ascii="Arial" w:hAnsi="Arial"/>
          <w:sz w:val="18"/>
          <w:szCs w:val="20"/>
          <w:lang w:val="en" w:eastAsia="en-AU"/>
        </w:rPr>
        <w:t>a DOPI:</w:t>
      </w:r>
    </w:p>
    <w:p w14:paraId="200B8FCD" w14:textId="66D02B8A" w:rsidR="00FE6557" w:rsidRPr="00C26F81" w:rsidRDefault="003C0381" w:rsidP="00FE6557">
      <w:pPr>
        <w:pStyle w:val="VCAAbody"/>
        <w:numPr>
          <w:ilvl w:val="0"/>
          <w:numId w:val="44"/>
        </w:numPr>
        <w:rPr>
          <w:rFonts w:ascii="Arial" w:hAnsi="Arial"/>
          <w:sz w:val="18"/>
          <w:szCs w:val="20"/>
          <w:lang w:val="en" w:eastAsia="en-AU"/>
        </w:rPr>
      </w:pPr>
      <w:r>
        <w:rPr>
          <w:rFonts w:ascii="Arial" w:hAnsi="Arial"/>
          <w:sz w:val="18"/>
          <w:szCs w:val="20"/>
          <w:lang w:val="en" w:eastAsia="en-AU"/>
        </w:rPr>
        <w:t>u</w:t>
      </w:r>
      <w:r w:rsidR="00FE6557" w:rsidRPr="00C26F81">
        <w:rPr>
          <w:rFonts w:ascii="Arial" w:hAnsi="Arial"/>
          <w:sz w:val="18"/>
          <w:szCs w:val="20"/>
          <w:lang w:val="en" w:eastAsia="en-AU"/>
        </w:rPr>
        <w:t>pon appointment to their position</w:t>
      </w:r>
    </w:p>
    <w:p w14:paraId="76986FCE" w14:textId="6FDA01C5" w:rsidR="00FE6557" w:rsidRDefault="003C0381" w:rsidP="00FE6557">
      <w:pPr>
        <w:pStyle w:val="VCAAbody"/>
        <w:numPr>
          <w:ilvl w:val="0"/>
          <w:numId w:val="44"/>
        </w:numPr>
        <w:rPr>
          <w:rFonts w:ascii="Arial" w:hAnsi="Arial"/>
          <w:sz w:val="18"/>
          <w:szCs w:val="20"/>
          <w:lang w:val="en" w:eastAsia="en-AU"/>
        </w:rPr>
      </w:pPr>
      <w:r>
        <w:rPr>
          <w:rFonts w:ascii="Arial" w:hAnsi="Arial"/>
          <w:sz w:val="18"/>
          <w:szCs w:val="20"/>
          <w:lang w:val="en" w:eastAsia="en-AU"/>
        </w:rPr>
        <w:t>i</w:t>
      </w:r>
      <w:r w:rsidR="00FE6557" w:rsidRPr="00C26F81">
        <w:rPr>
          <w:rFonts w:ascii="Arial" w:hAnsi="Arial"/>
          <w:sz w:val="18"/>
          <w:szCs w:val="20"/>
          <w:lang w:val="en" w:eastAsia="en-AU"/>
        </w:rPr>
        <w:t>f there is a change to their private interests, within 5 working days</w:t>
      </w:r>
    </w:p>
    <w:p w14:paraId="510624DA" w14:textId="1982E53E" w:rsidR="00FE6557" w:rsidRPr="00C26F81" w:rsidRDefault="003C0381" w:rsidP="00FE6557">
      <w:pPr>
        <w:pStyle w:val="VCAAbody"/>
        <w:numPr>
          <w:ilvl w:val="0"/>
          <w:numId w:val="44"/>
        </w:numPr>
        <w:rPr>
          <w:rFonts w:ascii="Arial" w:hAnsi="Arial"/>
          <w:sz w:val="18"/>
          <w:szCs w:val="18"/>
          <w:lang w:eastAsia="en-AU"/>
        </w:rPr>
      </w:pPr>
      <w:r>
        <w:rPr>
          <w:rFonts w:ascii="Arial" w:hAnsi="Arial"/>
          <w:sz w:val="18"/>
          <w:szCs w:val="18"/>
          <w:lang w:eastAsia="en-AU"/>
        </w:rPr>
        <w:t>i</w:t>
      </w:r>
      <w:r w:rsidR="00FE6557" w:rsidRPr="3856EBCD">
        <w:rPr>
          <w:rFonts w:ascii="Arial" w:hAnsi="Arial"/>
          <w:sz w:val="18"/>
          <w:szCs w:val="18"/>
          <w:lang w:eastAsia="en-AU"/>
        </w:rPr>
        <w:t xml:space="preserve">f their manager has assessed the situation as warranting declaration </w:t>
      </w:r>
      <w:proofErr w:type="gramStart"/>
      <w:r w:rsidR="00FE6557" w:rsidRPr="3856EBCD">
        <w:rPr>
          <w:rFonts w:ascii="Arial" w:hAnsi="Arial"/>
          <w:sz w:val="18"/>
          <w:szCs w:val="18"/>
          <w:lang w:eastAsia="en-AU"/>
        </w:rPr>
        <w:t>on the basis of</w:t>
      </w:r>
      <w:proofErr w:type="gramEnd"/>
      <w:r w:rsidR="00FE6557" w:rsidRPr="3856EBCD">
        <w:rPr>
          <w:rFonts w:ascii="Arial" w:hAnsi="Arial"/>
          <w:sz w:val="18"/>
          <w:szCs w:val="18"/>
          <w:lang w:eastAsia="en-AU"/>
        </w:rPr>
        <w:t xml:space="preserve"> potential, perceived or actual conflict of interest risk.</w:t>
      </w:r>
    </w:p>
    <w:p w14:paraId="73C09223" w14:textId="77777777" w:rsidR="00FE6557" w:rsidRPr="00C26F81" w:rsidRDefault="00FE6557" w:rsidP="00FE6557">
      <w:pPr>
        <w:pStyle w:val="VCAAbody"/>
        <w:rPr>
          <w:rFonts w:ascii="Arial" w:hAnsi="Arial"/>
          <w:sz w:val="18"/>
          <w:szCs w:val="18"/>
          <w:lang w:eastAsia="en-AU"/>
        </w:rPr>
      </w:pPr>
      <w:r w:rsidRPr="3856EBCD">
        <w:rPr>
          <w:rFonts w:ascii="Arial" w:hAnsi="Arial"/>
          <w:sz w:val="18"/>
          <w:szCs w:val="18"/>
          <w:lang w:eastAsia="en-AU"/>
        </w:rPr>
        <w:t>Managers are required to review the completed DOPI of their direct reports and assess whether any declared private interest would create an actual, potential or perceived conflict with the public duties of the employee.</w:t>
      </w:r>
    </w:p>
    <w:p w14:paraId="3DB34BD7" w14:textId="77777777" w:rsidR="00FE6557" w:rsidRPr="00C26F81" w:rsidRDefault="00FE6557" w:rsidP="00FE6557">
      <w:pPr>
        <w:pStyle w:val="VCAAbody"/>
        <w:rPr>
          <w:rFonts w:ascii="Arial" w:hAnsi="Arial"/>
          <w:sz w:val="18"/>
          <w:szCs w:val="18"/>
          <w:lang w:eastAsia="en-AU"/>
        </w:rPr>
      </w:pPr>
      <w:r w:rsidRPr="3856EBCD">
        <w:rPr>
          <w:rFonts w:ascii="Arial" w:hAnsi="Arial"/>
          <w:sz w:val="18"/>
          <w:szCs w:val="18"/>
          <w:lang w:eastAsia="en-AU"/>
        </w:rPr>
        <w:t>If a conflict of interest is identified from a DOPI:</w:t>
      </w:r>
    </w:p>
    <w:p w14:paraId="22714C00" w14:textId="4DA14CF8" w:rsidR="00FE6557" w:rsidRPr="00C26F81" w:rsidRDefault="00FE6557" w:rsidP="00FE6557">
      <w:pPr>
        <w:pStyle w:val="VCAAbody"/>
        <w:numPr>
          <w:ilvl w:val="0"/>
          <w:numId w:val="45"/>
        </w:numPr>
        <w:rPr>
          <w:rFonts w:ascii="Arial" w:hAnsi="Arial"/>
          <w:sz w:val="18"/>
          <w:szCs w:val="18"/>
          <w:lang w:eastAsia="en-AU"/>
        </w:rPr>
      </w:pPr>
      <w:r w:rsidRPr="3856EBCD">
        <w:rPr>
          <w:rFonts w:ascii="Arial" w:hAnsi="Arial"/>
          <w:sz w:val="18"/>
          <w:szCs w:val="18"/>
          <w:lang w:eastAsia="en-AU"/>
        </w:rPr>
        <w:t xml:space="preserve">the employee’s manager must note this on the DOPI form in </w:t>
      </w:r>
      <w:proofErr w:type="spellStart"/>
      <w:r w:rsidRPr="3856EBCD">
        <w:rPr>
          <w:rFonts w:ascii="Arial" w:hAnsi="Arial"/>
          <w:sz w:val="18"/>
          <w:szCs w:val="18"/>
          <w:lang w:eastAsia="en-AU"/>
        </w:rPr>
        <w:t>eduPay</w:t>
      </w:r>
      <w:proofErr w:type="spellEnd"/>
    </w:p>
    <w:p w14:paraId="6F7D6E1E" w14:textId="4012B0F1" w:rsidR="00FE6557" w:rsidRPr="00C26F81" w:rsidRDefault="00FE6557" w:rsidP="00FE6557">
      <w:pPr>
        <w:pStyle w:val="VCAAbody"/>
        <w:numPr>
          <w:ilvl w:val="0"/>
          <w:numId w:val="45"/>
        </w:numPr>
        <w:rPr>
          <w:rFonts w:ascii="Arial" w:hAnsi="Arial"/>
          <w:sz w:val="18"/>
          <w:szCs w:val="18"/>
          <w:lang w:eastAsia="en-AU"/>
        </w:rPr>
      </w:pPr>
      <w:r w:rsidRPr="3856EBCD">
        <w:rPr>
          <w:rFonts w:ascii="Arial" w:hAnsi="Arial"/>
          <w:sz w:val="18"/>
          <w:szCs w:val="18"/>
          <w:lang w:eastAsia="en-AU"/>
        </w:rPr>
        <w:t xml:space="preserve">the employee must also complete a COI declaration in </w:t>
      </w:r>
      <w:proofErr w:type="spellStart"/>
      <w:r w:rsidRPr="3856EBCD">
        <w:rPr>
          <w:rFonts w:ascii="Arial" w:hAnsi="Arial"/>
          <w:sz w:val="18"/>
          <w:szCs w:val="18"/>
          <w:lang w:eastAsia="en-AU"/>
        </w:rPr>
        <w:t>eduPay</w:t>
      </w:r>
      <w:proofErr w:type="spellEnd"/>
      <w:r w:rsidRPr="3856EBCD">
        <w:rPr>
          <w:rFonts w:ascii="Arial" w:hAnsi="Arial"/>
          <w:sz w:val="18"/>
          <w:szCs w:val="18"/>
          <w:lang w:eastAsia="en-AU"/>
        </w:rPr>
        <w:t xml:space="preserve"> for their manager’s approval</w:t>
      </w:r>
    </w:p>
    <w:p w14:paraId="39F67819" w14:textId="77777777" w:rsidR="00FE6557" w:rsidRPr="00C26F81" w:rsidRDefault="00FE6557" w:rsidP="00FE6557">
      <w:pPr>
        <w:pStyle w:val="VCAAbody"/>
        <w:numPr>
          <w:ilvl w:val="0"/>
          <w:numId w:val="45"/>
        </w:numPr>
        <w:rPr>
          <w:rFonts w:ascii="Arial" w:hAnsi="Arial"/>
          <w:sz w:val="18"/>
          <w:szCs w:val="18"/>
          <w:lang w:eastAsia="en-AU"/>
        </w:rPr>
      </w:pPr>
      <w:r w:rsidRPr="3856EBCD">
        <w:rPr>
          <w:rFonts w:ascii="Arial" w:hAnsi="Arial"/>
          <w:sz w:val="18"/>
          <w:szCs w:val="18"/>
          <w:lang w:eastAsia="en-AU"/>
        </w:rPr>
        <w:t>the COI must be managed in accordance with this policy.</w:t>
      </w:r>
    </w:p>
    <w:p w14:paraId="3F6A3305" w14:textId="77777777" w:rsidR="00FE6557" w:rsidRPr="00D4543A" w:rsidRDefault="00FE6557" w:rsidP="00FE6557">
      <w:pPr>
        <w:pStyle w:val="VCAAHeading5"/>
        <w:numPr>
          <w:ilvl w:val="1"/>
          <w:numId w:val="22"/>
        </w:numPr>
        <w:spacing w:line="276" w:lineRule="auto"/>
        <w:jc w:val="both"/>
      </w:pPr>
      <w:bookmarkStart w:id="52" w:name="_Toc170825942"/>
      <w:bookmarkStart w:id="53" w:name="_Toc173413867"/>
      <w:r w:rsidRPr="4DB21852">
        <w:rPr>
          <w:lang w:val="en-US"/>
        </w:rPr>
        <w:t xml:space="preserve">Identifying higher </w:t>
      </w:r>
      <w:bookmarkEnd w:id="37"/>
      <w:r w:rsidRPr="4DB21852">
        <w:rPr>
          <w:lang w:val="en-US"/>
        </w:rPr>
        <w:t>risk</w:t>
      </w:r>
      <w:bookmarkEnd w:id="52"/>
      <w:bookmarkEnd w:id="53"/>
    </w:p>
    <w:p w14:paraId="68341BC8" w14:textId="7F93F8A0" w:rsidR="00FE6557" w:rsidRDefault="00FE6557" w:rsidP="00FE6557">
      <w:pPr>
        <w:pStyle w:val="ESBodyText"/>
        <w:spacing w:line="276" w:lineRule="auto"/>
        <w:jc w:val="both"/>
      </w:pPr>
      <w:r w:rsidRPr="004B63A2">
        <w:t>Whil</w:t>
      </w:r>
      <w:r w:rsidR="003C0381">
        <w:t>e</w:t>
      </w:r>
      <w:r w:rsidRPr="004B63A2">
        <w:t xml:space="preserve"> a COI may occur, some functions and activities are considered higher risk than others and may require increased risk mitigation measures from employees.</w:t>
      </w:r>
    </w:p>
    <w:bookmarkStart w:id="54" w:name="_Toc166846501"/>
    <w:bookmarkEnd w:id="54"/>
    <w:p w14:paraId="321AC71C" w14:textId="77777777" w:rsidR="00FE6557" w:rsidRPr="00D4543A" w:rsidRDefault="007818F5" w:rsidP="00FE6557">
      <w:pPr>
        <w:pStyle w:val="ESBodyText"/>
        <w:spacing w:line="276" w:lineRule="auto"/>
        <w:jc w:val="both"/>
        <w:rPr>
          <w:b/>
          <w:bCs/>
        </w:rPr>
      </w:pPr>
      <w:r w:rsidRPr="00D4543A">
        <w:rPr>
          <w:noProof/>
        </w:rPr>
      </w:r>
      <w:r w:rsidR="007818F5" w:rsidRPr="00D4543A">
        <w:rPr>
          <w:noProof/>
        </w:rPr>
        <w:object w:dxaOrig="15181" w:dyaOrig="1751" w14:anchorId="119FC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35pt;height:54.65pt;mso-width-percent:0;mso-height-percent:0;mso-width-percent:0;mso-height-percent:0" o:ole="">
            <v:imagedata r:id="rId23" o:title=""/>
          </v:shape>
          <o:OLEObject Type="Embed" ProgID="Visio.Drawing.15" ShapeID="_x0000_i1025" DrawAspect="Content" ObjectID="_1784026608" r:id="rId24"/>
        </w:object>
      </w:r>
    </w:p>
    <w:p w14:paraId="485555E3" w14:textId="77777777" w:rsidR="00FE6557" w:rsidRDefault="00FE6557" w:rsidP="00FE6557">
      <w:pPr>
        <w:pStyle w:val="ESBodyText"/>
        <w:spacing w:line="276" w:lineRule="auto"/>
        <w:jc w:val="both"/>
      </w:pPr>
      <w:r>
        <w:t>A</w:t>
      </w:r>
      <w:r w:rsidRPr="00D4543A">
        <w:t>reas of high risk include</w:t>
      </w:r>
      <w:r>
        <w:t>:</w:t>
      </w:r>
    </w:p>
    <w:p w14:paraId="0CCCC1B4" w14:textId="77777777" w:rsidR="00FE6557" w:rsidRPr="006B1EFD" w:rsidRDefault="00FE6557" w:rsidP="00FE6557">
      <w:pPr>
        <w:pStyle w:val="ESBodyText"/>
        <w:numPr>
          <w:ilvl w:val="0"/>
          <w:numId w:val="26"/>
        </w:numPr>
        <w:spacing w:line="276" w:lineRule="auto"/>
        <w:jc w:val="both"/>
      </w:pPr>
      <w:r>
        <w:t>r</w:t>
      </w:r>
      <w:r w:rsidRPr="006B1EFD">
        <w:t>ecruitment</w:t>
      </w:r>
    </w:p>
    <w:p w14:paraId="262FE0DF" w14:textId="77777777" w:rsidR="00FE6557" w:rsidRPr="006B1EFD" w:rsidRDefault="00FE6557" w:rsidP="00FE6557">
      <w:pPr>
        <w:pStyle w:val="ESBodyText"/>
        <w:numPr>
          <w:ilvl w:val="0"/>
          <w:numId w:val="26"/>
        </w:numPr>
        <w:spacing w:line="276" w:lineRule="auto"/>
        <w:jc w:val="both"/>
      </w:pPr>
      <w:r>
        <w:t>p</w:t>
      </w:r>
      <w:r w:rsidRPr="006B1EFD">
        <w:t>rocurement</w:t>
      </w:r>
      <w:r>
        <w:t xml:space="preserve"> and </w:t>
      </w:r>
      <w:r w:rsidRPr="006B1EFD">
        <w:t>contract management</w:t>
      </w:r>
    </w:p>
    <w:p w14:paraId="15D2939F" w14:textId="77777777" w:rsidR="00FE6557" w:rsidRPr="004B63A2" w:rsidRDefault="00FE6557" w:rsidP="00FE6557">
      <w:pPr>
        <w:pStyle w:val="ESBodyText"/>
        <w:numPr>
          <w:ilvl w:val="0"/>
          <w:numId w:val="26"/>
        </w:numPr>
        <w:spacing w:line="276" w:lineRule="auto"/>
        <w:jc w:val="both"/>
      </w:pPr>
      <w:r w:rsidRPr="006B1EFD">
        <w:t>internal committee governance</w:t>
      </w:r>
    </w:p>
    <w:p w14:paraId="4A75EE9D" w14:textId="77777777" w:rsidR="00FE6557" w:rsidRDefault="00FE6557" w:rsidP="00FE6557">
      <w:pPr>
        <w:pStyle w:val="ESBodyText"/>
        <w:numPr>
          <w:ilvl w:val="0"/>
          <w:numId w:val="24"/>
        </w:numPr>
        <w:spacing w:line="276" w:lineRule="auto"/>
        <w:jc w:val="both"/>
      </w:pPr>
      <w:r w:rsidRPr="00D4543A">
        <w:t>contractor managemen</w:t>
      </w:r>
      <w:r>
        <w:t>t</w:t>
      </w:r>
    </w:p>
    <w:p w14:paraId="294FCB30" w14:textId="77777777" w:rsidR="00FE6557" w:rsidRDefault="00FE6557" w:rsidP="00FE6557">
      <w:pPr>
        <w:pStyle w:val="ESBodyText"/>
        <w:numPr>
          <w:ilvl w:val="0"/>
          <w:numId w:val="24"/>
        </w:numPr>
        <w:spacing w:line="276" w:lineRule="auto"/>
        <w:jc w:val="both"/>
      </w:pPr>
      <w:r w:rsidRPr="00D4543A">
        <w:t>other work (</w:t>
      </w:r>
      <w:r>
        <w:t xml:space="preserve">primary or irregular </w:t>
      </w:r>
      <w:r w:rsidRPr="00D4543A">
        <w:t>employment)</w:t>
      </w:r>
    </w:p>
    <w:p w14:paraId="7532B538" w14:textId="77777777" w:rsidR="00FE6557" w:rsidRDefault="00FE6557" w:rsidP="00FE6557">
      <w:pPr>
        <w:pStyle w:val="ESBodyText"/>
        <w:numPr>
          <w:ilvl w:val="0"/>
          <w:numId w:val="24"/>
        </w:numPr>
        <w:spacing w:line="276" w:lineRule="auto"/>
        <w:jc w:val="both"/>
      </w:pPr>
      <w:r>
        <w:t>offerings of</w:t>
      </w:r>
      <w:r w:rsidRPr="00D4543A">
        <w:t xml:space="preserve"> gifts</w:t>
      </w:r>
      <w:r>
        <w:t>,</w:t>
      </w:r>
      <w:r w:rsidRPr="00D4543A">
        <w:t xml:space="preserve"> benefits, or hospitality</w:t>
      </w:r>
    </w:p>
    <w:p w14:paraId="355F1BCE" w14:textId="77777777" w:rsidR="00FE6557" w:rsidRDefault="00FE6557" w:rsidP="00FE6557">
      <w:pPr>
        <w:pStyle w:val="ESBodyText"/>
        <w:numPr>
          <w:ilvl w:val="0"/>
          <w:numId w:val="24"/>
        </w:numPr>
        <w:spacing w:line="276" w:lineRule="auto"/>
        <w:jc w:val="both"/>
      </w:pPr>
      <w:r w:rsidRPr="00D4543A">
        <w:t>complaints management and disciplinary processes</w:t>
      </w:r>
    </w:p>
    <w:p w14:paraId="1CBA8E6C" w14:textId="77777777" w:rsidR="00FE6557" w:rsidRPr="00D4543A" w:rsidRDefault="00FE6557" w:rsidP="00FE6557">
      <w:pPr>
        <w:pStyle w:val="ESBodyText"/>
        <w:numPr>
          <w:ilvl w:val="0"/>
          <w:numId w:val="24"/>
        </w:numPr>
        <w:spacing w:line="276" w:lineRule="auto"/>
        <w:jc w:val="both"/>
      </w:pPr>
      <w:r w:rsidRPr="00D4543A">
        <w:t>managing private/public partnerships.</w:t>
      </w:r>
    </w:p>
    <w:p w14:paraId="3BF67DE1" w14:textId="77777777" w:rsidR="00FE6557" w:rsidRPr="00D4543A" w:rsidRDefault="00FE6557" w:rsidP="00FE6557">
      <w:pPr>
        <w:pStyle w:val="ESBodyText"/>
        <w:spacing w:line="276" w:lineRule="auto"/>
        <w:jc w:val="both"/>
      </w:pPr>
      <w:r w:rsidRPr="00D4543A">
        <w:t>Managers undertake some of these functions regularly and therefore need to be particularly aware of the risks.</w:t>
      </w:r>
      <w:r>
        <w:t xml:space="preserve"> </w:t>
      </w:r>
      <w:r w:rsidRPr="00D4543A">
        <w:t>Activities which carry a high risk of COI should be subject to consider</w:t>
      </w:r>
      <w:r>
        <w:t>ation</w:t>
      </w:r>
      <w:r w:rsidRPr="00D4543A">
        <w:t xml:space="preserve"> and systematic scrutiny.</w:t>
      </w:r>
    </w:p>
    <w:p w14:paraId="7A4806DD" w14:textId="1FF5D119" w:rsidR="00FE6557" w:rsidRDefault="00FE6557" w:rsidP="00FE6557">
      <w:pPr>
        <w:pStyle w:val="VCAAHeading5"/>
        <w:numPr>
          <w:ilvl w:val="1"/>
          <w:numId w:val="22"/>
        </w:numPr>
        <w:spacing w:line="276" w:lineRule="auto"/>
        <w:jc w:val="both"/>
      </w:pPr>
      <w:bookmarkStart w:id="55" w:name="_Toc170825943"/>
      <w:bookmarkStart w:id="56" w:name="_Toc173413868"/>
      <w:r w:rsidRPr="00D4543A">
        <w:t xml:space="preserve">Personal </w:t>
      </w:r>
      <w:r w:rsidR="008E0A9E">
        <w:t>r</w:t>
      </w:r>
      <w:r w:rsidRPr="00D4543A">
        <w:t>elationship</w:t>
      </w:r>
      <w:r>
        <w:t>s</w:t>
      </w:r>
      <w:r w:rsidRPr="00D4543A">
        <w:t xml:space="preserve"> in the </w:t>
      </w:r>
      <w:r>
        <w:t>w</w:t>
      </w:r>
      <w:r w:rsidRPr="00D4543A">
        <w:t>orkplace</w:t>
      </w:r>
      <w:bookmarkEnd w:id="55"/>
      <w:bookmarkEnd w:id="56"/>
    </w:p>
    <w:p w14:paraId="383C3C3B" w14:textId="77777777" w:rsidR="00FE6557" w:rsidRPr="002C1ED7" w:rsidRDefault="00FE6557" w:rsidP="00FE6557">
      <w:pPr>
        <w:pStyle w:val="ESBodyText"/>
        <w:spacing w:line="276" w:lineRule="auto"/>
        <w:jc w:val="both"/>
        <w:rPr>
          <w:bCs/>
        </w:rPr>
      </w:pPr>
      <w:r w:rsidRPr="002C1ED7">
        <w:rPr>
          <w:bCs/>
        </w:rPr>
        <w:t>Employees can have personal relationships with each other, as long as both parties are consensual. These relationships are private, meaning they're kept confidential. However, they could lead to conflicts of interest, whether real, potential, or perceived.</w:t>
      </w:r>
    </w:p>
    <w:p w14:paraId="79DF6524" w14:textId="6ACFA6DF" w:rsidR="00FE6557" w:rsidRPr="002C1ED7" w:rsidRDefault="00FE6557" w:rsidP="00FE6557">
      <w:pPr>
        <w:pStyle w:val="ESBodyText"/>
        <w:spacing w:line="276" w:lineRule="auto"/>
        <w:jc w:val="both"/>
        <w:rPr>
          <w:bCs/>
        </w:rPr>
      </w:pPr>
      <w:r w:rsidRPr="002C1ED7">
        <w:rPr>
          <w:bCs/>
        </w:rPr>
        <w:t>If a personal relationship involves people in a direct professional hierarchy (i.e. in the same reporting line, where one person has supervisory or decision</w:t>
      </w:r>
      <w:r w:rsidR="008E0A9E">
        <w:rPr>
          <w:bCs/>
        </w:rPr>
        <w:t>-</w:t>
      </w:r>
      <w:r w:rsidRPr="002C1ED7">
        <w:rPr>
          <w:bCs/>
        </w:rPr>
        <w:t xml:space="preserve">making authority over the other) it could create a conflict of interest. This is especially true for senior leaders. In such cases, the employees must inform their manager or an </w:t>
      </w:r>
      <w:proofErr w:type="spellStart"/>
      <w:r w:rsidRPr="002C1ED7">
        <w:rPr>
          <w:bCs/>
        </w:rPr>
        <w:t>authorised</w:t>
      </w:r>
      <w:proofErr w:type="spellEnd"/>
      <w:r w:rsidRPr="002C1ED7">
        <w:rPr>
          <w:bCs/>
        </w:rPr>
        <w:t xml:space="preserve"> delegate about their relationship. This disclosure helps to manage any potential conflicts of interest. Actions taken could include changing reporting structures temporarily or permanently. It</w:t>
      </w:r>
      <w:r w:rsidR="008E0A9E">
        <w:rPr>
          <w:bCs/>
        </w:rPr>
        <w:t xml:space="preserve"> i</w:t>
      </w:r>
      <w:r w:rsidRPr="002C1ED7">
        <w:rPr>
          <w:bCs/>
        </w:rPr>
        <w:t>s important that any decisions made are fair and don't unfairly affect anyone's job. The severity of the conflict determines how it</w:t>
      </w:r>
      <w:r w:rsidR="008E0A9E">
        <w:rPr>
          <w:bCs/>
        </w:rPr>
        <w:t xml:space="preserve"> i</w:t>
      </w:r>
      <w:r w:rsidRPr="002C1ED7">
        <w:rPr>
          <w:bCs/>
        </w:rPr>
        <w:t>s handled.</w:t>
      </w:r>
    </w:p>
    <w:p w14:paraId="0A3821C0" w14:textId="0766D6B3" w:rsidR="008E0A9E" w:rsidRDefault="00FE6557" w:rsidP="00FE6557">
      <w:pPr>
        <w:pStyle w:val="ESBodyText"/>
        <w:spacing w:line="276" w:lineRule="auto"/>
        <w:jc w:val="both"/>
        <w:rPr>
          <w:bCs/>
        </w:rPr>
      </w:pPr>
      <w:r w:rsidRPr="002C1ED7">
        <w:rPr>
          <w:bCs/>
        </w:rPr>
        <w:t xml:space="preserve">Employees can disclose their personal relationships confidentially to protect their privacy. Only relevant managers or </w:t>
      </w:r>
      <w:proofErr w:type="spellStart"/>
      <w:r w:rsidRPr="002C1ED7">
        <w:rPr>
          <w:bCs/>
        </w:rPr>
        <w:t>authorised</w:t>
      </w:r>
      <w:proofErr w:type="spellEnd"/>
      <w:r w:rsidRPr="002C1ED7">
        <w:rPr>
          <w:bCs/>
        </w:rPr>
        <w:t xml:space="preserve"> individuals will be informed about the conflict of interest and any steps taken to manage it. Everyone involved in these matters must respect the confidentiality and sensitivity of the information shared. Personal details should only be disclosed to those who absolutely need to know.</w:t>
      </w:r>
    </w:p>
    <w:p w14:paraId="0F474FBF" w14:textId="77777777" w:rsidR="008E0A9E" w:rsidRDefault="008E0A9E">
      <w:pPr>
        <w:spacing w:line="276" w:lineRule="auto"/>
        <w:rPr>
          <w:rFonts w:ascii="Arial" w:eastAsiaTheme="minorEastAsia" w:hAnsi="Arial" w:cs="Arial"/>
          <w:bCs/>
          <w:sz w:val="18"/>
          <w:szCs w:val="18"/>
        </w:rPr>
      </w:pPr>
      <w:r>
        <w:rPr>
          <w:bCs/>
        </w:rPr>
        <w:br w:type="page"/>
      </w:r>
    </w:p>
    <w:p w14:paraId="2673660B" w14:textId="77777777" w:rsidR="00FE6557" w:rsidRPr="00D4543A" w:rsidRDefault="00FE6557" w:rsidP="00FE6557">
      <w:pPr>
        <w:pStyle w:val="VCAAHeading5"/>
        <w:numPr>
          <w:ilvl w:val="1"/>
          <w:numId w:val="22"/>
        </w:numPr>
        <w:spacing w:line="276" w:lineRule="auto"/>
        <w:jc w:val="both"/>
      </w:pPr>
      <w:bookmarkStart w:id="57" w:name="_Toc173404408"/>
      <w:bookmarkStart w:id="58" w:name="_Toc170825944"/>
      <w:bookmarkStart w:id="59" w:name="_Toc173413869"/>
      <w:bookmarkEnd w:id="57"/>
      <w:r w:rsidRPr="00D4543A">
        <w:lastRenderedPageBreak/>
        <w:t>Conflict of interest wheel</w:t>
      </w:r>
      <w:bookmarkEnd w:id="58"/>
      <w:bookmarkEnd w:id="59"/>
    </w:p>
    <w:p w14:paraId="341E7CAD" w14:textId="77777777" w:rsidR="00FE6557" w:rsidRDefault="00FE6557" w:rsidP="00FE6557">
      <w:pPr>
        <w:pStyle w:val="ESBodyText"/>
        <w:spacing w:line="276" w:lineRule="auto"/>
        <w:jc w:val="center"/>
      </w:pPr>
      <w:bookmarkStart w:id="60" w:name="_Toc166846502"/>
      <w:r w:rsidRPr="00D4543A">
        <w:rPr>
          <w:noProof/>
          <w:lang w:val="en-AU" w:eastAsia="en-AU"/>
        </w:rPr>
        <w:drawing>
          <wp:inline distT="0" distB="0" distL="0" distR="0" wp14:anchorId="6E832250" wp14:editId="517B4E55">
            <wp:extent cx="4002525" cy="3028620"/>
            <wp:effectExtent l="0" t="0" r="0" b="635"/>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rotWithShape="1">
                    <a:blip r:embed="rId25"/>
                    <a:srcRect l="19236" t="18054" r="20046" b="10592"/>
                    <a:stretch/>
                  </pic:blipFill>
                  <pic:spPr bwMode="auto">
                    <a:xfrm>
                      <a:off x="0" y="0"/>
                      <a:ext cx="4052200" cy="3066208"/>
                    </a:xfrm>
                    <a:prstGeom prst="rect">
                      <a:avLst/>
                    </a:prstGeom>
                    <a:ln>
                      <a:noFill/>
                    </a:ln>
                    <a:extLst>
                      <a:ext uri="{53640926-AAD7-44D8-BBD7-CCE9431645EC}">
                        <a14:shadowObscured xmlns:a14="http://schemas.microsoft.com/office/drawing/2010/main"/>
                      </a:ext>
                    </a:extLst>
                  </pic:spPr>
                </pic:pic>
              </a:graphicData>
            </a:graphic>
          </wp:inline>
        </w:drawing>
      </w:r>
      <w:bookmarkEnd w:id="60"/>
    </w:p>
    <w:p w14:paraId="10A1DA08" w14:textId="77777777" w:rsidR="00FE6557" w:rsidRPr="00D4543A" w:rsidRDefault="00FE6557" w:rsidP="00FE6557">
      <w:pPr>
        <w:pStyle w:val="VCAAHeading5"/>
        <w:numPr>
          <w:ilvl w:val="1"/>
          <w:numId w:val="22"/>
        </w:numPr>
        <w:spacing w:line="276" w:lineRule="auto"/>
        <w:jc w:val="both"/>
      </w:pPr>
      <w:bookmarkStart w:id="61" w:name="_Toc170825945"/>
      <w:bookmarkStart w:id="62" w:name="_Toc173413870"/>
      <w:r>
        <w:t>Breach of this policy</w:t>
      </w:r>
      <w:bookmarkEnd w:id="61"/>
      <w:bookmarkEnd w:id="62"/>
    </w:p>
    <w:p w14:paraId="2C362EF0" w14:textId="77777777" w:rsidR="00FE6557" w:rsidRDefault="00FE6557" w:rsidP="00FE6557">
      <w:pPr>
        <w:pStyle w:val="ESBodyText"/>
        <w:spacing w:line="276" w:lineRule="auto"/>
        <w:jc w:val="both"/>
      </w:pPr>
      <w:r>
        <w:t>Depending on the circumstances of the matter, a</w:t>
      </w:r>
      <w:r w:rsidRPr="00D4543A">
        <w:t xml:space="preserve"> failure to identify, report, address or monitor COI in accordance with this policy could constitute misconduct and could lead to disciplinary action which could</w:t>
      </w:r>
      <w:r>
        <w:t xml:space="preserve"> result in:</w:t>
      </w:r>
    </w:p>
    <w:p w14:paraId="35B37259" w14:textId="77777777" w:rsidR="00FE6557" w:rsidRDefault="00FE6557" w:rsidP="00FE6557">
      <w:pPr>
        <w:pStyle w:val="ESBodyText"/>
        <w:numPr>
          <w:ilvl w:val="0"/>
          <w:numId w:val="46"/>
        </w:numPr>
        <w:spacing w:line="276" w:lineRule="auto"/>
        <w:jc w:val="both"/>
      </w:pPr>
      <w:r>
        <w:t>informal resolutions, including close monitoring, additional education and counselling</w:t>
      </w:r>
    </w:p>
    <w:p w14:paraId="40368CE9" w14:textId="77777777" w:rsidR="00FE6557" w:rsidRDefault="00FE6557" w:rsidP="00FE6557">
      <w:pPr>
        <w:pStyle w:val="ESBodyText"/>
        <w:numPr>
          <w:ilvl w:val="0"/>
          <w:numId w:val="46"/>
        </w:numPr>
        <w:spacing w:line="276" w:lineRule="auto"/>
        <w:jc w:val="both"/>
      </w:pPr>
      <w:r>
        <w:t>performance management</w:t>
      </w:r>
    </w:p>
    <w:p w14:paraId="07C8928D" w14:textId="77777777" w:rsidR="00FE6557" w:rsidRDefault="00FE6557" w:rsidP="00FE6557">
      <w:pPr>
        <w:pStyle w:val="ESBodyText"/>
        <w:numPr>
          <w:ilvl w:val="0"/>
          <w:numId w:val="46"/>
        </w:numPr>
        <w:spacing w:line="276" w:lineRule="auto"/>
        <w:jc w:val="both"/>
      </w:pPr>
      <w:r>
        <w:t>commencement of a misconduct process.</w:t>
      </w:r>
    </w:p>
    <w:p w14:paraId="34AADEC6" w14:textId="77777777" w:rsidR="00FE6557" w:rsidRDefault="00FE6557" w:rsidP="00FE6557">
      <w:pPr>
        <w:pStyle w:val="ESBodyText"/>
        <w:spacing w:line="276" w:lineRule="auto"/>
        <w:jc w:val="both"/>
      </w:pPr>
      <w:r>
        <w:t>Any finding of misconduct that amounts to a breach of the Code of Conduct for Victorian Public Sector Employees can result in termination of employment.</w:t>
      </w:r>
    </w:p>
    <w:p w14:paraId="1A312A93" w14:textId="77777777" w:rsidR="00FE6557" w:rsidRDefault="00FE6557" w:rsidP="00FE6557">
      <w:pPr>
        <w:pStyle w:val="ESBodyText"/>
        <w:spacing w:line="276" w:lineRule="auto"/>
        <w:jc w:val="both"/>
      </w:pPr>
      <w:r>
        <w:t>For serious breaches amounting to allegations of corruption, the matter may be referred to IBAC for investigation.</w:t>
      </w:r>
    </w:p>
    <w:p w14:paraId="6B3AF84E" w14:textId="0BC1215B" w:rsidR="00F4108B" w:rsidRDefault="00FE6557" w:rsidP="00FE6557">
      <w:pPr>
        <w:pStyle w:val="ESBodyText"/>
        <w:spacing w:line="276" w:lineRule="auto"/>
        <w:jc w:val="both"/>
      </w:pPr>
      <w:r>
        <w:t>Should a criminal offence be suspected to have occurred, the matter can also be referred to Victoria Police for investigation.</w:t>
      </w:r>
    </w:p>
    <w:p w14:paraId="0B295CD4" w14:textId="77777777" w:rsidR="00F4108B" w:rsidRDefault="00F4108B">
      <w:pPr>
        <w:spacing w:line="276" w:lineRule="auto"/>
        <w:rPr>
          <w:rFonts w:ascii="Arial" w:eastAsiaTheme="minorEastAsia" w:hAnsi="Arial" w:cs="Arial"/>
          <w:sz w:val="18"/>
          <w:szCs w:val="18"/>
        </w:rPr>
      </w:pPr>
      <w:r>
        <w:br w:type="page"/>
      </w:r>
    </w:p>
    <w:p w14:paraId="5054BD4C" w14:textId="77777777" w:rsidR="00FE6557" w:rsidRDefault="00FE6557" w:rsidP="00FE6557">
      <w:pPr>
        <w:pStyle w:val="VCAAHeading5"/>
        <w:numPr>
          <w:ilvl w:val="1"/>
          <w:numId w:val="22"/>
        </w:numPr>
      </w:pPr>
      <w:bookmarkStart w:id="63" w:name="_Toc173404411"/>
      <w:bookmarkStart w:id="64" w:name="_Toc170825946"/>
      <w:bookmarkStart w:id="65" w:name="_Toc173413871"/>
      <w:bookmarkEnd w:id="63"/>
      <w:r>
        <w:lastRenderedPageBreak/>
        <w:t>Definitions</w:t>
      </w:r>
      <w:bookmarkEnd w:id="64"/>
      <w:bookmarkEnd w:id="65"/>
    </w:p>
    <w:tbl>
      <w:tblPr>
        <w:tblStyle w:val="VCAAopentable"/>
        <w:tblW w:w="9348" w:type="dxa"/>
        <w:tblLook w:val="04A0" w:firstRow="1" w:lastRow="0" w:firstColumn="1" w:lastColumn="0" w:noHBand="0" w:noVBand="1"/>
        <w:tblCaption w:val="Table two"/>
      </w:tblPr>
      <w:tblGrid>
        <w:gridCol w:w="1985"/>
        <w:gridCol w:w="7363"/>
      </w:tblGrid>
      <w:tr w:rsidR="00DA52AB" w:rsidRPr="00DA52AB" w14:paraId="65CE61C5" w14:textId="77777777" w:rsidTr="00F4108B">
        <w:trPr>
          <w:cnfStyle w:val="100000000000" w:firstRow="1" w:lastRow="0" w:firstColumn="0" w:lastColumn="0" w:oddVBand="0" w:evenVBand="0" w:oddHBand="0" w:evenHBand="0" w:firstRowFirstColumn="0" w:firstRowLastColumn="0" w:lastRowFirstColumn="0" w:lastRowLastColumn="0"/>
          <w:trHeight w:val="439"/>
        </w:trPr>
        <w:tc>
          <w:tcPr>
            <w:tcW w:w="1985" w:type="dxa"/>
            <w:hideMark/>
          </w:tcPr>
          <w:p w14:paraId="5DEEFB47" w14:textId="77777777" w:rsidR="00FE6557" w:rsidRPr="00DA52AB" w:rsidRDefault="00FE6557" w:rsidP="0077160E">
            <w:pPr>
              <w:spacing w:line="276" w:lineRule="auto"/>
              <w:jc w:val="both"/>
              <w:textAlignment w:val="baseline"/>
              <w:rPr>
                <w:rFonts w:ascii="Segoe UI" w:eastAsia="Times New Roman" w:hAnsi="Segoe UI" w:cs="Segoe UI"/>
                <w:b w:val="0"/>
                <w:bCs/>
                <w:sz w:val="18"/>
                <w:szCs w:val="18"/>
                <w:lang w:val="en-AU" w:eastAsia="en-AU"/>
              </w:rPr>
            </w:pPr>
            <w:r w:rsidRPr="00DA52AB">
              <w:rPr>
                <w:rFonts w:eastAsia="Times New Roman"/>
                <w:bCs/>
                <w:szCs w:val="20"/>
                <w:lang w:eastAsia="en-AU"/>
              </w:rPr>
              <w:t>Term</w:t>
            </w:r>
          </w:p>
        </w:tc>
        <w:tc>
          <w:tcPr>
            <w:tcW w:w="7363" w:type="dxa"/>
            <w:hideMark/>
          </w:tcPr>
          <w:p w14:paraId="342AB77F" w14:textId="77777777" w:rsidR="00FE6557" w:rsidRPr="00DA52AB" w:rsidRDefault="00FE6557" w:rsidP="0077160E">
            <w:pPr>
              <w:spacing w:line="276" w:lineRule="auto"/>
              <w:jc w:val="both"/>
              <w:textAlignment w:val="baseline"/>
              <w:rPr>
                <w:rFonts w:ascii="Segoe UI" w:eastAsia="Times New Roman" w:hAnsi="Segoe UI" w:cs="Segoe UI"/>
                <w:b w:val="0"/>
                <w:bCs/>
                <w:sz w:val="18"/>
                <w:szCs w:val="18"/>
                <w:lang w:val="en-AU" w:eastAsia="en-AU"/>
              </w:rPr>
            </w:pPr>
            <w:r w:rsidRPr="00DA52AB">
              <w:rPr>
                <w:rFonts w:eastAsia="Times New Roman"/>
                <w:bCs/>
                <w:szCs w:val="20"/>
                <w:lang w:eastAsia="en-AU"/>
              </w:rPr>
              <w:t>Definition</w:t>
            </w:r>
          </w:p>
        </w:tc>
      </w:tr>
      <w:tr w:rsidR="00FE6557" w:rsidRPr="00F92371" w14:paraId="600C4251" w14:textId="77777777" w:rsidTr="007818F5">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3989AC37" w14:textId="6AB5DDF9" w:rsidR="00FE6557" w:rsidRPr="00FC11E2" w:rsidRDefault="00FE6557" w:rsidP="0077160E">
            <w:pPr>
              <w:rPr>
                <w:b/>
                <w:bCs/>
                <w:sz w:val="18"/>
                <w:szCs w:val="18"/>
              </w:rPr>
            </w:pPr>
            <w:r w:rsidRPr="00FC11E2">
              <w:rPr>
                <w:b/>
                <w:bCs/>
                <w:sz w:val="18"/>
                <w:szCs w:val="18"/>
              </w:rPr>
              <w:t xml:space="preserve">Private </w:t>
            </w:r>
            <w:r w:rsidR="008E0A9E">
              <w:rPr>
                <w:b/>
                <w:bCs/>
                <w:sz w:val="18"/>
                <w:szCs w:val="18"/>
              </w:rPr>
              <w:t>i</w:t>
            </w:r>
            <w:r w:rsidRPr="00FC11E2">
              <w:rPr>
                <w:b/>
                <w:bCs/>
                <w:sz w:val="18"/>
                <w:szCs w:val="18"/>
              </w:rPr>
              <w:t>nterests</w:t>
            </w:r>
          </w:p>
        </w:tc>
        <w:tc>
          <w:tcPr>
            <w:tcW w:w="0" w:type="dxa"/>
          </w:tcPr>
          <w:p w14:paraId="71A0982A" w14:textId="77777777" w:rsidR="00FE6557" w:rsidRPr="00FC11E2" w:rsidRDefault="00FE6557" w:rsidP="0077160E">
            <w:pPr>
              <w:pStyle w:val="ESBodyText"/>
              <w:spacing w:after="0" w:line="240" w:lineRule="auto"/>
              <w:jc w:val="both"/>
            </w:pPr>
            <w:r w:rsidRPr="00FC11E2">
              <w:t xml:space="preserve">Private interests are any </w:t>
            </w:r>
            <w:proofErr w:type="gramStart"/>
            <w:r w:rsidRPr="00FC11E2">
              <w:t>interests</w:t>
            </w:r>
            <w:proofErr w:type="gramEnd"/>
            <w:r w:rsidRPr="00FC11E2">
              <w:t xml:space="preserve"> </w:t>
            </w:r>
            <w:r>
              <w:t xml:space="preserve">individuals </w:t>
            </w:r>
            <w:r w:rsidRPr="00FC11E2">
              <w:t>have in their personal life. They can be:</w:t>
            </w:r>
          </w:p>
          <w:p w14:paraId="76D49F62" w14:textId="3C00925C" w:rsidR="00F4108B" w:rsidRPr="008137E1" w:rsidRDefault="00FE6557" w:rsidP="007818F5">
            <w:pPr>
              <w:pStyle w:val="ESBodyText"/>
              <w:numPr>
                <w:ilvl w:val="0"/>
                <w:numId w:val="47"/>
              </w:numPr>
              <w:spacing w:after="0"/>
              <w:ind w:left="316" w:hanging="283"/>
              <w:rPr>
                <w:lang w:val="en-AU"/>
              </w:rPr>
            </w:pPr>
            <w:r w:rsidRPr="007818F5">
              <w:t>Relationships</w:t>
            </w:r>
          </w:p>
          <w:p w14:paraId="79ACA469" w14:textId="77777777" w:rsidR="00FE6557" w:rsidRPr="00D100E2" w:rsidRDefault="00FE6557" w:rsidP="007818F5">
            <w:pPr>
              <w:pStyle w:val="ESBodyText"/>
              <w:spacing w:before="0"/>
              <w:ind w:left="316"/>
              <w:rPr>
                <w:lang w:val="en-AU"/>
              </w:rPr>
            </w:pPr>
            <w:r w:rsidRPr="00D100E2">
              <w:rPr>
                <w:lang w:val="en-AU"/>
              </w:rPr>
              <w:t>Personal relationships can include family members, friends, consensual personal relationships, professional relationships and business relationships. They can also include personal or business rivals or competitors. Personal relationships can sometimes link to the department and its work, for example:</w:t>
            </w:r>
          </w:p>
          <w:p w14:paraId="6F2C5A76" w14:textId="7CFB9C2D" w:rsidR="00FE6557" w:rsidRPr="008137E1" w:rsidRDefault="001E1EF0" w:rsidP="00FE6557">
            <w:pPr>
              <w:pStyle w:val="ESBodyText"/>
              <w:numPr>
                <w:ilvl w:val="0"/>
                <w:numId w:val="35"/>
              </w:numPr>
              <w:spacing w:after="0" w:line="240" w:lineRule="auto"/>
              <w:jc w:val="both"/>
              <w:rPr>
                <w:rFonts w:eastAsia="Calibri"/>
                <w:lang w:val="en-AU"/>
              </w:rPr>
            </w:pPr>
            <w:r>
              <w:rPr>
                <w:rFonts w:eastAsia="Calibri"/>
                <w:lang w:val="en-AU"/>
              </w:rPr>
              <w:t>a</w:t>
            </w:r>
            <w:r w:rsidR="00FE6557" w:rsidRPr="008137E1">
              <w:rPr>
                <w:rFonts w:eastAsia="Calibri"/>
                <w:lang w:val="en-AU"/>
              </w:rPr>
              <w:t xml:space="preserve"> family member who also works within the department or a Victorian government school</w:t>
            </w:r>
          </w:p>
          <w:p w14:paraId="1397468C" w14:textId="5BA3527F" w:rsidR="00FE6557" w:rsidRPr="008137E1" w:rsidRDefault="001E1EF0" w:rsidP="00FE6557">
            <w:pPr>
              <w:pStyle w:val="ESBodyText"/>
              <w:numPr>
                <w:ilvl w:val="0"/>
                <w:numId w:val="35"/>
              </w:numPr>
              <w:spacing w:after="0" w:line="240" w:lineRule="auto"/>
              <w:jc w:val="both"/>
              <w:rPr>
                <w:rFonts w:eastAsia="Calibri"/>
                <w:lang w:val="en-AU"/>
              </w:rPr>
            </w:pPr>
            <w:r>
              <w:rPr>
                <w:rFonts w:eastAsia="Calibri"/>
                <w:lang w:val="en-AU"/>
              </w:rPr>
              <w:t>a</w:t>
            </w:r>
            <w:r w:rsidR="00FE6557" w:rsidRPr="008137E1">
              <w:rPr>
                <w:rFonts w:eastAsia="Calibri"/>
                <w:lang w:val="en-AU"/>
              </w:rPr>
              <w:t xml:space="preserve"> child who attends a Victorian government school or early childhood learning centre</w:t>
            </w:r>
          </w:p>
          <w:p w14:paraId="2D7A2F12" w14:textId="23A0BE69" w:rsidR="00FE6557" w:rsidRPr="008137E1" w:rsidRDefault="001E1EF0" w:rsidP="007818F5">
            <w:pPr>
              <w:pStyle w:val="ESBodyText"/>
              <w:numPr>
                <w:ilvl w:val="0"/>
                <w:numId w:val="35"/>
              </w:numPr>
              <w:spacing w:after="0" w:line="240" w:lineRule="auto"/>
              <w:rPr>
                <w:rFonts w:eastAsia="Calibri"/>
                <w:lang w:val="en-AU"/>
              </w:rPr>
            </w:pPr>
            <w:r>
              <w:rPr>
                <w:rFonts w:eastAsia="Calibri"/>
                <w:lang w:val="en-AU"/>
              </w:rPr>
              <w:t>a</w:t>
            </w:r>
            <w:r w:rsidR="00FE6557" w:rsidRPr="008137E1">
              <w:rPr>
                <w:rFonts w:eastAsia="Calibri"/>
                <w:lang w:val="en-AU"/>
              </w:rPr>
              <w:t xml:space="preserve"> family member who works for an organisation that regularly supplies goods or services to the department or a Victorian government school, including applications for tender.</w:t>
            </w:r>
          </w:p>
          <w:p w14:paraId="436C8095" w14:textId="77777777" w:rsidR="00FE6557" w:rsidRPr="008137E1" w:rsidRDefault="00FE6557" w:rsidP="00FE6557">
            <w:pPr>
              <w:pStyle w:val="ESBodyText"/>
              <w:numPr>
                <w:ilvl w:val="0"/>
                <w:numId w:val="34"/>
              </w:numPr>
              <w:spacing w:after="0" w:line="240" w:lineRule="auto"/>
              <w:jc w:val="both"/>
              <w:rPr>
                <w:rFonts w:eastAsia="Calibri"/>
                <w:lang w:val="en-AU"/>
              </w:rPr>
            </w:pPr>
            <w:r w:rsidRPr="008137E1">
              <w:rPr>
                <w:rFonts w:eastAsia="Calibri"/>
                <w:lang w:val="en-AU"/>
              </w:rPr>
              <w:t>Consensual personal relationships between employees</w:t>
            </w:r>
          </w:p>
          <w:p w14:paraId="348DB310" w14:textId="77777777" w:rsidR="00FE6557" w:rsidRDefault="00FE6557" w:rsidP="007818F5">
            <w:pPr>
              <w:pStyle w:val="ESBodyText"/>
              <w:spacing w:after="0" w:line="240" w:lineRule="auto"/>
              <w:ind w:left="360"/>
              <w:jc w:val="both"/>
              <w:rPr>
                <w:rFonts w:eastAsia="Calibri"/>
                <w:lang w:val="en-AU"/>
              </w:rPr>
            </w:pPr>
            <w:r w:rsidRPr="008137E1">
              <w:rPr>
                <w:rFonts w:eastAsia="Calibri"/>
                <w:lang w:val="en-AU"/>
              </w:rPr>
              <w:t>A consensual personal relationship between employees within the department or school. This may be sexual, romantic, or intimate in nature.</w:t>
            </w:r>
          </w:p>
          <w:p w14:paraId="577FC8A2" w14:textId="310EF95D" w:rsidR="00F4108B" w:rsidRPr="008137E1" w:rsidRDefault="00FE6557" w:rsidP="007818F5">
            <w:pPr>
              <w:pStyle w:val="ESBodyText"/>
              <w:numPr>
                <w:ilvl w:val="0"/>
                <w:numId w:val="34"/>
              </w:numPr>
              <w:spacing w:after="0" w:line="240" w:lineRule="auto"/>
              <w:rPr>
                <w:rFonts w:eastAsia="Calibri"/>
                <w:lang w:val="en-AU"/>
              </w:rPr>
            </w:pPr>
            <w:r w:rsidRPr="00F4108B">
              <w:rPr>
                <w:rFonts w:eastAsia="Calibri"/>
                <w:lang w:val="en-AU"/>
              </w:rPr>
              <w:t>Declarable associations</w:t>
            </w:r>
          </w:p>
          <w:p w14:paraId="213E5D29" w14:textId="77777777" w:rsidR="00FE6557" w:rsidRPr="00F4108B" w:rsidRDefault="00FE6557" w:rsidP="007818F5">
            <w:pPr>
              <w:pStyle w:val="ESBodyText"/>
              <w:ind w:left="360"/>
              <w:rPr>
                <w:lang w:val="en-AU"/>
              </w:rPr>
            </w:pPr>
            <w:r w:rsidRPr="00F4108B">
              <w:rPr>
                <w:lang w:val="en-AU"/>
              </w:rPr>
              <w:t xml:space="preserve">Declarable associations relate </w:t>
            </w:r>
            <w:r w:rsidRPr="007818F5">
              <w:t>to</w:t>
            </w:r>
            <w:r w:rsidRPr="00F4108B">
              <w:rPr>
                <w:lang w:val="en-AU"/>
              </w:rPr>
              <w:t xml:space="preserve"> a relationship with a person, group or organisation alleged or proven to be involved in serious unlawful activity.</w:t>
            </w:r>
          </w:p>
          <w:p w14:paraId="641F83B2" w14:textId="091199A9" w:rsidR="00F4108B" w:rsidRPr="00AD345C" w:rsidRDefault="00FE6557" w:rsidP="007818F5">
            <w:pPr>
              <w:pStyle w:val="ESBodyText"/>
              <w:numPr>
                <w:ilvl w:val="0"/>
                <w:numId w:val="31"/>
              </w:numPr>
              <w:spacing w:after="0" w:line="240" w:lineRule="auto"/>
              <w:rPr>
                <w:rFonts w:eastAsia="Calibri"/>
                <w:lang w:val="en-AU"/>
              </w:rPr>
            </w:pPr>
            <w:r w:rsidRPr="00F4108B">
              <w:rPr>
                <w:rFonts w:eastAsia="Calibri"/>
                <w:iCs/>
                <w:lang w:val="en-AU"/>
              </w:rPr>
              <w:t>Financial Interest</w:t>
            </w:r>
          </w:p>
          <w:p w14:paraId="46B75342" w14:textId="3C560E1B" w:rsidR="00FE6557" w:rsidRPr="00F4108B" w:rsidRDefault="00FE6557" w:rsidP="007818F5">
            <w:pPr>
              <w:pStyle w:val="ESBodyText"/>
              <w:numPr>
                <w:ilvl w:val="0"/>
                <w:numId w:val="36"/>
              </w:numPr>
              <w:spacing w:after="0" w:line="240" w:lineRule="auto"/>
              <w:jc w:val="both"/>
              <w:rPr>
                <w:lang w:val="en-AU"/>
              </w:rPr>
            </w:pPr>
            <w:r w:rsidRPr="00F4108B">
              <w:rPr>
                <w:lang w:val="en-AU"/>
              </w:rPr>
              <w:t xml:space="preserve">Financial </w:t>
            </w:r>
            <w:r w:rsidRPr="007818F5">
              <w:rPr>
                <w:rFonts w:eastAsia="Calibri"/>
                <w:lang w:val="en-AU"/>
              </w:rPr>
              <w:t>interests</w:t>
            </w:r>
            <w:r w:rsidRPr="00F4108B">
              <w:rPr>
                <w:lang w:val="en-AU"/>
              </w:rPr>
              <w:t xml:space="preserve"> include existing, potential or future:</w:t>
            </w:r>
          </w:p>
          <w:p w14:paraId="0201E951" w14:textId="77777777" w:rsidR="00FE6557" w:rsidRPr="00AD345C" w:rsidRDefault="00FE6557" w:rsidP="00FE6557">
            <w:pPr>
              <w:pStyle w:val="ESBodyText"/>
              <w:numPr>
                <w:ilvl w:val="0"/>
                <w:numId w:val="36"/>
              </w:numPr>
              <w:spacing w:after="0" w:line="240" w:lineRule="auto"/>
              <w:jc w:val="both"/>
              <w:rPr>
                <w:rFonts w:eastAsia="Calibri"/>
                <w:lang w:val="en-AU"/>
              </w:rPr>
            </w:pPr>
            <w:r w:rsidRPr="00AD345C">
              <w:rPr>
                <w:rFonts w:eastAsia="Calibri"/>
                <w:lang w:val="en-AU"/>
              </w:rPr>
              <w:t>Financial holdings (e.g., real estate, shares, business ownership, investments, or other benefits from office holder positions)</w:t>
            </w:r>
          </w:p>
          <w:p w14:paraId="1E606FD7" w14:textId="77777777" w:rsidR="00FE6557" w:rsidRPr="00AD345C" w:rsidRDefault="00FE6557" w:rsidP="00FE6557">
            <w:pPr>
              <w:pStyle w:val="ESBodyText"/>
              <w:numPr>
                <w:ilvl w:val="0"/>
                <w:numId w:val="36"/>
              </w:numPr>
              <w:spacing w:after="0" w:line="240" w:lineRule="auto"/>
              <w:jc w:val="both"/>
              <w:rPr>
                <w:rFonts w:eastAsia="Calibri"/>
                <w:lang w:val="en-AU"/>
              </w:rPr>
            </w:pPr>
            <w:r w:rsidRPr="00AD345C">
              <w:rPr>
                <w:rFonts w:eastAsia="Calibri"/>
                <w:lang w:val="en-AU"/>
              </w:rPr>
              <w:t>Financial gains</w:t>
            </w:r>
          </w:p>
          <w:p w14:paraId="74AF5369" w14:textId="77777777" w:rsidR="00FE6557" w:rsidRPr="00AD345C" w:rsidRDefault="00FE6557" w:rsidP="00FE6557">
            <w:pPr>
              <w:pStyle w:val="ESBodyText"/>
              <w:numPr>
                <w:ilvl w:val="0"/>
                <w:numId w:val="36"/>
              </w:numPr>
              <w:spacing w:after="0" w:line="240" w:lineRule="auto"/>
              <w:jc w:val="both"/>
              <w:rPr>
                <w:rFonts w:eastAsia="Calibri"/>
                <w:lang w:val="en-AU"/>
              </w:rPr>
            </w:pPr>
            <w:r w:rsidRPr="00AD345C">
              <w:rPr>
                <w:rFonts w:eastAsia="Calibri"/>
                <w:lang w:val="en-AU"/>
              </w:rPr>
              <w:t>Financial loss.</w:t>
            </w:r>
          </w:p>
          <w:p w14:paraId="051FDEDB" w14:textId="77777777" w:rsidR="00FE6557" w:rsidRPr="00AD345C" w:rsidRDefault="00FE6557" w:rsidP="007818F5">
            <w:pPr>
              <w:pStyle w:val="ESBodyText"/>
              <w:spacing w:after="0" w:line="240" w:lineRule="auto"/>
              <w:ind w:left="360"/>
              <w:jc w:val="both"/>
              <w:rPr>
                <w:rFonts w:eastAsia="Calibri"/>
                <w:lang w:val="en-AU"/>
              </w:rPr>
            </w:pPr>
            <w:r w:rsidRPr="00AD345C">
              <w:rPr>
                <w:rFonts w:eastAsia="Calibri"/>
                <w:lang w:val="en-AU"/>
              </w:rPr>
              <w:t xml:space="preserve">Financial interests can influence an employee in their public duties to act in a way that financially provides benefit for them. Financial interests still constitute a conflict of interest in cases where the public interest mutually benefits. </w:t>
            </w:r>
          </w:p>
          <w:p w14:paraId="3394920A" w14:textId="77777777" w:rsidR="00F4108B" w:rsidRDefault="00FE6557" w:rsidP="00F4108B">
            <w:pPr>
              <w:pStyle w:val="ESBodyText"/>
              <w:numPr>
                <w:ilvl w:val="0"/>
                <w:numId w:val="31"/>
              </w:numPr>
              <w:spacing w:after="0" w:line="240" w:lineRule="auto"/>
              <w:rPr>
                <w:rFonts w:eastAsia="Calibri"/>
                <w:lang w:val="en-AU"/>
              </w:rPr>
            </w:pPr>
            <w:r w:rsidRPr="00F4108B">
              <w:rPr>
                <w:rFonts w:eastAsia="Calibri"/>
                <w:lang w:val="en-AU"/>
              </w:rPr>
              <w:t>Outside employment</w:t>
            </w:r>
          </w:p>
          <w:p w14:paraId="6A9FD12E" w14:textId="77777777" w:rsidR="00FE6557" w:rsidRPr="00F4108B" w:rsidRDefault="00FE6557" w:rsidP="007818F5">
            <w:pPr>
              <w:pStyle w:val="ESBodyText"/>
              <w:spacing w:after="0" w:line="240" w:lineRule="auto"/>
              <w:ind w:left="360"/>
              <w:rPr>
                <w:rFonts w:eastAsia="Calibri"/>
                <w:lang w:val="en-AU"/>
              </w:rPr>
            </w:pPr>
            <w:r w:rsidRPr="00F4108B">
              <w:rPr>
                <w:rFonts w:eastAsia="Calibri"/>
                <w:lang w:val="en-AU"/>
              </w:rPr>
              <w:t>Outside employment includes paid or unpaid employment in any business, trade or profession outside of an employee’s public sector role. Other casual or ad-hoc commercial activities may also be considered as other employment. Unpaid work, such as volunteering or pro bono work, can be considered as outside employment in certain circumstances.</w:t>
            </w:r>
          </w:p>
          <w:p w14:paraId="4B3D8AF8" w14:textId="77E7B8D3" w:rsidR="00F4108B" w:rsidRDefault="00FE6557" w:rsidP="00F4108B">
            <w:pPr>
              <w:pStyle w:val="ESBodyText"/>
              <w:numPr>
                <w:ilvl w:val="0"/>
                <w:numId w:val="31"/>
              </w:numPr>
              <w:spacing w:after="0" w:line="240" w:lineRule="auto"/>
              <w:jc w:val="both"/>
              <w:rPr>
                <w:rFonts w:eastAsia="Calibri"/>
                <w:iCs/>
                <w:lang w:val="en-AU"/>
              </w:rPr>
            </w:pPr>
            <w:r w:rsidRPr="00F4108B">
              <w:rPr>
                <w:rFonts w:eastAsia="Calibri"/>
                <w:iCs/>
                <w:lang w:val="en-AU"/>
              </w:rPr>
              <w:t>Activities</w:t>
            </w:r>
          </w:p>
          <w:p w14:paraId="79829908" w14:textId="77777777" w:rsidR="00F4108B" w:rsidRDefault="00FE6557" w:rsidP="007818F5">
            <w:pPr>
              <w:pStyle w:val="ESBodyText"/>
              <w:ind w:left="360"/>
              <w:rPr>
                <w:lang w:val="en-AU"/>
              </w:rPr>
            </w:pPr>
            <w:r w:rsidRPr="00F4108B">
              <w:rPr>
                <w:lang w:val="en-AU"/>
              </w:rPr>
              <w:t xml:space="preserve">Activities can include involvement </w:t>
            </w:r>
            <w:r w:rsidRPr="007818F5">
              <w:t>with</w:t>
            </w:r>
            <w:r w:rsidRPr="00F4108B">
              <w:rPr>
                <w:lang w:val="en-AU"/>
              </w:rPr>
              <w:t xml:space="preserve"> or participation in sporting clubs and associations, cultural interests, hobbies, community organisations, social clubs and associations or other activities.</w:t>
            </w:r>
          </w:p>
          <w:p w14:paraId="34FDF362" w14:textId="77777777" w:rsidR="00FE6557" w:rsidRPr="00F4108B" w:rsidRDefault="00FE6557" w:rsidP="007818F5">
            <w:pPr>
              <w:pStyle w:val="ESBodyText"/>
              <w:ind w:left="360"/>
              <w:rPr>
                <w:lang w:val="en-AU"/>
              </w:rPr>
            </w:pPr>
            <w:r w:rsidRPr="00F4108B">
              <w:rPr>
                <w:lang w:val="en-AU"/>
              </w:rPr>
              <w:t>This can include:</w:t>
            </w:r>
          </w:p>
          <w:p w14:paraId="0D6EC594" w14:textId="77777777" w:rsidR="00FE6557" w:rsidRPr="00F41526" w:rsidRDefault="00FE6557" w:rsidP="00FE6557">
            <w:pPr>
              <w:pStyle w:val="ESBodyText"/>
              <w:numPr>
                <w:ilvl w:val="0"/>
                <w:numId w:val="37"/>
              </w:numPr>
              <w:spacing w:after="0" w:line="240" w:lineRule="auto"/>
              <w:jc w:val="both"/>
              <w:rPr>
                <w:rFonts w:eastAsia="Calibri"/>
                <w:iCs/>
                <w:lang w:val="en-AU"/>
              </w:rPr>
            </w:pPr>
            <w:r w:rsidRPr="00F41526">
              <w:rPr>
                <w:rFonts w:eastAsia="Calibri"/>
                <w:iCs/>
                <w:lang w:val="en-AU"/>
              </w:rPr>
              <w:t>Membership of a social, cultural, community or sporting institution</w:t>
            </w:r>
          </w:p>
          <w:p w14:paraId="6D9E8379" w14:textId="77777777" w:rsidR="00FE6557" w:rsidRPr="00F41526" w:rsidRDefault="00FE6557" w:rsidP="00FE6557">
            <w:pPr>
              <w:pStyle w:val="ESBodyText"/>
              <w:numPr>
                <w:ilvl w:val="0"/>
                <w:numId w:val="37"/>
              </w:numPr>
              <w:spacing w:after="0" w:line="240" w:lineRule="auto"/>
              <w:jc w:val="both"/>
              <w:rPr>
                <w:rFonts w:eastAsia="Calibri"/>
                <w:iCs/>
                <w:lang w:val="en-AU"/>
              </w:rPr>
            </w:pPr>
            <w:r w:rsidRPr="00F41526">
              <w:rPr>
                <w:rFonts w:eastAsia="Calibri"/>
                <w:iCs/>
                <w:lang w:val="en-AU"/>
              </w:rPr>
              <w:t>Volunteering at a particular association, institution or club</w:t>
            </w:r>
          </w:p>
          <w:p w14:paraId="7526A873" w14:textId="77777777" w:rsidR="00FE6557" w:rsidRDefault="00FE6557" w:rsidP="00FE6557">
            <w:pPr>
              <w:pStyle w:val="ESBodyText"/>
              <w:numPr>
                <w:ilvl w:val="0"/>
                <w:numId w:val="37"/>
              </w:numPr>
              <w:spacing w:after="0" w:line="240" w:lineRule="auto"/>
              <w:jc w:val="both"/>
              <w:rPr>
                <w:rFonts w:eastAsia="Calibri"/>
                <w:iCs/>
                <w:lang w:val="en-AU"/>
              </w:rPr>
            </w:pPr>
            <w:r w:rsidRPr="00F41526">
              <w:rPr>
                <w:rFonts w:eastAsia="Calibri"/>
                <w:iCs/>
                <w:lang w:val="en-AU"/>
              </w:rPr>
              <w:t>Involvement with a social, cultural, community or sporting organisation, including if your family members are members or attendees.</w:t>
            </w:r>
          </w:p>
          <w:p w14:paraId="67192867" w14:textId="77777777" w:rsidR="00FE6557" w:rsidRDefault="00FE6557" w:rsidP="00FE6557">
            <w:pPr>
              <w:pStyle w:val="ESBodyText"/>
              <w:numPr>
                <w:ilvl w:val="0"/>
                <w:numId w:val="31"/>
              </w:numPr>
              <w:spacing w:after="0" w:line="240" w:lineRule="auto"/>
              <w:jc w:val="both"/>
              <w:rPr>
                <w:rFonts w:eastAsia="Calibri"/>
                <w:iCs/>
                <w:lang w:val="en-AU"/>
              </w:rPr>
            </w:pPr>
            <w:r w:rsidRPr="006B1A3F">
              <w:rPr>
                <w:rFonts w:eastAsia="Calibri"/>
                <w:iCs/>
                <w:lang w:val="en-AU"/>
              </w:rPr>
              <w:t>Duties and influences</w:t>
            </w:r>
          </w:p>
          <w:p w14:paraId="5CF634B3" w14:textId="77777777" w:rsidR="00F4108B" w:rsidRDefault="00FE6557" w:rsidP="00F4108B">
            <w:pPr>
              <w:pStyle w:val="ESBodyText"/>
              <w:numPr>
                <w:ilvl w:val="0"/>
                <w:numId w:val="38"/>
              </w:numPr>
              <w:spacing w:after="0" w:line="240" w:lineRule="auto"/>
              <w:rPr>
                <w:rFonts w:eastAsia="Calibri"/>
                <w:iCs/>
                <w:lang w:val="en-AU"/>
              </w:rPr>
            </w:pPr>
            <w:r w:rsidRPr="00F4108B">
              <w:rPr>
                <w:rFonts w:eastAsia="Calibri"/>
                <w:iCs/>
                <w:lang w:val="en-AU"/>
              </w:rPr>
              <w:t>Other duties</w:t>
            </w:r>
          </w:p>
          <w:p w14:paraId="7EC91ABE" w14:textId="77777777" w:rsidR="00F4108B" w:rsidRDefault="00FE6557" w:rsidP="007818F5">
            <w:pPr>
              <w:pStyle w:val="ESBodyText"/>
              <w:ind w:left="720"/>
              <w:rPr>
                <w:lang w:val="en-AU"/>
              </w:rPr>
            </w:pPr>
            <w:r w:rsidRPr="00F4108B">
              <w:rPr>
                <w:lang w:val="en-AU"/>
              </w:rPr>
              <w:t xml:space="preserve">Other duties </w:t>
            </w:r>
            <w:proofErr w:type="gramStart"/>
            <w:r w:rsidRPr="00F4108B">
              <w:rPr>
                <w:lang w:val="en-AU"/>
              </w:rPr>
              <w:t>refers</w:t>
            </w:r>
            <w:proofErr w:type="gramEnd"/>
            <w:r w:rsidRPr="00F4108B">
              <w:rPr>
                <w:lang w:val="en-AU"/>
              </w:rPr>
              <w:t xml:space="preserve"> to other commitments or duties to another organisation or group which may be in the public or private sector. This includes paid or volunteer roles with other organisations, dual roles within the department, company office holder positions, or board and committee membership.</w:t>
            </w:r>
          </w:p>
          <w:p w14:paraId="4BFAA452" w14:textId="77777777" w:rsidR="00F4108B" w:rsidRDefault="00FE6557" w:rsidP="007818F5">
            <w:pPr>
              <w:pStyle w:val="ESBodyText"/>
              <w:ind w:left="720"/>
              <w:rPr>
                <w:lang w:val="en-AU"/>
              </w:rPr>
            </w:pPr>
            <w:r w:rsidRPr="00F4108B">
              <w:rPr>
                <w:lang w:val="en-AU"/>
              </w:rPr>
              <w:t xml:space="preserve">Where these other duties </w:t>
            </w:r>
            <w:proofErr w:type="gramStart"/>
            <w:r w:rsidRPr="00F4108B">
              <w:rPr>
                <w:lang w:val="en-AU"/>
              </w:rPr>
              <w:t>are in conflict with</w:t>
            </w:r>
            <w:proofErr w:type="gramEnd"/>
            <w:r w:rsidRPr="00F4108B">
              <w:rPr>
                <w:lang w:val="en-AU"/>
              </w:rPr>
              <w:t xml:space="preserve"> the public sector duties expected of an employee at the department, this can be considered as a conflict of duty. </w:t>
            </w:r>
            <w:r w:rsidRPr="00F4108B">
              <w:rPr>
                <w:lang w:val="en-AU"/>
              </w:rPr>
              <w:lastRenderedPageBreak/>
              <w:t>Conflicts of duty can arise even where the interests of each duty are in alignment, such as within the one organisation.</w:t>
            </w:r>
          </w:p>
          <w:p w14:paraId="77458406" w14:textId="77777777" w:rsidR="00FE6557" w:rsidRPr="00F4108B" w:rsidRDefault="00FE6557" w:rsidP="007818F5">
            <w:pPr>
              <w:pStyle w:val="ESBodyText"/>
              <w:ind w:left="720"/>
              <w:rPr>
                <w:lang w:val="en-AU"/>
              </w:rPr>
            </w:pPr>
            <w:r w:rsidRPr="00F4108B">
              <w:rPr>
                <w:lang w:val="en-AU"/>
              </w:rPr>
              <w:t>Conflicts of duty should be identified, declared and managed under this policy as a conflict of interest.</w:t>
            </w:r>
          </w:p>
          <w:p w14:paraId="40E6E22D" w14:textId="77777777" w:rsidR="00FE6557" w:rsidRPr="000877D0" w:rsidRDefault="00FE6557" w:rsidP="007818F5">
            <w:pPr>
              <w:pStyle w:val="ESBodyText"/>
              <w:numPr>
                <w:ilvl w:val="0"/>
                <w:numId w:val="31"/>
              </w:numPr>
              <w:spacing w:after="0" w:line="240" w:lineRule="auto"/>
              <w:jc w:val="both"/>
              <w:rPr>
                <w:lang w:val="en-AU"/>
              </w:rPr>
            </w:pPr>
            <w:r w:rsidRPr="000877D0">
              <w:rPr>
                <w:lang w:val="en-AU"/>
              </w:rPr>
              <w:t xml:space="preserve">Loyalties and </w:t>
            </w:r>
            <w:r w:rsidRPr="00F4108B">
              <w:rPr>
                <w:rFonts w:eastAsia="Calibri"/>
                <w:iCs/>
                <w:lang w:val="en-AU"/>
              </w:rPr>
              <w:t>biases</w:t>
            </w:r>
          </w:p>
          <w:p w14:paraId="747FA5E5" w14:textId="77777777" w:rsidR="00FE6557" w:rsidRPr="00EC7C89" w:rsidRDefault="00FE6557" w:rsidP="007818F5">
            <w:pPr>
              <w:pStyle w:val="ESBodyText"/>
              <w:spacing w:after="0" w:line="240" w:lineRule="auto"/>
              <w:ind w:left="360"/>
              <w:jc w:val="both"/>
              <w:rPr>
                <w:rFonts w:eastAsia="Calibri"/>
                <w:iCs/>
                <w:lang w:val="en-AU"/>
              </w:rPr>
            </w:pPr>
            <w:r w:rsidRPr="000877D0">
              <w:rPr>
                <w:rFonts w:eastAsia="Calibri"/>
                <w:iCs/>
                <w:lang w:val="en-AU"/>
              </w:rPr>
              <w:t>Loyalties and biases refer to pre-existing preference that an employee may have for or against another organisation or person. This may include loyalty towards a previous employer, personal, political or cultural beliefs that provide for a particular fixed perspective on an issue, or a bias against a person or organisation.</w:t>
            </w:r>
          </w:p>
        </w:tc>
      </w:tr>
      <w:tr w:rsidR="00FE6557" w:rsidRPr="00F92371" w14:paraId="3C3C1F5F" w14:textId="77777777" w:rsidTr="007818F5">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51590E7E" w14:textId="77777777" w:rsidR="00FE6557" w:rsidRPr="00FC11E2" w:rsidRDefault="00FE6557" w:rsidP="0077160E">
            <w:pPr>
              <w:rPr>
                <w:b/>
                <w:bCs/>
                <w:sz w:val="18"/>
                <w:szCs w:val="18"/>
              </w:rPr>
            </w:pPr>
            <w:r w:rsidRPr="00FC11E2">
              <w:rPr>
                <w:b/>
                <w:bCs/>
                <w:sz w:val="18"/>
                <w:szCs w:val="18"/>
              </w:rPr>
              <w:lastRenderedPageBreak/>
              <w:t>Conflict of interest</w:t>
            </w:r>
          </w:p>
        </w:tc>
        <w:tc>
          <w:tcPr>
            <w:tcW w:w="0" w:type="dxa"/>
          </w:tcPr>
          <w:p w14:paraId="608DD548" w14:textId="77777777" w:rsidR="00FE6557" w:rsidRPr="00FC11E2" w:rsidRDefault="00FE6557" w:rsidP="0077160E">
            <w:pPr>
              <w:spacing w:after="240"/>
              <w:rPr>
                <w:sz w:val="18"/>
                <w:szCs w:val="18"/>
              </w:rPr>
            </w:pPr>
            <w:r w:rsidRPr="00FC11E2">
              <w:rPr>
                <w:sz w:val="18"/>
                <w:szCs w:val="18"/>
              </w:rPr>
              <w:t xml:space="preserve">A conflict of interest is where an </w:t>
            </w:r>
            <w:r w:rsidRPr="008C3A33">
              <w:rPr>
                <w:sz w:val="18"/>
                <w:szCs w:val="18"/>
              </w:rPr>
              <w:t xml:space="preserve">individual </w:t>
            </w:r>
            <w:r w:rsidRPr="00FC11E2">
              <w:rPr>
                <w:sz w:val="18"/>
                <w:szCs w:val="18"/>
              </w:rPr>
              <w:t>has a private interest that could influence, or be reasonably perceived to influence, the performance of a public duty.</w:t>
            </w:r>
          </w:p>
        </w:tc>
      </w:tr>
      <w:tr w:rsidR="00FE6557" w:rsidRPr="00F92371" w14:paraId="5AC20285" w14:textId="77777777" w:rsidTr="007818F5">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698C4EC9" w14:textId="77777777" w:rsidR="00FE6557" w:rsidRPr="00FC11E2" w:rsidRDefault="00FE6557" w:rsidP="0077160E">
            <w:pPr>
              <w:rPr>
                <w:b/>
                <w:bCs/>
                <w:sz w:val="18"/>
                <w:szCs w:val="18"/>
              </w:rPr>
            </w:pPr>
            <w:r w:rsidRPr="00FC11E2">
              <w:rPr>
                <w:b/>
                <w:bCs/>
                <w:sz w:val="18"/>
                <w:szCs w:val="18"/>
              </w:rPr>
              <w:t>Actual, potential, and perceived conflicts of interest</w:t>
            </w:r>
          </w:p>
        </w:tc>
        <w:tc>
          <w:tcPr>
            <w:tcW w:w="0" w:type="dxa"/>
            <w:hideMark/>
          </w:tcPr>
          <w:p w14:paraId="46B7559A" w14:textId="77777777" w:rsidR="00FE6557" w:rsidRPr="00FC11E2" w:rsidRDefault="00FE6557" w:rsidP="0077160E">
            <w:pPr>
              <w:rPr>
                <w:sz w:val="18"/>
                <w:szCs w:val="18"/>
              </w:rPr>
            </w:pPr>
            <w:r w:rsidRPr="00FC11E2">
              <w:rPr>
                <w:sz w:val="18"/>
                <w:szCs w:val="18"/>
              </w:rPr>
              <w:t xml:space="preserve">Conflicts of interest are </w:t>
            </w:r>
            <w:proofErr w:type="spellStart"/>
            <w:r w:rsidRPr="00FC11E2">
              <w:rPr>
                <w:sz w:val="18"/>
                <w:szCs w:val="18"/>
              </w:rPr>
              <w:t>categorised</w:t>
            </w:r>
            <w:proofErr w:type="spellEnd"/>
            <w:r w:rsidRPr="00FC11E2">
              <w:rPr>
                <w:sz w:val="18"/>
                <w:szCs w:val="18"/>
              </w:rPr>
              <w:t xml:space="preserve"> as either:</w:t>
            </w:r>
          </w:p>
          <w:p w14:paraId="025BD3F5" w14:textId="77777777" w:rsidR="00FE6557" w:rsidRPr="00FC11E2" w:rsidRDefault="00FE6557" w:rsidP="00FE6557">
            <w:pPr>
              <w:pStyle w:val="ListParagraph"/>
              <w:numPr>
                <w:ilvl w:val="0"/>
                <w:numId w:val="32"/>
              </w:numPr>
              <w:spacing w:after="0" w:line="240" w:lineRule="auto"/>
              <w:contextualSpacing w:val="0"/>
              <w:rPr>
                <w:sz w:val="18"/>
                <w:szCs w:val="18"/>
              </w:rPr>
            </w:pPr>
            <w:r w:rsidRPr="00FC11E2">
              <w:rPr>
                <w:i/>
                <w:iCs/>
                <w:sz w:val="18"/>
                <w:szCs w:val="18"/>
              </w:rPr>
              <w:t xml:space="preserve">Actual – </w:t>
            </w:r>
            <w:r w:rsidRPr="00FC11E2">
              <w:rPr>
                <w:sz w:val="18"/>
                <w:szCs w:val="18"/>
              </w:rPr>
              <w:t xml:space="preserve">there is an intersection between a private interest </w:t>
            </w:r>
            <w:r>
              <w:rPr>
                <w:sz w:val="18"/>
                <w:szCs w:val="18"/>
              </w:rPr>
              <w:t>an individual</w:t>
            </w:r>
            <w:r w:rsidRPr="00FC11E2">
              <w:rPr>
                <w:sz w:val="18"/>
                <w:szCs w:val="18"/>
              </w:rPr>
              <w:t xml:space="preserve"> ha</w:t>
            </w:r>
            <w:r>
              <w:rPr>
                <w:sz w:val="18"/>
                <w:szCs w:val="18"/>
              </w:rPr>
              <w:t>s</w:t>
            </w:r>
            <w:r w:rsidRPr="00FC11E2">
              <w:rPr>
                <w:sz w:val="18"/>
                <w:szCs w:val="18"/>
              </w:rPr>
              <w:t xml:space="preserve"> and </w:t>
            </w:r>
            <w:r>
              <w:rPr>
                <w:sz w:val="18"/>
                <w:szCs w:val="18"/>
              </w:rPr>
              <w:t>their</w:t>
            </w:r>
            <w:r w:rsidRPr="00FC11E2">
              <w:rPr>
                <w:sz w:val="18"/>
                <w:szCs w:val="18"/>
              </w:rPr>
              <w:t xml:space="preserve"> public duties.</w:t>
            </w:r>
          </w:p>
          <w:p w14:paraId="17DF1DC5" w14:textId="77777777" w:rsidR="00FE6557" w:rsidRPr="00FC11E2" w:rsidRDefault="00FE6557" w:rsidP="00FE6557">
            <w:pPr>
              <w:pStyle w:val="ListParagraph"/>
              <w:numPr>
                <w:ilvl w:val="0"/>
                <w:numId w:val="32"/>
              </w:numPr>
              <w:spacing w:after="0" w:line="240" w:lineRule="auto"/>
              <w:contextualSpacing w:val="0"/>
              <w:rPr>
                <w:i/>
                <w:iCs/>
                <w:sz w:val="18"/>
                <w:szCs w:val="18"/>
              </w:rPr>
            </w:pPr>
            <w:r w:rsidRPr="00FC11E2">
              <w:rPr>
                <w:i/>
                <w:iCs/>
                <w:sz w:val="18"/>
                <w:szCs w:val="18"/>
              </w:rPr>
              <w:t xml:space="preserve">Potential – </w:t>
            </w:r>
            <w:r>
              <w:rPr>
                <w:sz w:val="18"/>
                <w:szCs w:val="18"/>
              </w:rPr>
              <w:t>an individual</w:t>
            </w:r>
            <w:r w:rsidRPr="00FC11E2">
              <w:rPr>
                <w:sz w:val="18"/>
                <w:szCs w:val="18"/>
              </w:rPr>
              <w:t xml:space="preserve"> ha</w:t>
            </w:r>
            <w:r>
              <w:rPr>
                <w:sz w:val="18"/>
                <w:szCs w:val="18"/>
              </w:rPr>
              <w:t>s</w:t>
            </w:r>
            <w:r w:rsidRPr="00FC11E2">
              <w:rPr>
                <w:sz w:val="18"/>
                <w:szCs w:val="18"/>
              </w:rPr>
              <w:t xml:space="preserve"> a private interest that could foreseeably intersect with </w:t>
            </w:r>
            <w:r>
              <w:rPr>
                <w:sz w:val="18"/>
                <w:szCs w:val="18"/>
              </w:rPr>
              <w:t>their</w:t>
            </w:r>
            <w:r w:rsidRPr="00FC11E2">
              <w:rPr>
                <w:sz w:val="18"/>
                <w:szCs w:val="18"/>
              </w:rPr>
              <w:t xml:space="preserve"> public duties.</w:t>
            </w:r>
          </w:p>
          <w:p w14:paraId="6585D825" w14:textId="77777777" w:rsidR="00FE6557" w:rsidRPr="00FC11E2" w:rsidRDefault="00FE6557" w:rsidP="00FE6557">
            <w:pPr>
              <w:pStyle w:val="ListParagraph"/>
              <w:numPr>
                <w:ilvl w:val="0"/>
                <w:numId w:val="32"/>
              </w:numPr>
              <w:spacing w:after="0" w:line="240" w:lineRule="auto"/>
              <w:contextualSpacing w:val="0"/>
              <w:rPr>
                <w:i/>
                <w:iCs/>
                <w:sz w:val="18"/>
                <w:szCs w:val="18"/>
              </w:rPr>
            </w:pPr>
            <w:r w:rsidRPr="00FC11E2">
              <w:rPr>
                <w:i/>
                <w:iCs/>
                <w:sz w:val="18"/>
                <w:szCs w:val="18"/>
              </w:rPr>
              <w:t xml:space="preserve">Perceived </w:t>
            </w:r>
            <w:r w:rsidRPr="00FC11E2">
              <w:rPr>
                <w:sz w:val="18"/>
                <w:szCs w:val="18"/>
              </w:rPr>
              <w:t xml:space="preserve">– it is reasonable for another person to believe that </w:t>
            </w:r>
            <w:r>
              <w:rPr>
                <w:sz w:val="18"/>
                <w:szCs w:val="18"/>
              </w:rPr>
              <w:t>an individual’s</w:t>
            </w:r>
            <w:r w:rsidRPr="00FC11E2">
              <w:rPr>
                <w:sz w:val="18"/>
                <w:szCs w:val="18"/>
              </w:rPr>
              <w:t xml:space="preserve"> private interests could influence the performance of </w:t>
            </w:r>
            <w:r>
              <w:rPr>
                <w:sz w:val="18"/>
                <w:szCs w:val="18"/>
              </w:rPr>
              <w:t>their</w:t>
            </w:r>
            <w:r w:rsidRPr="00FC11E2">
              <w:rPr>
                <w:sz w:val="18"/>
                <w:szCs w:val="18"/>
              </w:rPr>
              <w:t xml:space="preserve"> public duties, irrespective of whether they do.</w:t>
            </w:r>
          </w:p>
        </w:tc>
      </w:tr>
    </w:tbl>
    <w:p w14:paraId="5FE7848D" w14:textId="77777777" w:rsidR="00FE6557" w:rsidRPr="00876EDE" w:rsidRDefault="00FE6557" w:rsidP="00FE6557">
      <w:pPr>
        <w:pStyle w:val="VCAAHeading2"/>
        <w:numPr>
          <w:ilvl w:val="0"/>
          <w:numId w:val="22"/>
        </w:numPr>
        <w:spacing w:line="276" w:lineRule="auto"/>
        <w:jc w:val="both"/>
        <w:rPr>
          <w:rStyle w:val="eop"/>
          <w:szCs w:val="40"/>
          <w:shd w:val="clear" w:color="auto" w:fill="FFFFFF"/>
        </w:rPr>
      </w:pPr>
      <w:bookmarkStart w:id="66" w:name="_Toc163483876"/>
      <w:bookmarkStart w:id="67" w:name="_Toc163569462"/>
      <w:bookmarkStart w:id="68" w:name="_Toc170825947"/>
      <w:bookmarkStart w:id="69" w:name="_Hlk163466920"/>
      <w:bookmarkStart w:id="70" w:name="_Hlk163490129"/>
      <w:bookmarkStart w:id="71" w:name="_Hlk163483892"/>
      <w:bookmarkStart w:id="72" w:name="_Toc173413872"/>
      <w:r w:rsidRPr="00876EDE">
        <w:rPr>
          <w:rStyle w:val="normaltextrun"/>
          <w:szCs w:val="40"/>
          <w:shd w:val="clear" w:color="auto" w:fill="FFFFFF"/>
        </w:rPr>
        <w:t>Managing this policy</w:t>
      </w:r>
      <w:bookmarkEnd w:id="66"/>
      <w:bookmarkEnd w:id="67"/>
      <w:bookmarkEnd w:id="68"/>
      <w:bookmarkEnd w:id="72"/>
    </w:p>
    <w:p w14:paraId="4FD50610" w14:textId="77777777" w:rsidR="00FE6557" w:rsidRDefault="00FE6557" w:rsidP="00FE6557">
      <w:pPr>
        <w:pStyle w:val="VCAAHeading3"/>
        <w:numPr>
          <w:ilvl w:val="1"/>
          <w:numId w:val="22"/>
        </w:numPr>
        <w:spacing w:line="276" w:lineRule="auto"/>
        <w:jc w:val="both"/>
        <w:rPr>
          <w:rStyle w:val="normaltextrun"/>
          <w:sz w:val="28"/>
          <w:szCs w:val="28"/>
          <w:shd w:val="clear" w:color="auto" w:fill="FFFFFF"/>
        </w:rPr>
      </w:pPr>
      <w:bookmarkStart w:id="73" w:name="_Toc170825948"/>
      <w:proofErr w:type="spellStart"/>
      <w:r>
        <w:rPr>
          <w:rStyle w:val="normaltextrun"/>
          <w:sz w:val="28"/>
          <w:szCs w:val="28"/>
          <w:shd w:val="clear" w:color="auto" w:fill="FFFFFF"/>
        </w:rPr>
        <w:t>Authorisation</w:t>
      </w:r>
      <w:bookmarkEnd w:id="73"/>
      <w:proofErr w:type="spellEnd"/>
    </w:p>
    <w:p w14:paraId="3A5682C8" w14:textId="77777777" w:rsidR="00FE6557" w:rsidRDefault="00FE6557" w:rsidP="00FE6557">
      <w:pPr>
        <w:pStyle w:val="ESBodyText"/>
        <w:spacing w:line="276" w:lineRule="auto"/>
        <w:jc w:val="both"/>
        <w:rPr>
          <w:rStyle w:val="normaltextrun"/>
        </w:rPr>
      </w:pPr>
      <w:r w:rsidRPr="001E7676">
        <w:rPr>
          <w:rStyle w:val="normaltextrun"/>
        </w:rPr>
        <w:t>This policy is issued under the authority of the Chief Executive Officer.</w:t>
      </w:r>
    </w:p>
    <w:p w14:paraId="23E40CDF" w14:textId="77777777" w:rsidR="00FE6557" w:rsidRDefault="00FE6557" w:rsidP="00FE6557">
      <w:pPr>
        <w:pStyle w:val="VCAAHeading3"/>
        <w:numPr>
          <w:ilvl w:val="1"/>
          <w:numId w:val="22"/>
        </w:numPr>
        <w:spacing w:line="276" w:lineRule="auto"/>
        <w:jc w:val="both"/>
        <w:rPr>
          <w:rStyle w:val="normaltextrun"/>
          <w:sz w:val="28"/>
          <w:szCs w:val="28"/>
          <w:bdr w:val="none" w:sz="0" w:space="0" w:color="auto" w:frame="1"/>
        </w:rPr>
      </w:pPr>
      <w:bookmarkStart w:id="74" w:name="_Toc170825949"/>
      <w:r>
        <w:rPr>
          <w:rStyle w:val="normaltextrun"/>
          <w:sz w:val="28"/>
          <w:szCs w:val="28"/>
          <w:bdr w:val="none" w:sz="0" w:space="0" w:color="auto" w:frame="1"/>
        </w:rPr>
        <w:t>Accountability for the policy</w:t>
      </w:r>
      <w:bookmarkEnd w:id="74"/>
    </w:p>
    <w:p w14:paraId="7ECE9529" w14:textId="77777777" w:rsidR="00FE6557" w:rsidRDefault="00FE6557" w:rsidP="00FE655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14:paraId="563D310A" w14:textId="77777777" w:rsidR="00FE6557" w:rsidRDefault="00FE6557" w:rsidP="00FE6557">
      <w:pPr>
        <w:pStyle w:val="ESBodyText"/>
        <w:spacing w:line="276" w:lineRule="auto"/>
        <w:jc w:val="both"/>
        <w:rPr>
          <w:sz w:val="20"/>
          <w:szCs w:val="20"/>
        </w:rPr>
      </w:pPr>
      <w:r>
        <w:rPr>
          <w:rStyle w:val="normaltextrun"/>
          <w:color w:val="000000"/>
        </w:rPr>
        <w:t>The owner is responsible for:</w:t>
      </w:r>
    </w:p>
    <w:p w14:paraId="048F4319" w14:textId="51A09A78" w:rsidR="00FE6557" w:rsidRDefault="001E1EF0" w:rsidP="00FE6557">
      <w:pPr>
        <w:pStyle w:val="ESBodyText"/>
        <w:numPr>
          <w:ilvl w:val="0"/>
          <w:numId w:val="27"/>
        </w:numPr>
        <w:spacing w:line="276" w:lineRule="auto"/>
        <w:jc w:val="both"/>
      </w:pPr>
      <w:r>
        <w:rPr>
          <w:rStyle w:val="normaltextrun"/>
          <w:color w:val="000000"/>
          <w:lang w:val="en-GB"/>
        </w:rPr>
        <w:t>d</w:t>
      </w:r>
      <w:r w:rsidR="00FE6557">
        <w:rPr>
          <w:rStyle w:val="normaltextrun"/>
          <w:color w:val="000000"/>
          <w:lang w:val="en-GB"/>
        </w:rPr>
        <w:t>evelopment and regular review of this policy</w:t>
      </w:r>
    </w:p>
    <w:p w14:paraId="070DD03B" w14:textId="172CE556" w:rsidR="00FE6557" w:rsidRDefault="001E1EF0" w:rsidP="00FE6557">
      <w:pPr>
        <w:pStyle w:val="ESBodyText"/>
        <w:numPr>
          <w:ilvl w:val="0"/>
          <w:numId w:val="27"/>
        </w:numPr>
        <w:spacing w:line="276" w:lineRule="auto"/>
        <w:jc w:val="both"/>
      </w:pPr>
      <w:r>
        <w:rPr>
          <w:rStyle w:val="normaltextrun"/>
          <w:color w:val="000000"/>
          <w:lang w:val="en-GB"/>
        </w:rPr>
        <w:t>d</w:t>
      </w:r>
      <w:r w:rsidR="00FE6557">
        <w:rPr>
          <w:rStyle w:val="normaltextrun"/>
          <w:color w:val="000000"/>
          <w:lang w:val="en-GB"/>
        </w:rPr>
        <w:t>evelopment of protocols, processes and guidelines to support implementation</w:t>
      </w:r>
    </w:p>
    <w:p w14:paraId="37FA191D" w14:textId="3066D163" w:rsidR="00FE6557" w:rsidRPr="001E7676" w:rsidRDefault="001E1EF0" w:rsidP="00FE6557">
      <w:pPr>
        <w:pStyle w:val="ESBodyText"/>
        <w:numPr>
          <w:ilvl w:val="0"/>
          <w:numId w:val="27"/>
        </w:numPr>
        <w:spacing w:line="276" w:lineRule="auto"/>
        <w:jc w:val="both"/>
        <w:rPr>
          <w:rStyle w:val="normaltextrun"/>
        </w:rPr>
      </w:pPr>
      <w:r>
        <w:rPr>
          <w:rStyle w:val="normaltextrun"/>
          <w:color w:val="000000"/>
          <w:lang w:val="en-GB"/>
        </w:rPr>
        <w:t>m</w:t>
      </w:r>
      <w:r w:rsidR="00FE6557">
        <w:rPr>
          <w:rStyle w:val="normaltextrun"/>
          <w:color w:val="000000"/>
          <w:lang w:val="en-GB"/>
        </w:rPr>
        <w:t>onitoring compliance of applicable employees, organisational units, and/or locations</w:t>
      </w:r>
      <w:r w:rsidR="00FE6557">
        <w:rPr>
          <w:rStyle w:val="eop"/>
          <w:color w:val="000000"/>
        </w:rPr>
        <w:t>.</w:t>
      </w:r>
    </w:p>
    <w:p w14:paraId="10A2316C" w14:textId="77777777" w:rsidR="00FE6557" w:rsidRPr="00E8454F" w:rsidRDefault="00FE6557" w:rsidP="00FE6557">
      <w:pPr>
        <w:pStyle w:val="VCAAHeading3"/>
        <w:numPr>
          <w:ilvl w:val="1"/>
          <w:numId w:val="22"/>
        </w:numPr>
        <w:spacing w:line="276" w:lineRule="auto"/>
        <w:jc w:val="both"/>
        <w:rPr>
          <w:sz w:val="28"/>
          <w:szCs w:val="22"/>
        </w:rPr>
      </w:pPr>
      <w:bookmarkStart w:id="75" w:name="_Toc170825950"/>
      <w:r w:rsidRPr="00E8454F">
        <w:rPr>
          <w:sz w:val="28"/>
          <w:szCs w:val="22"/>
        </w:rPr>
        <w:t>Important dates</w:t>
      </w:r>
      <w:bookmarkEnd w:id="75"/>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6"/>
        <w:gridCol w:w="4352"/>
      </w:tblGrid>
      <w:tr w:rsidR="00FE6557" w:rsidRPr="001E7676" w14:paraId="7EE3D510" w14:textId="77777777" w:rsidTr="0077160E">
        <w:trPr>
          <w:trHeight w:val="300"/>
        </w:trPr>
        <w:tc>
          <w:tcPr>
            <w:tcW w:w="4815" w:type="dxa"/>
            <w:shd w:val="clear" w:color="auto" w:fill="auto"/>
            <w:hideMark/>
          </w:tcPr>
          <w:p w14:paraId="394EC571" w14:textId="737B7ED4" w:rsidR="00FE6557" w:rsidRPr="001E7676" w:rsidRDefault="00FE6557" w:rsidP="0077160E">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w:t>
            </w:r>
          </w:p>
        </w:tc>
        <w:tc>
          <w:tcPr>
            <w:tcW w:w="4800" w:type="dxa"/>
            <w:shd w:val="clear" w:color="auto" w:fill="auto"/>
            <w:hideMark/>
          </w:tcPr>
          <w:p w14:paraId="1DF94549" w14:textId="63BD903C" w:rsidR="00FE6557" w:rsidRPr="001E7676" w:rsidRDefault="00FE6557" w:rsidP="0077160E">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00FE6557" w:rsidRPr="001E7676" w14:paraId="5BCA135D" w14:textId="77777777" w:rsidTr="0077160E">
        <w:trPr>
          <w:trHeight w:val="300"/>
        </w:trPr>
        <w:tc>
          <w:tcPr>
            <w:tcW w:w="4815" w:type="dxa"/>
            <w:shd w:val="clear" w:color="auto" w:fill="auto"/>
            <w:hideMark/>
          </w:tcPr>
          <w:p w14:paraId="0571B4F6" w14:textId="7A534C59" w:rsidR="00FE6557" w:rsidRPr="001E7676" w:rsidRDefault="00FE6557" w:rsidP="0077160E">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w:t>
            </w:r>
          </w:p>
        </w:tc>
        <w:tc>
          <w:tcPr>
            <w:tcW w:w="4800" w:type="dxa"/>
            <w:shd w:val="clear" w:color="auto" w:fill="auto"/>
            <w:hideMark/>
          </w:tcPr>
          <w:p w14:paraId="7637F54A" w14:textId="68A4EA84" w:rsidR="00FE6557" w:rsidRPr="001E7676" w:rsidRDefault="00FE6557" w:rsidP="0077160E">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00FE6557" w:rsidRPr="001E7676" w14:paraId="164B2742" w14:textId="77777777" w:rsidTr="0077160E">
        <w:trPr>
          <w:trHeight w:val="300"/>
        </w:trPr>
        <w:tc>
          <w:tcPr>
            <w:tcW w:w="4815" w:type="dxa"/>
            <w:shd w:val="clear" w:color="auto" w:fill="auto"/>
            <w:hideMark/>
          </w:tcPr>
          <w:p w14:paraId="7255BDCF" w14:textId="19C5B148" w:rsidR="00FE6557" w:rsidRPr="001E7676" w:rsidRDefault="00FE6557" w:rsidP="0077160E">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w:t>
            </w:r>
          </w:p>
        </w:tc>
        <w:tc>
          <w:tcPr>
            <w:tcW w:w="4800" w:type="dxa"/>
            <w:shd w:val="clear" w:color="auto" w:fill="auto"/>
            <w:hideMark/>
          </w:tcPr>
          <w:p w14:paraId="5E5FA509" w14:textId="502EDD23" w:rsidR="00FE6557" w:rsidRPr="001E7676" w:rsidRDefault="00FE6557" w:rsidP="0077160E">
            <w:pPr>
              <w:spacing w:line="276" w:lineRule="auto"/>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w:t>
            </w:r>
          </w:p>
        </w:tc>
      </w:tr>
    </w:tbl>
    <w:p w14:paraId="5C2DD269" w14:textId="77777777" w:rsidR="00FE6557" w:rsidRPr="00F706DB" w:rsidRDefault="00FE6557" w:rsidP="00FE6557">
      <w:pPr>
        <w:pStyle w:val="VCAAHeading2"/>
        <w:numPr>
          <w:ilvl w:val="0"/>
          <w:numId w:val="22"/>
        </w:numPr>
        <w:spacing w:line="276" w:lineRule="auto"/>
        <w:jc w:val="both"/>
      </w:pPr>
      <w:bookmarkStart w:id="76" w:name="_Toc163483878"/>
      <w:bookmarkStart w:id="77" w:name="_Toc163569463"/>
      <w:bookmarkStart w:id="78" w:name="_Toc170825951"/>
      <w:bookmarkStart w:id="79" w:name="_Toc173413873"/>
      <w:bookmarkEnd w:id="69"/>
      <w:r w:rsidRPr="001A01AE">
        <w:rPr>
          <w:rStyle w:val="normaltextrun"/>
        </w:rPr>
        <w:t>Related documents</w:t>
      </w:r>
      <w:bookmarkEnd w:id="70"/>
      <w:bookmarkEnd w:id="71"/>
      <w:bookmarkEnd w:id="76"/>
      <w:bookmarkEnd w:id="77"/>
      <w:bookmarkEnd w:id="78"/>
      <w:bookmarkEnd w:id="79"/>
    </w:p>
    <w:p w14:paraId="64EDF244" w14:textId="77777777" w:rsidR="00FE6557" w:rsidRPr="00C65C63" w:rsidRDefault="00FE6557" w:rsidP="00FE6557">
      <w:pPr>
        <w:pStyle w:val="ESBodyText"/>
        <w:numPr>
          <w:ilvl w:val="0"/>
          <w:numId w:val="28"/>
        </w:numPr>
        <w:spacing w:line="276" w:lineRule="auto"/>
        <w:jc w:val="both"/>
        <w:rPr>
          <w:rFonts w:eastAsiaTheme="minorHAnsi"/>
          <w:iCs/>
        </w:rPr>
      </w:pPr>
      <w:r w:rsidRPr="00C65C63">
        <w:rPr>
          <w:rFonts w:eastAsiaTheme="minorHAnsi"/>
          <w:iCs/>
        </w:rPr>
        <w:t>Public Administration Act 2004 (Vic)</w:t>
      </w:r>
    </w:p>
    <w:p w14:paraId="1773F8AA" w14:textId="77777777" w:rsidR="00FE6557" w:rsidRPr="00C65C63" w:rsidRDefault="00FE6557" w:rsidP="00FE6557">
      <w:pPr>
        <w:pStyle w:val="ESBodyText"/>
        <w:numPr>
          <w:ilvl w:val="0"/>
          <w:numId w:val="28"/>
        </w:numPr>
        <w:spacing w:line="276" w:lineRule="auto"/>
        <w:jc w:val="both"/>
        <w:rPr>
          <w:rFonts w:eastAsiaTheme="minorHAnsi"/>
        </w:rPr>
      </w:pPr>
      <w:r w:rsidRPr="00090D7F">
        <w:rPr>
          <w:rFonts w:eastAsiaTheme="minorHAnsi"/>
        </w:rPr>
        <w:t>Code of Conduct for Victorian Public Sector Employees</w:t>
      </w:r>
    </w:p>
    <w:p w14:paraId="5717630E" w14:textId="77777777" w:rsidR="00FE6557" w:rsidRPr="00D4543A" w:rsidRDefault="00FE6557" w:rsidP="00FE6557">
      <w:pPr>
        <w:pStyle w:val="BodyText"/>
        <w:widowControl w:val="0"/>
        <w:numPr>
          <w:ilvl w:val="0"/>
          <w:numId w:val="28"/>
        </w:numPr>
        <w:autoSpaceDE w:val="0"/>
        <w:autoSpaceDN w:val="0"/>
        <w:spacing w:before="0" w:line="276" w:lineRule="auto"/>
        <w:jc w:val="both"/>
      </w:pPr>
      <w:r>
        <w:lastRenderedPageBreak/>
        <w:t xml:space="preserve">VCAA </w:t>
      </w:r>
      <w:r w:rsidRPr="00D4543A">
        <w:t>Gifts, Benefits and Hospitality</w:t>
      </w:r>
      <w:r>
        <w:t xml:space="preserve"> Policy</w:t>
      </w:r>
    </w:p>
    <w:p w14:paraId="373FECFF" w14:textId="77777777" w:rsidR="00FE6557" w:rsidRPr="00D4543A" w:rsidRDefault="00FE6557" w:rsidP="00FE6557">
      <w:pPr>
        <w:pStyle w:val="BodyText"/>
        <w:widowControl w:val="0"/>
        <w:numPr>
          <w:ilvl w:val="0"/>
          <w:numId w:val="28"/>
        </w:numPr>
        <w:autoSpaceDE w:val="0"/>
        <w:autoSpaceDN w:val="0"/>
        <w:spacing w:before="0" w:line="276" w:lineRule="auto"/>
        <w:jc w:val="both"/>
      </w:pPr>
      <w:r>
        <w:t xml:space="preserve">VCAA </w:t>
      </w:r>
      <w:r w:rsidRPr="00C65C63">
        <w:t>Fraud Corruption and Other Losses Control Policy</w:t>
      </w:r>
    </w:p>
    <w:p w14:paraId="2A73D578" w14:textId="77777777" w:rsidR="00FE6557" w:rsidRPr="00D4543A" w:rsidRDefault="00FE6557" w:rsidP="00FE6557">
      <w:pPr>
        <w:pStyle w:val="BodyText"/>
        <w:widowControl w:val="0"/>
        <w:numPr>
          <w:ilvl w:val="0"/>
          <w:numId w:val="28"/>
        </w:numPr>
        <w:autoSpaceDE w:val="0"/>
        <w:autoSpaceDN w:val="0"/>
        <w:spacing w:before="0" w:line="276" w:lineRule="auto"/>
        <w:jc w:val="both"/>
      </w:pPr>
      <w:r>
        <w:t>VCAA</w:t>
      </w:r>
      <w:r w:rsidRPr="00C65C63">
        <w:t xml:space="preserve"> Misconduct and </w:t>
      </w:r>
      <w:r>
        <w:t>U</w:t>
      </w:r>
      <w:r w:rsidRPr="00C65C63">
        <w:t>nsatisfactory Performance</w:t>
      </w:r>
      <w:r>
        <w:t xml:space="preserve"> Policy.</w:t>
      </w:r>
    </w:p>
    <w:sectPr w:rsidR="00FE6557" w:rsidRPr="00D4543A" w:rsidSect="00881105">
      <w:headerReference w:type="default" r:id="rId26"/>
      <w:footerReference w:type="default" r:id="rId27"/>
      <w:headerReference w:type="first" r:id="rId28"/>
      <w:footerReference w:type="first" r:id="rId29"/>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D80E" w14:textId="77777777" w:rsidR="00350E9A" w:rsidRDefault="00350E9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A52AB">
          <w:pPr>
            <w:tabs>
              <w:tab w:val="right" w:pos="9639"/>
            </w:tabs>
            <w:ind w:right="214"/>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DA52AB"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7D0EA09B" w:rsidR="00350E9A" w:rsidRPr="00322123" w:rsidRDefault="008B33FB" w:rsidP="00A11696">
        <w:r>
          <w:t>Conflict of interest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2DE1"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11D" w14:textId="77777777" w:rsidR="00350E9A" w:rsidRPr="00A77F1C" w:rsidRDefault="00350E9A" w:rsidP="00707E68">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7806" w14:textId="14FC9B8A" w:rsidR="00350E9A" w:rsidRPr="00322123" w:rsidRDefault="00DA52AB"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8B33FB">
          <w:t>Conflict of interest policy</w:t>
        </w:r>
      </w:sdtContent>
    </w:sdt>
    <w:r w:rsidR="00E44381" w:rsidRP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A868" w14:textId="7C7D207D"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8B33FB">
          <w:t>Conflict of interest policy</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040CC"/>
    <w:multiLevelType w:val="hybridMultilevel"/>
    <w:tmpl w:val="D76CD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38723A"/>
    <w:multiLevelType w:val="hybridMultilevel"/>
    <w:tmpl w:val="FA66B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7649AE"/>
    <w:multiLevelType w:val="hybridMultilevel"/>
    <w:tmpl w:val="C1405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3D4EFB"/>
    <w:multiLevelType w:val="hybridMultilevel"/>
    <w:tmpl w:val="7EBC7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D5656B"/>
    <w:multiLevelType w:val="hybridMultilevel"/>
    <w:tmpl w:val="F5345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D5690E"/>
    <w:multiLevelType w:val="hybridMultilevel"/>
    <w:tmpl w:val="052E0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3F6D41"/>
    <w:multiLevelType w:val="hybridMultilevel"/>
    <w:tmpl w:val="6E647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805C42"/>
    <w:multiLevelType w:val="hybridMultilevel"/>
    <w:tmpl w:val="9D02C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B27691A"/>
    <w:multiLevelType w:val="hybridMultilevel"/>
    <w:tmpl w:val="C2909A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776081"/>
    <w:multiLevelType w:val="hybridMultilevel"/>
    <w:tmpl w:val="162AB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BDA2F0D"/>
    <w:multiLevelType w:val="hybridMultilevel"/>
    <w:tmpl w:val="713C79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A17228"/>
    <w:multiLevelType w:val="hybridMultilevel"/>
    <w:tmpl w:val="75F4A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0600B0"/>
    <w:multiLevelType w:val="hybridMultilevel"/>
    <w:tmpl w:val="3022D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8824C30"/>
    <w:multiLevelType w:val="hybridMultilevel"/>
    <w:tmpl w:val="376A5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36448B2"/>
    <w:multiLevelType w:val="hybridMultilevel"/>
    <w:tmpl w:val="49FC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47B51C1A"/>
    <w:multiLevelType w:val="hybridMultilevel"/>
    <w:tmpl w:val="53F4352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8924516"/>
    <w:multiLevelType w:val="hybridMultilevel"/>
    <w:tmpl w:val="FD4AC0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424047"/>
    <w:multiLevelType w:val="multilevel"/>
    <w:tmpl w:val="F0FC83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4B0B1757"/>
    <w:multiLevelType w:val="hybridMultilevel"/>
    <w:tmpl w:val="42AC3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BC58AA"/>
    <w:multiLevelType w:val="hybridMultilevel"/>
    <w:tmpl w:val="98C41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16284A"/>
    <w:multiLevelType w:val="hybridMultilevel"/>
    <w:tmpl w:val="A52C0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592F21C4"/>
    <w:multiLevelType w:val="hybridMultilevel"/>
    <w:tmpl w:val="399A1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5FE80388"/>
    <w:multiLevelType w:val="hybridMultilevel"/>
    <w:tmpl w:val="74A8F0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997950"/>
    <w:multiLevelType w:val="hybridMultilevel"/>
    <w:tmpl w:val="6F78C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4" w15:restartNumberingAfterBreak="0">
    <w:nsid w:val="650B1F26"/>
    <w:multiLevelType w:val="hybridMultilevel"/>
    <w:tmpl w:val="CD9C7D4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912159"/>
    <w:multiLevelType w:val="hybridMultilevel"/>
    <w:tmpl w:val="00EC9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A6F654F"/>
    <w:multiLevelType w:val="hybridMultilevel"/>
    <w:tmpl w:val="B76E8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C705EBA"/>
    <w:multiLevelType w:val="hybridMultilevel"/>
    <w:tmpl w:val="9408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355350">
    <w:abstractNumId w:val="43"/>
  </w:num>
  <w:num w:numId="2" w16cid:durableId="116458358">
    <w:abstractNumId w:val="38"/>
  </w:num>
  <w:num w:numId="3" w16cid:durableId="1925257724">
    <w:abstractNumId w:val="29"/>
  </w:num>
  <w:num w:numId="4" w16cid:durableId="214388723">
    <w:abstractNumId w:val="18"/>
  </w:num>
  <w:num w:numId="5" w16cid:durableId="711996426">
    <w:abstractNumId w:val="40"/>
  </w:num>
  <w:num w:numId="6" w16cid:durableId="1236934448">
    <w:abstractNumId w:val="19"/>
  </w:num>
  <w:num w:numId="7" w16cid:durableId="2021656439">
    <w:abstractNumId w:val="14"/>
  </w:num>
  <w:num w:numId="8" w16cid:durableId="329253850">
    <w:abstractNumId w:val="25"/>
  </w:num>
  <w:num w:numId="9" w16cid:durableId="1246761816">
    <w:abstractNumId w:val="37"/>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567807332">
    <w:abstractNumId w:val="24"/>
  </w:num>
  <w:num w:numId="21" w16cid:durableId="454905460">
    <w:abstractNumId w:val="15"/>
  </w:num>
  <w:num w:numId="22" w16cid:durableId="411120145">
    <w:abstractNumId w:val="32"/>
  </w:num>
  <w:num w:numId="23" w16cid:durableId="2055228676">
    <w:abstractNumId w:val="45"/>
  </w:num>
  <w:num w:numId="24" w16cid:durableId="48656004">
    <w:abstractNumId w:val="12"/>
  </w:num>
  <w:num w:numId="25" w16cid:durableId="347411417">
    <w:abstractNumId w:val="16"/>
  </w:num>
  <w:num w:numId="26" w16cid:durableId="1713456087">
    <w:abstractNumId w:val="42"/>
  </w:num>
  <w:num w:numId="27" w16cid:durableId="1642156376">
    <w:abstractNumId w:val="34"/>
  </w:num>
  <w:num w:numId="28" w16cid:durableId="1625844925">
    <w:abstractNumId w:val="39"/>
  </w:num>
  <w:num w:numId="29" w16cid:durableId="738871129">
    <w:abstractNumId w:val="36"/>
  </w:num>
  <w:num w:numId="30" w16cid:durableId="1654874976">
    <w:abstractNumId w:val="17"/>
  </w:num>
  <w:num w:numId="31" w16cid:durableId="1487816184">
    <w:abstractNumId w:val="10"/>
  </w:num>
  <w:num w:numId="32" w16cid:durableId="151530850">
    <w:abstractNumId w:val="33"/>
  </w:num>
  <w:num w:numId="33" w16cid:durableId="706221569">
    <w:abstractNumId w:val="44"/>
  </w:num>
  <w:num w:numId="34" w16cid:durableId="308675694">
    <w:abstractNumId w:val="20"/>
  </w:num>
  <w:num w:numId="35" w16cid:durableId="1096709451">
    <w:abstractNumId w:val="21"/>
  </w:num>
  <w:num w:numId="36" w16cid:durableId="1073964034">
    <w:abstractNumId w:val="41"/>
  </w:num>
  <w:num w:numId="37" w16cid:durableId="1850290319">
    <w:abstractNumId w:val="23"/>
  </w:num>
  <w:num w:numId="38" w16cid:durableId="1585723677">
    <w:abstractNumId w:val="31"/>
  </w:num>
  <w:num w:numId="39" w16cid:durableId="1516312371">
    <w:abstractNumId w:val="30"/>
  </w:num>
  <w:num w:numId="40" w16cid:durableId="1366516409">
    <w:abstractNumId w:val="26"/>
  </w:num>
  <w:num w:numId="41" w16cid:durableId="772359385">
    <w:abstractNumId w:val="46"/>
  </w:num>
  <w:num w:numId="42" w16cid:durableId="390465943">
    <w:abstractNumId w:val="11"/>
  </w:num>
  <w:num w:numId="43" w16cid:durableId="692850879">
    <w:abstractNumId w:val="27"/>
  </w:num>
  <w:num w:numId="44" w16cid:durableId="1699309178">
    <w:abstractNumId w:val="22"/>
  </w:num>
  <w:num w:numId="45" w16cid:durableId="437145149">
    <w:abstractNumId w:val="35"/>
  </w:num>
  <w:num w:numId="46" w16cid:durableId="1119685879">
    <w:abstractNumId w:val="13"/>
  </w:num>
  <w:num w:numId="47" w16cid:durableId="254368136">
    <w:abstractNumId w:val="47"/>
  </w:num>
  <w:num w:numId="48" w16cid:durableId="1711405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72FFB"/>
    <w:rsid w:val="000800BF"/>
    <w:rsid w:val="000862FB"/>
    <w:rsid w:val="000874DB"/>
    <w:rsid w:val="000877AD"/>
    <w:rsid w:val="000A71F7"/>
    <w:rsid w:val="000F09E4"/>
    <w:rsid w:val="000F16FD"/>
    <w:rsid w:val="000F1D5C"/>
    <w:rsid w:val="000F3A47"/>
    <w:rsid w:val="000F5CEC"/>
    <w:rsid w:val="000F6DF8"/>
    <w:rsid w:val="000F70C1"/>
    <w:rsid w:val="0012390E"/>
    <w:rsid w:val="00124ADA"/>
    <w:rsid w:val="001363D1"/>
    <w:rsid w:val="00137106"/>
    <w:rsid w:val="00163EE0"/>
    <w:rsid w:val="00163FEA"/>
    <w:rsid w:val="00167DF0"/>
    <w:rsid w:val="001726B3"/>
    <w:rsid w:val="001807AA"/>
    <w:rsid w:val="00182B7F"/>
    <w:rsid w:val="001907BA"/>
    <w:rsid w:val="001E1EF0"/>
    <w:rsid w:val="001E625C"/>
    <w:rsid w:val="001E7A85"/>
    <w:rsid w:val="001F3839"/>
    <w:rsid w:val="00205431"/>
    <w:rsid w:val="00210AB7"/>
    <w:rsid w:val="002208AD"/>
    <w:rsid w:val="002214BA"/>
    <w:rsid w:val="00224855"/>
    <w:rsid w:val="002279BA"/>
    <w:rsid w:val="00231558"/>
    <w:rsid w:val="002329F3"/>
    <w:rsid w:val="002402F1"/>
    <w:rsid w:val="0024128D"/>
    <w:rsid w:val="002423FB"/>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1B4B"/>
    <w:rsid w:val="00314D81"/>
    <w:rsid w:val="0031607E"/>
    <w:rsid w:val="00322123"/>
    <w:rsid w:val="00322FC6"/>
    <w:rsid w:val="00350E9A"/>
    <w:rsid w:val="00365D51"/>
    <w:rsid w:val="003701BC"/>
    <w:rsid w:val="00391986"/>
    <w:rsid w:val="003C0381"/>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55293"/>
    <w:rsid w:val="00665E92"/>
    <w:rsid w:val="00672AFB"/>
    <w:rsid w:val="00693953"/>
    <w:rsid w:val="00693FFD"/>
    <w:rsid w:val="006A2E04"/>
    <w:rsid w:val="006A7D06"/>
    <w:rsid w:val="006C4D3D"/>
    <w:rsid w:val="006D2159"/>
    <w:rsid w:val="006D764C"/>
    <w:rsid w:val="006F5551"/>
    <w:rsid w:val="006F787C"/>
    <w:rsid w:val="00702636"/>
    <w:rsid w:val="00707E68"/>
    <w:rsid w:val="00707F21"/>
    <w:rsid w:val="00714643"/>
    <w:rsid w:val="0071657E"/>
    <w:rsid w:val="00724507"/>
    <w:rsid w:val="007270FB"/>
    <w:rsid w:val="00747608"/>
    <w:rsid w:val="007515F6"/>
    <w:rsid w:val="007619E0"/>
    <w:rsid w:val="00773E6C"/>
    <w:rsid w:val="007818F5"/>
    <w:rsid w:val="007D4FB6"/>
    <w:rsid w:val="007E1ED2"/>
    <w:rsid w:val="007E5E88"/>
    <w:rsid w:val="008027E3"/>
    <w:rsid w:val="00813C37"/>
    <w:rsid w:val="008154B5"/>
    <w:rsid w:val="00823962"/>
    <w:rsid w:val="008375FE"/>
    <w:rsid w:val="008420AF"/>
    <w:rsid w:val="00850219"/>
    <w:rsid w:val="00851757"/>
    <w:rsid w:val="00852719"/>
    <w:rsid w:val="00853A48"/>
    <w:rsid w:val="00860115"/>
    <w:rsid w:val="008715F5"/>
    <w:rsid w:val="008810CF"/>
    <w:rsid w:val="00881105"/>
    <w:rsid w:val="008857C4"/>
    <w:rsid w:val="0088783C"/>
    <w:rsid w:val="008955EB"/>
    <w:rsid w:val="0089628D"/>
    <w:rsid w:val="00896ABD"/>
    <w:rsid w:val="008B1103"/>
    <w:rsid w:val="008B33FB"/>
    <w:rsid w:val="008B352E"/>
    <w:rsid w:val="008C34FB"/>
    <w:rsid w:val="008E031A"/>
    <w:rsid w:val="008E0A9E"/>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B3BDA"/>
    <w:rsid w:val="00CC2384"/>
    <w:rsid w:val="00CC53F9"/>
    <w:rsid w:val="00CC7529"/>
    <w:rsid w:val="00CD454F"/>
    <w:rsid w:val="00CE4547"/>
    <w:rsid w:val="00D021BF"/>
    <w:rsid w:val="00D0381D"/>
    <w:rsid w:val="00D100E2"/>
    <w:rsid w:val="00D1511A"/>
    <w:rsid w:val="00D338E4"/>
    <w:rsid w:val="00D35538"/>
    <w:rsid w:val="00D51947"/>
    <w:rsid w:val="00D532F0"/>
    <w:rsid w:val="00D55257"/>
    <w:rsid w:val="00D561B3"/>
    <w:rsid w:val="00D652E8"/>
    <w:rsid w:val="00D77413"/>
    <w:rsid w:val="00D82759"/>
    <w:rsid w:val="00D86551"/>
    <w:rsid w:val="00D86DE4"/>
    <w:rsid w:val="00D91CAB"/>
    <w:rsid w:val="00D941C2"/>
    <w:rsid w:val="00DA503D"/>
    <w:rsid w:val="00DA52AB"/>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35442"/>
    <w:rsid w:val="00F40D53"/>
    <w:rsid w:val="00F4108B"/>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6557"/>
    <w:rsid w:val="00FF4ED5"/>
    <w:rsid w:val="1AA435BE"/>
    <w:rsid w:val="4D9FBB53"/>
    <w:rsid w:val="749F2337"/>
    <w:rsid w:val="79E3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F6DF8"/>
    <w:pPr>
      <w:tabs>
        <w:tab w:val="right" w:leader="dot" w:pos="9639"/>
      </w:tabs>
      <w:spacing w:after="100"/>
      <w:ind w:left="442"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1"/>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customStyle="1" w:styleId="ESBodyText">
    <w:name w:val="ES_Body Text"/>
    <w:basedOn w:val="Normal"/>
    <w:qFormat/>
    <w:rsid w:val="00FE6557"/>
    <w:pPr>
      <w:spacing w:after="120" w:line="240" w:lineRule="atLeast"/>
    </w:pPr>
    <w:rPr>
      <w:rFonts w:ascii="Arial" w:eastAsiaTheme="minorEastAsia" w:hAnsi="Arial" w:cs="Arial"/>
      <w:sz w:val="18"/>
      <w:szCs w:val="18"/>
    </w:rPr>
  </w:style>
  <w:style w:type="paragraph" w:customStyle="1" w:styleId="VCAAbody">
    <w:name w:val="VCAA body"/>
    <w:link w:val="VCAAbodyChar"/>
    <w:qFormat/>
    <w:rsid w:val="00FE6557"/>
    <w:pPr>
      <w:spacing w:before="120" w:after="120" w:line="280" w:lineRule="exact"/>
    </w:pPr>
    <w:rPr>
      <w:rFonts w:asciiTheme="majorHAnsi" w:hAnsiTheme="majorHAnsi" w:cs="Arial"/>
      <w:color w:val="000000" w:themeColor="text1"/>
      <w:sz w:val="20"/>
    </w:rPr>
  </w:style>
  <w:style w:type="character" w:customStyle="1" w:styleId="VCAAbodyChar">
    <w:name w:val="VCAA body Char"/>
    <w:basedOn w:val="DefaultParagraphFont"/>
    <w:link w:val="VCAAbody"/>
    <w:rsid w:val="00FE6557"/>
    <w:rPr>
      <w:rFonts w:asciiTheme="majorHAnsi" w:hAnsiTheme="majorHAnsi" w:cs="Arial"/>
      <w:color w:val="000000" w:themeColor="text1"/>
      <w:sz w:val="20"/>
    </w:rPr>
  </w:style>
  <w:style w:type="paragraph" w:customStyle="1" w:styleId="VCAAHeading2">
    <w:name w:val="VCAA Heading 2"/>
    <w:next w:val="VCAAbody"/>
    <w:qFormat/>
    <w:rsid w:val="00FE6557"/>
    <w:pPr>
      <w:spacing w:before="400" w:after="120" w:line="480" w:lineRule="exact"/>
      <w:contextualSpacing/>
      <w:outlineLvl w:val="2"/>
    </w:pPr>
    <w:rPr>
      <w:rFonts w:ascii="Arial" w:hAnsi="Arial" w:cs="Arial"/>
      <w:color w:val="0F7EB4"/>
      <w:sz w:val="40"/>
      <w:szCs w:val="28"/>
    </w:rPr>
  </w:style>
  <w:style w:type="paragraph" w:customStyle="1" w:styleId="VCAAHeading5">
    <w:name w:val="VCAA Heading 5"/>
    <w:next w:val="VCAAbody"/>
    <w:qFormat/>
    <w:rsid w:val="00FE6557"/>
    <w:pPr>
      <w:spacing w:before="240" w:after="120" w:line="320" w:lineRule="exact"/>
      <w:outlineLvl w:val="5"/>
    </w:pPr>
    <w:rPr>
      <w:rFonts w:ascii="Arial" w:hAnsi="Arial" w:cs="Arial"/>
      <w:color w:val="0F7EB4"/>
      <w:sz w:val="24"/>
      <w:szCs w:val="20"/>
      <w:lang w:val="en" w:eastAsia="en-AU"/>
    </w:rPr>
  </w:style>
  <w:style w:type="paragraph" w:customStyle="1" w:styleId="VCAAHeading3">
    <w:name w:val="VCAA Heading 3"/>
    <w:next w:val="VCAAbody"/>
    <w:qFormat/>
    <w:rsid w:val="00FE6557"/>
    <w:pPr>
      <w:spacing w:before="320" w:after="120" w:line="400" w:lineRule="exact"/>
      <w:outlineLvl w:val="3"/>
    </w:pPr>
    <w:rPr>
      <w:rFonts w:ascii="Arial" w:hAnsi="Arial" w:cs="Arial"/>
      <w:color w:val="0F7EB4"/>
      <w:sz w:val="32"/>
      <w:szCs w:val="24"/>
    </w:rPr>
  </w:style>
  <w:style w:type="character" w:customStyle="1" w:styleId="normaltextrun">
    <w:name w:val="normaltextrun"/>
    <w:basedOn w:val="DefaultParagraphFont"/>
    <w:rsid w:val="00FE6557"/>
  </w:style>
  <w:style w:type="character" w:customStyle="1" w:styleId="eop">
    <w:name w:val="eop"/>
    <w:basedOn w:val="DefaultParagraphFont"/>
    <w:rsid w:val="00FE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caa.publications@education.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caa.copyright@edumail.vic.gov.au"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vcaa.vic.edu.au/Pages/HomePage.aspx"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Footer/Pages/Copyright.aspx"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72FFB"/>
    <w:rsid w:val="000877AD"/>
    <w:rsid w:val="00224855"/>
    <w:rsid w:val="00256B25"/>
    <w:rsid w:val="00266E53"/>
    <w:rsid w:val="004567A0"/>
    <w:rsid w:val="00472EE5"/>
    <w:rsid w:val="009211D7"/>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f77e68f7-c052-4667-a1a6-124cfe860c79"/>
    <ds:schemaRef ds:uri="91390586-87fb-46cf-92ab-e8c7138719eb"/>
    <ds:schemaRef ds:uri="1dfda961-1ef8-479d-a039-ba17e335c3a2"/>
    <ds:schemaRef ds:uri="603ce84b-db6c-4b71-aec5-1961e312b7c3"/>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36EB743A-BBFF-46A0-BCB5-7B3CAD21D4BB}"/>
</file>

<file path=docProps/app.xml><?xml version="1.0" encoding="utf-8"?>
<Properties xmlns="http://schemas.openxmlformats.org/officeDocument/2006/extended-properties" xmlns:vt="http://schemas.openxmlformats.org/officeDocument/2006/docPropsVTypes">
  <Template>Normal.dotm</Template>
  <TotalTime>0</TotalTime>
  <Pages>13</Pages>
  <Words>3955</Words>
  <Characters>22545</Characters>
  <Application>Microsoft Office Word</Application>
  <DocSecurity>0</DocSecurity>
  <Lines>187</Lines>
  <Paragraphs>52</Paragraphs>
  <ScaleCrop>false</ScaleCrop>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
  <cp:lastModifiedBy/>
  <cp:revision>1</cp:revision>
  <dcterms:created xsi:type="dcterms:W3CDTF">2024-08-01T04:08:00Z</dcterms:created>
  <dcterms:modified xsi:type="dcterms:W3CDTF">2024-08-01T04:10:00Z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iManageFooter">
    <vt:lpwstr>13774193v2</vt:lpwstr>
  </property>
  <property fmtid="{D5CDD505-2E9C-101B-9397-08002B2CF9AE}" pid="5" name="LastSaved">
    <vt:filetime>2023-12-01T00:00:00Z</vt:filetime>
  </property>
  <property fmtid="{D5CDD505-2E9C-101B-9397-08002B2CF9AE}" pid="6" name="Producer">
    <vt:lpwstr>Adobe PDF Library 23.6.156</vt:lpwstr>
  </property>
  <property fmtid="{D5CDD505-2E9C-101B-9397-08002B2CF9AE}" pid="7" name="Created">
    <vt:filetime>2023-11-27T00:00:00Z</vt:filetime>
  </property>
  <property fmtid="{D5CDD505-2E9C-101B-9397-08002B2CF9AE}" pid="8" name="SourceModified">
    <vt:lpwstr>D:20231127000347</vt:lpwstr>
  </property>
  <property fmtid="{D5CDD505-2E9C-101B-9397-08002B2CF9AE}" pid="9" name="Creator">
    <vt:lpwstr>Acrobat PDFMaker 23 for Word</vt:lpwstr>
  </property>
</Properties>
</file>