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displacedByCustomXml="next" w:id="0"/>
    <w:bookmarkStart w:name="_Toc398032444" w:displacedByCustomXml="next" w:id="1"/>
    <w:bookmarkStart w:name="_Toc398032631" w:displacedByCustomXml="next" w:id="2"/>
    <w:sdt>
      <w:sdtPr>
        <w:id w:val="-426587749"/>
        <w:lock w:val="contentLocked"/>
        <w:placeholder>
          <w:docPart w:val="DefaultPlaceholder_-1854013440"/>
        </w:placeholder>
        <w:group/>
      </w:sdtPr>
      <w:sdtEndPr/>
      <w:sdtContent>
        <w:p w:rsidRPr="004A22BC" w:rsidR="004A22BC" w:rsidP="008027E3" w:rsidRDefault="00DE35B5" w14:paraId="68C5BDC5" w14:textId="20859DC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5B41D4">
                <w:t>Employment and sponsorship of overseas workers guideline</w:t>
              </w:r>
            </w:sdtContent>
          </w:sdt>
        </w:p>
      </w:sdtContent>
    </w:sdt>
    <w:bookmarkEnd w:id="2"/>
    <w:bookmarkEnd w:id="1"/>
    <w:bookmarkEnd w:id="0"/>
    <w:p w:rsidRPr="004A22BC" w:rsidR="00C73F9D" w:rsidP="002402F1" w:rsidRDefault="003D421C" w14:paraId="050E2465" w14:textId="2829B8E5">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41B2F308">
      <w:pPr>
        <w:pStyle w:val="VCAAtrademarkinfo"/>
        <w:rPr>
          <w:lang w:val="en-AU"/>
        </w:rPr>
      </w:pPr>
      <w:r w:rsidRPr="00210AB7">
        <w:rPr>
          <w:lang w:val="en-AU"/>
        </w:rPr>
        <w:t xml:space="preserve">© Victorian Curriculum and Assessment Authority </w:t>
      </w:r>
      <w:r w:rsidR="005B41D4">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680245" w:rsidRDefault="00680245" w14:paraId="28C8BB29" w14:textId="07C85C4C">
      <w:pPr>
        <w:pStyle w:val="TOC1"/>
        <w:tabs>
          <w:tab w:val="left" w:pos="442"/>
        </w:tabs>
        <w:rPr>
          <w:rFonts w:asciiTheme="minorHAnsi" w:hAnsiTheme="minorHAnsi" w:eastAsiaTheme="minorEastAsia" w:cstheme="minorBidi"/>
          <w:b w:val="0"/>
          <w:bCs w:val="0"/>
          <w:kern w:val="2"/>
          <w:sz w:val="24"/>
          <w:lang w:eastAsia="en-GB"/>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0208007">
        <w:r w:rsidRPr="005373CF">
          <w:rPr>
            <w:rStyle w:val="Hyperlink"/>
          </w:rPr>
          <w:t>1.</w:t>
        </w:r>
        <w:r>
          <w:rPr>
            <w:rFonts w:asciiTheme="minorHAnsi" w:hAnsiTheme="minorHAnsi" w:eastAsiaTheme="minorEastAsia" w:cstheme="minorBidi"/>
            <w:b w:val="0"/>
            <w:bCs w:val="0"/>
            <w:kern w:val="2"/>
            <w:sz w:val="24"/>
            <w:lang w:eastAsia="en-GB"/>
            <w14:ligatures w14:val="standardContextual"/>
          </w:rPr>
          <w:tab/>
        </w:r>
        <w:r w:rsidRPr="005373CF">
          <w:rPr>
            <w:rStyle w:val="Hyperlink"/>
          </w:rPr>
          <w:t>Overview</w:t>
        </w:r>
        <w:r>
          <w:rPr>
            <w:webHidden/>
          </w:rPr>
          <w:tab/>
        </w:r>
        <w:r>
          <w:rPr>
            <w:webHidden/>
          </w:rPr>
          <w:fldChar w:fldCharType="begin"/>
        </w:r>
        <w:r>
          <w:rPr>
            <w:webHidden/>
          </w:rPr>
          <w:instrText xml:space="preserve"> PAGEREF _Toc170208007 \h </w:instrText>
        </w:r>
        <w:r>
          <w:rPr>
            <w:webHidden/>
          </w:rPr>
        </w:r>
        <w:r>
          <w:rPr>
            <w:webHidden/>
          </w:rPr>
          <w:fldChar w:fldCharType="separate"/>
        </w:r>
        <w:r>
          <w:rPr>
            <w:webHidden/>
          </w:rPr>
          <w:t>1</w:t>
        </w:r>
        <w:r>
          <w:rPr>
            <w:webHidden/>
          </w:rPr>
          <w:fldChar w:fldCharType="end"/>
        </w:r>
      </w:hyperlink>
    </w:p>
    <w:p w:rsidR="00680245" w:rsidRDefault="00DE35B5" w14:paraId="37C0E066" w14:textId="0B2FEF06">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08008">
        <w:r w:rsidRPr="005373CF" w:rsidR="00680245">
          <w:rPr>
            <w:rStyle w:val="Hyperlink"/>
          </w:rPr>
          <w:t>2.</w:t>
        </w:r>
        <w:r w:rsidR="00680245">
          <w:rPr>
            <w:rFonts w:asciiTheme="minorHAnsi" w:hAnsiTheme="minorHAnsi" w:eastAsiaTheme="minorEastAsia" w:cstheme="minorBidi"/>
            <w:b w:val="0"/>
            <w:bCs w:val="0"/>
            <w:kern w:val="2"/>
            <w:sz w:val="24"/>
            <w:lang w:eastAsia="en-GB"/>
            <w14:ligatures w14:val="standardContextual"/>
          </w:rPr>
          <w:tab/>
        </w:r>
        <w:r w:rsidRPr="005373CF" w:rsidR="00680245">
          <w:rPr>
            <w:rStyle w:val="Hyperlink"/>
          </w:rPr>
          <w:t>Objectives</w:t>
        </w:r>
        <w:r w:rsidR="00680245">
          <w:rPr>
            <w:webHidden/>
          </w:rPr>
          <w:tab/>
        </w:r>
        <w:r w:rsidR="00680245">
          <w:rPr>
            <w:webHidden/>
          </w:rPr>
          <w:fldChar w:fldCharType="begin"/>
        </w:r>
        <w:r w:rsidR="00680245">
          <w:rPr>
            <w:webHidden/>
          </w:rPr>
          <w:instrText xml:space="preserve"> PAGEREF _Toc170208008 \h </w:instrText>
        </w:r>
        <w:r w:rsidR="00680245">
          <w:rPr>
            <w:webHidden/>
          </w:rPr>
        </w:r>
        <w:r w:rsidR="00680245">
          <w:rPr>
            <w:webHidden/>
          </w:rPr>
          <w:fldChar w:fldCharType="separate"/>
        </w:r>
        <w:r w:rsidR="00680245">
          <w:rPr>
            <w:webHidden/>
          </w:rPr>
          <w:t>1</w:t>
        </w:r>
        <w:r w:rsidR="00680245">
          <w:rPr>
            <w:webHidden/>
          </w:rPr>
          <w:fldChar w:fldCharType="end"/>
        </w:r>
      </w:hyperlink>
    </w:p>
    <w:p w:rsidR="00680245" w:rsidRDefault="00DE35B5" w14:paraId="7D6D6DFC" w14:textId="671FA71B">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08009">
        <w:r w:rsidRPr="005373CF" w:rsidR="00680245">
          <w:rPr>
            <w:rStyle w:val="Hyperlink"/>
          </w:rPr>
          <w:t>3.</w:t>
        </w:r>
        <w:r w:rsidR="00680245">
          <w:rPr>
            <w:rFonts w:asciiTheme="minorHAnsi" w:hAnsiTheme="minorHAnsi" w:eastAsiaTheme="minorEastAsia" w:cstheme="minorBidi"/>
            <w:b w:val="0"/>
            <w:bCs w:val="0"/>
            <w:kern w:val="2"/>
            <w:sz w:val="24"/>
            <w:lang w:eastAsia="en-GB"/>
            <w14:ligatures w14:val="standardContextual"/>
          </w:rPr>
          <w:tab/>
        </w:r>
        <w:r w:rsidRPr="005373CF" w:rsidR="00680245">
          <w:rPr>
            <w:rStyle w:val="Hyperlink"/>
          </w:rPr>
          <w:t>Principles</w:t>
        </w:r>
        <w:r w:rsidR="00680245">
          <w:rPr>
            <w:webHidden/>
          </w:rPr>
          <w:tab/>
        </w:r>
        <w:r w:rsidR="00680245">
          <w:rPr>
            <w:webHidden/>
          </w:rPr>
          <w:fldChar w:fldCharType="begin"/>
        </w:r>
        <w:r w:rsidR="00680245">
          <w:rPr>
            <w:webHidden/>
          </w:rPr>
          <w:instrText xml:space="preserve"> PAGEREF _Toc170208009 \h </w:instrText>
        </w:r>
        <w:r w:rsidR="00680245">
          <w:rPr>
            <w:webHidden/>
          </w:rPr>
        </w:r>
        <w:r w:rsidR="00680245">
          <w:rPr>
            <w:webHidden/>
          </w:rPr>
          <w:fldChar w:fldCharType="separate"/>
        </w:r>
        <w:r w:rsidR="00680245">
          <w:rPr>
            <w:webHidden/>
          </w:rPr>
          <w:t>1</w:t>
        </w:r>
        <w:r w:rsidR="00680245">
          <w:rPr>
            <w:webHidden/>
          </w:rPr>
          <w:fldChar w:fldCharType="end"/>
        </w:r>
      </w:hyperlink>
    </w:p>
    <w:p w:rsidR="00680245" w:rsidRDefault="00DE35B5" w14:paraId="6A2160F1" w14:textId="59A623D1">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208010">
        <w:r w:rsidRPr="005373CF" w:rsidR="00680245">
          <w:rPr>
            <w:rStyle w:val="Hyperlink"/>
          </w:rPr>
          <w:t>3.1.</w:t>
        </w:r>
        <w:r w:rsidR="00680245">
          <w:rPr>
            <w:rFonts w:asciiTheme="minorHAnsi" w:hAnsiTheme="minorHAnsi" w:eastAsiaTheme="minorEastAsia" w:cstheme="minorBidi"/>
            <w:kern w:val="2"/>
            <w:sz w:val="24"/>
            <w:lang w:eastAsia="en-GB"/>
            <w14:ligatures w14:val="standardContextual"/>
          </w:rPr>
          <w:tab/>
        </w:r>
        <w:r w:rsidRPr="005373CF" w:rsidR="00680245">
          <w:rPr>
            <w:rStyle w:val="Hyperlink"/>
          </w:rPr>
          <w:t>Compliance with visa requirements</w:t>
        </w:r>
        <w:r w:rsidR="00680245">
          <w:rPr>
            <w:webHidden/>
          </w:rPr>
          <w:tab/>
        </w:r>
        <w:r w:rsidR="00680245">
          <w:rPr>
            <w:webHidden/>
          </w:rPr>
          <w:fldChar w:fldCharType="begin"/>
        </w:r>
        <w:r w:rsidR="00680245">
          <w:rPr>
            <w:webHidden/>
          </w:rPr>
          <w:instrText xml:space="preserve"> PAGEREF _Toc170208010 \h </w:instrText>
        </w:r>
        <w:r w:rsidR="00680245">
          <w:rPr>
            <w:webHidden/>
          </w:rPr>
        </w:r>
        <w:r w:rsidR="00680245">
          <w:rPr>
            <w:webHidden/>
          </w:rPr>
          <w:fldChar w:fldCharType="separate"/>
        </w:r>
        <w:r w:rsidR="00680245">
          <w:rPr>
            <w:webHidden/>
          </w:rPr>
          <w:t>1</w:t>
        </w:r>
        <w:r w:rsidR="00680245">
          <w:rPr>
            <w:webHidden/>
          </w:rPr>
          <w:fldChar w:fldCharType="end"/>
        </w:r>
      </w:hyperlink>
    </w:p>
    <w:p w:rsidR="00680245" w:rsidRDefault="00DE35B5" w14:paraId="1D90FC42" w14:textId="56DF28B0">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08011">
        <w:r w:rsidRPr="005373CF" w:rsidR="00680245">
          <w:rPr>
            <w:rStyle w:val="Hyperlink"/>
          </w:rPr>
          <w:t>4.</w:t>
        </w:r>
        <w:r w:rsidR="00680245">
          <w:rPr>
            <w:rFonts w:asciiTheme="minorHAnsi" w:hAnsiTheme="minorHAnsi" w:eastAsiaTheme="minorEastAsia" w:cstheme="minorBidi"/>
            <w:b w:val="0"/>
            <w:bCs w:val="0"/>
            <w:kern w:val="2"/>
            <w:sz w:val="24"/>
            <w:lang w:eastAsia="en-GB"/>
            <w14:ligatures w14:val="standardContextual"/>
          </w:rPr>
          <w:tab/>
        </w:r>
        <w:r w:rsidRPr="005373CF" w:rsidR="00680245">
          <w:rPr>
            <w:rStyle w:val="Hyperlink"/>
          </w:rPr>
          <w:t>Common visa types</w:t>
        </w:r>
        <w:r w:rsidR="00680245">
          <w:rPr>
            <w:webHidden/>
          </w:rPr>
          <w:tab/>
        </w:r>
        <w:r w:rsidR="00680245">
          <w:rPr>
            <w:webHidden/>
          </w:rPr>
          <w:fldChar w:fldCharType="begin"/>
        </w:r>
        <w:r w:rsidR="00680245">
          <w:rPr>
            <w:webHidden/>
          </w:rPr>
          <w:instrText xml:space="preserve"> PAGEREF _Toc170208011 \h </w:instrText>
        </w:r>
        <w:r w:rsidR="00680245">
          <w:rPr>
            <w:webHidden/>
          </w:rPr>
        </w:r>
        <w:r w:rsidR="00680245">
          <w:rPr>
            <w:webHidden/>
          </w:rPr>
          <w:fldChar w:fldCharType="separate"/>
        </w:r>
        <w:r w:rsidR="00680245">
          <w:rPr>
            <w:webHidden/>
          </w:rPr>
          <w:t>1</w:t>
        </w:r>
        <w:r w:rsidR="00680245">
          <w:rPr>
            <w:webHidden/>
          </w:rPr>
          <w:fldChar w:fldCharType="end"/>
        </w:r>
      </w:hyperlink>
    </w:p>
    <w:p w:rsidR="00680245" w:rsidRDefault="00DE35B5" w14:paraId="5E2A295F" w14:textId="44DCCBAE">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08012">
        <w:r w:rsidRPr="005373CF" w:rsidR="00680245">
          <w:rPr>
            <w:rStyle w:val="Hyperlink"/>
          </w:rPr>
          <w:t>5.</w:t>
        </w:r>
        <w:r w:rsidR="00680245">
          <w:rPr>
            <w:rFonts w:asciiTheme="minorHAnsi" w:hAnsiTheme="minorHAnsi" w:eastAsiaTheme="minorEastAsia" w:cstheme="minorBidi"/>
            <w:b w:val="0"/>
            <w:bCs w:val="0"/>
            <w:kern w:val="2"/>
            <w:sz w:val="24"/>
            <w:lang w:eastAsia="en-GB"/>
            <w14:ligatures w14:val="standardContextual"/>
          </w:rPr>
          <w:tab/>
        </w:r>
        <w:r w:rsidRPr="005373CF" w:rsidR="00680245">
          <w:rPr>
            <w:rStyle w:val="Hyperlink"/>
          </w:rPr>
          <w:t>Visa requirements</w:t>
        </w:r>
        <w:r w:rsidR="00680245">
          <w:rPr>
            <w:webHidden/>
          </w:rPr>
          <w:tab/>
        </w:r>
        <w:r w:rsidR="00680245">
          <w:rPr>
            <w:webHidden/>
          </w:rPr>
          <w:fldChar w:fldCharType="begin"/>
        </w:r>
        <w:r w:rsidR="00680245">
          <w:rPr>
            <w:webHidden/>
          </w:rPr>
          <w:instrText xml:space="preserve"> PAGEREF _Toc170208012 \h </w:instrText>
        </w:r>
        <w:r w:rsidR="00680245">
          <w:rPr>
            <w:webHidden/>
          </w:rPr>
        </w:r>
        <w:r w:rsidR="00680245">
          <w:rPr>
            <w:webHidden/>
          </w:rPr>
          <w:fldChar w:fldCharType="separate"/>
        </w:r>
        <w:r w:rsidR="00680245">
          <w:rPr>
            <w:webHidden/>
          </w:rPr>
          <w:t>2</w:t>
        </w:r>
        <w:r w:rsidR="00680245">
          <w:rPr>
            <w:webHidden/>
          </w:rPr>
          <w:fldChar w:fldCharType="end"/>
        </w:r>
      </w:hyperlink>
    </w:p>
    <w:p w:rsidR="00680245" w:rsidRDefault="00DE35B5" w14:paraId="12820099" w14:textId="37AFCFD9">
      <w:pPr>
        <w:pStyle w:val="TOC1"/>
        <w:tabs>
          <w:tab w:val="left" w:pos="442"/>
        </w:tabs>
        <w:rPr>
          <w:rFonts w:asciiTheme="minorHAnsi" w:hAnsiTheme="minorHAnsi" w:eastAsiaTheme="minorEastAsia" w:cstheme="minorBidi"/>
          <w:b w:val="0"/>
          <w:bCs w:val="0"/>
          <w:kern w:val="2"/>
          <w:sz w:val="24"/>
          <w:lang w:eastAsia="en-GB"/>
          <w14:ligatures w14:val="standardContextual"/>
        </w:rPr>
      </w:pPr>
      <w:hyperlink w:history="1" w:anchor="_Toc170208013">
        <w:r w:rsidRPr="005373CF" w:rsidR="00680245">
          <w:rPr>
            <w:rStyle w:val="Hyperlink"/>
          </w:rPr>
          <w:t>6.</w:t>
        </w:r>
        <w:r w:rsidR="00680245">
          <w:rPr>
            <w:rFonts w:asciiTheme="minorHAnsi" w:hAnsiTheme="minorHAnsi" w:eastAsiaTheme="minorEastAsia" w:cstheme="minorBidi"/>
            <w:b w:val="0"/>
            <w:bCs w:val="0"/>
            <w:kern w:val="2"/>
            <w:sz w:val="24"/>
            <w:lang w:eastAsia="en-GB"/>
            <w14:ligatures w14:val="standardContextual"/>
          </w:rPr>
          <w:tab/>
        </w:r>
        <w:r w:rsidRPr="005373CF" w:rsidR="00680245">
          <w:rPr>
            <w:rStyle w:val="Hyperlink"/>
          </w:rPr>
          <w:t>Managing this guideline</w:t>
        </w:r>
        <w:r w:rsidR="00680245">
          <w:rPr>
            <w:webHidden/>
          </w:rPr>
          <w:tab/>
        </w:r>
        <w:r w:rsidR="00680245">
          <w:rPr>
            <w:webHidden/>
          </w:rPr>
          <w:fldChar w:fldCharType="begin"/>
        </w:r>
        <w:r w:rsidR="00680245">
          <w:rPr>
            <w:webHidden/>
          </w:rPr>
          <w:instrText xml:space="preserve"> PAGEREF _Toc170208013 \h </w:instrText>
        </w:r>
        <w:r w:rsidR="00680245">
          <w:rPr>
            <w:webHidden/>
          </w:rPr>
        </w:r>
        <w:r w:rsidR="00680245">
          <w:rPr>
            <w:webHidden/>
          </w:rPr>
          <w:fldChar w:fldCharType="separate"/>
        </w:r>
        <w:r w:rsidR="00680245">
          <w:rPr>
            <w:webHidden/>
          </w:rPr>
          <w:t>3</w:t>
        </w:r>
        <w:r w:rsidR="00680245">
          <w:rPr>
            <w:webHidden/>
          </w:rPr>
          <w:fldChar w:fldCharType="end"/>
        </w:r>
      </w:hyperlink>
    </w:p>
    <w:p w:rsidR="00680245" w:rsidRDefault="00DE35B5" w14:paraId="205DB451" w14:textId="3695AEB5">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208014">
        <w:r w:rsidRPr="005373CF" w:rsidR="00680245">
          <w:rPr>
            <w:rStyle w:val="Hyperlink"/>
          </w:rPr>
          <w:t>6.1.</w:t>
        </w:r>
        <w:r w:rsidR="00680245">
          <w:rPr>
            <w:rFonts w:asciiTheme="minorHAnsi" w:hAnsiTheme="minorHAnsi" w:eastAsiaTheme="minorEastAsia" w:cstheme="minorBidi"/>
            <w:kern w:val="2"/>
            <w:sz w:val="24"/>
            <w:lang w:eastAsia="en-GB"/>
            <w14:ligatures w14:val="standardContextual"/>
          </w:rPr>
          <w:tab/>
        </w:r>
        <w:r w:rsidRPr="005373CF" w:rsidR="00680245">
          <w:rPr>
            <w:rStyle w:val="Hyperlink"/>
          </w:rPr>
          <w:t>Authorisation</w:t>
        </w:r>
        <w:r w:rsidR="00680245">
          <w:rPr>
            <w:webHidden/>
          </w:rPr>
          <w:tab/>
        </w:r>
        <w:r w:rsidR="00680245">
          <w:rPr>
            <w:webHidden/>
          </w:rPr>
          <w:fldChar w:fldCharType="begin"/>
        </w:r>
        <w:r w:rsidR="00680245">
          <w:rPr>
            <w:webHidden/>
          </w:rPr>
          <w:instrText xml:space="preserve"> PAGEREF _Toc170208014 \h </w:instrText>
        </w:r>
        <w:r w:rsidR="00680245">
          <w:rPr>
            <w:webHidden/>
          </w:rPr>
        </w:r>
        <w:r w:rsidR="00680245">
          <w:rPr>
            <w:webHidden/>
          </w:rPr>
          <w:fldChar w:fldCharType="separate"/>
        </w:r>
        <w:r w:rsidR="00680245">
          <w:rPr>
            <w:webHidden/>
          </w:rPr>
          <w:t>3</w:t>
        </w:r>
        <w:r w:rsidR="00680245">
          <w:rPr>
            <w:webHidden/>
          </w:rPr>
          <w:fldChar w:fldCharType="end"/>
        </w:r>
      </w:hyperlink>
    </w:p>
    <w:p w:rsidR="00680245" w:rsidRDefault="00DE35B5" w14:paraId="45DB4CE2" w14:textId="74141B13">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208015">
        <w:r w:rsidRPr="005373CF" w:rsidR="00680245">
          <w:rPr>
            <w:rStyle w:val="Hyperlink"/>
          </w:rPr>
          <w:t>6.2.</w:t>
        </w:r>
        <w:r w:rsidR="00680245">
          <w:rPr>
            <w:rFonts w:asciiTheme="minorHAnsi" w:hAnsiTheme="minorHAnsi" w:eastAsiaTheme="minorEastAsia" w:cstheme="minorBidi"/>
            <w:kern w:val="2"/>
            <w:sz w:val="24"/>
            <w:lang w:eastAsia="en-GB"/>
            <w14:ligatures w14:val="standardContextual"/>
          </w:rPr>
          <w:tab/>
        </w:r>
        <w:r w:rsidRPr="005373CF" w:rsidR="00680245">
          <w:rPr>
            <w:rStyle w:val="Hyperlink"/>
          </w:rPr>
          <w:t>Accountability for the guideline</w:t>
        </w:r>
        <w:r w:rsidR="00680245">
          <w:rPr>
            <w:webHidden/>
          </w:rPr>
          <w:tab/>
        </w:r>
        <w:r w:rsidR="00680245">
          <w:rPr>
            <w:webHidden/>
          </w:rPr>
          <w:fldChar w:fldCharType="begin"/>
        </w:r>
        <w:r w:rsidR="00680245">
          <w:rPr>
            <w:webHidden/>
          </w:rPr>
          <w:instrText xml:space="preserve"> PAGEREF _Toc170208015 \h </w:instrText>
        </w:r>
        <w:r w:rsidR="00680245">
          <w:rPr>
            <w:webHidden/>
          </w:rPr>
        </w:r>
        <w:r w:rsidR="00680245">
          <w:rPr>
            <w:webHidden/>
          </w:rPr>
          <w:fldChar w:fldCharType="separate"/>
        </w:r>
        <w:r w:rsidR="00680245">
          <w:rPr>
            <w:webHidden/>
          </w:rPr>
          <w:t>3</w:t>
        </w:r>
        <w:r w:rsidR="00680245">
          <w:rPr>
            <w:webHidden/>
          </w:rPr>
          <w:fldChar w:fldCharType="end"/>
        </w:r>
      </w:hyperlink>
    </w:p>
    <w:p w:rsidR="00680245" w:rsidRDefault="00DE35B5" w14:paraId="0921628E" w14:textId="23301330">
      <w:pPr>
        <w:pStyle w:val="TOC2"/>
        <w:tabs>
          <w:tab w:val="left" w:pos="880"/>
        </w:tabs>
        <w:rPr>
          <w:rFonts w:asciiTheme="minorHAnsi" w:hAnsiTheme="minorHAnsi" w:eastAsiaTheme="minorEastAsia" w:cstheme="minorBidi"/>
          <w:kern w:val="2"/>
          <w:sz w:val="24"/>
          <w:lang w:eastAsia="en-GB"/>
          <w14:ligatures w14:val="standardContextual"/>
        </w:rPr>
      </w:pPr>
      <w:hyperlink w:history="1" w:anchor="_Toc170208016">
        <w:r w:rsidRPr="005373CF" w:rsidR="00680245">
          <w:rPr>
            <w:rStyle w:val="Hyperlink"/>
          </w:rPr>
          <w:t>6.3.</w:t>
        </w:r>
        <w:r w:rsidR="00680245">
          <w:rPr>
            <w:rFonts w:asciiTheme="minorHAnsi" w:hAnsiTheme="minorHAnsi" w:eastAsiaTheme="minorEastAsia" w:cstheme="minorBidi"/>
            <w:kern w:val="2"/>
            <w:sz w:val="24"/>
            <w:lang w:eastAsia="en-GB"/>
            <w14:ligatures w14:val="standardContextual"/>
          </w:rPr>
          <w:tab/>
        </w:r>
        <w:r w:rsidRPr="005373CF" w:rsidR="00680245">
          <w:rPr>
            <w:rStyle w:val="Hyperlink"/>
          </w:rPr>
          <w:t>Important dates</w:t>
        </w:r>
        <w:r w:rsidR="00680245">
          <w:rPr>
            <w:webHidden/>
          </w:rPr>
          <w:tab/>
        </w:r>
        <w:r w:rsidR="00680245">
          <w:rPr>
            <w:webHidden/>
          </w:rPr>
          <w:fldChar w:fldCharType="begin"/>
        </w:r>
        <w:r w:rsidR="00680245">
          <w:rPr>
            <w:webHidden/>
          </w:rPr>
          <w:instrText xml:space="preserve"> PAGEREF _Toc170208016 \h </w:instrText>
        </w:r>
        <w:r w:rsidR="00680245">
          <w:rPr>
            <w:webHidden/>
          </w:rPr>
        </w:r>
        <w:r w:rsidR="00680245">
          <w:rPr>
            <w:webHidden/>
          </w:rPr>
          <w:fldChar w:fldCharType="separate"/>
        </w:r>
        <w:r w:rsidR="00680245">
          <w:rPr>
            <w:webHidden/>
          </w:rPr>
          <w:t>3</w:t>
        </w:r>
        <w:r w:rsidR="00680245">
          <w:rPr>
            <w:webHidden/>
          </w:rPr>
          <w:fldChar w:fldCharType="end"/>
        </w:r>
      </w:hyperlink>
    </w:p>
    <w:p w:rsidRPr="000F5CEC" w:rsidR="00DB1C96" w:rsidP="00D86551" w:rsidRDefault="00680245" w14:paraId="1E8BFB1A" w14:textId="60CE9D01">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5B41D4" w:rsidP="005B41D4" w:rsidRDefault="005B41D4" w14:paraId="2F21F7C5" w14:textId="77777777">
      <w:pPr>
        <w:pStyle w:val="VCAAHeading2"/>
        <w:numPr>
          <w:ilvl w:val="0"/>
          <w:numId w:val="23"/>
        </w:numPr>
        <w:spacing w:line="276" w:lineRule="auto"/>
        <w:jc w:val="both"/>
        <w:rPr>
          <w:lang w:val="en-AU"/>
        </w:rPr>
      </w:pPr>
      <w:bookmarkStart w:name="_Toc169076563" w:id="4"/>
      <w:bookmarkStart w:name="_Toc170208007" w:id="5"/>
      <w:r>
        <w:rPr>
          <w:lang w:val="en-AU"/>
        </w:rPr>
        <w:t>Overview</w:t>
      </w:r>
      <w:bookmarkEnd w:id="4"/>
      <w:bookmarkEnd w:id="5"/>
    </w:p>
    <w:p w:rsidR="005B41D4" w:rsidP="005B41D4" w:rsidRDefault="005B41D4" w14:paraId="452AFE88" w14:textId="230F5E1C">
      <w:pPr>
        <w:pStyle w:val="ESBodyText"/>
        <w:spacing w:line="276" w:lineRule="auto"/>
        <w:jc w:val="both"/>
        <w:rPr>
          <w:b/>
          <w:lang w:val="en-AU"/>
        </w:rPr>
      </w:pPr>
      <w:bookmarkStart w:name="_Hlk169164153" w:id="6"/>
      <w:r w:rsidRPr="00BB2FBF">
        <w:t>In circumstances where a suitable Australian citizen or permanent resident cannot be found to do skilled work</w:t>
      </w:r>
      <w:r>
        <w:t xml:space="preserve"> in the Victorian Curriculum </w:t>
      </w:r>
      <w:r w:rsidR="006314D3">
        <w:t xml:space="preserve">and </w:t>
      </w:r>
      <w:r>
        <w:t>Assessment Authority (VCAA)</w:t>
      </w:r>
      <w:r w:rsidRPr="000079F1">
        <w:t xml:space="preserve">, consideration may be given to offering employment to a suitable </w:t>
      </w:r>
      <w:r>
        <w:t>worker</w:t>
      </w:r>
      <w:r w:rsidRPr="000079F1">
        <w:t xml:space="preserve"> from overseas to fill a position</w:t>
      </w:r>
      <w:r>
        <w:t xml:space="preserve">. </w:t>
      </w:r>
      <w:bookmarkEnd w:id="6"/>
      <w:r w:rsidRPr="00667A5D">
        <w:rPr>
          <w:lang w:val="en-AU"/>
        </w:rPr>
        <w:t xml:space="preserve">Prior to considering the employment of an overseas skilled worker, </w:t>
      </w:r>
      <w:r>
        <w:rPr>
          <w:lang w:val="en-AU"/>
        </w:rPr>
        <w:t xml:space="preserve">the VCAA </w:t>
      </w:r>
      <w:r w:rsidRPr="00667A5D">
        <w:rPr>
          <w:lang w:val="en-AU"/>
        </w:rPr>
        <w:t xml:space="preserve">first needs to determine whether the overseas worker is eligible to apply for a visa on their own, without the support of an employer. </w:t>
      </w:r>
      <w:bookmarkStart w:name="_Hlk169164179" w:id="7"/>
      <w:r w:rsidRPr="00667A5D">
        <w:rPr>
          <w:lang w:val="en-AU"/>
        </w:rPr>
        <w:t xml:space="preserve">The overseas worker should be encouraged to seek independent advice and assistance from a </w:t>
      </w:r>
      <w:r>
        <w:rPr>
          <w:lang w:val="en-AU"/>
        </w:rPr>
        <w:t xml:space="preserve">lawyer or </w:t>
      </w:r>
      <w:r w:rsidRPr="00667A5D">
        <w:rPr>
          <w:lang w:val="en-AU"/>
        </w:rPr>
        <w:t>registered migration agent on their visa options.</w:t>
      </w:r>
    </w:p>
    <w:bookmarkEnd w:id="7"/>
    <w:p w:rsidR="005B41D4" w:rsidP="005B41D4" w:rsidRDefault="005B41D4" w14:paraId="1D738991" w14:textId="77777777">
      <w:pPr>
        <w:pStyle w:val="ESBodyText"/>
        <w:spacing w:line="276" w:lineRule="auto"/>
        <w:jc w:val="both"/>
        <w:rPr>
          <w:b/>
          <w:lang w:val="en-AU"/>
        </w:rPr>
      </w:pPr>
      <w:r w:rsidRPr="00667A5D">
        <w:rPr>
          <w:lang w:val="en-AU"/>
        </w:rPr>
        <w:t xml:space="preserve">If the </w:t>
      </w:r>
      <w:r>
        <w:rPr>
          <w:lang w:val="en-AU"/>
        </w:rPr>
        <w:t>worker</w:t>
      </w:r>
      <w:r w:rsidRPr="00667A5D">
        <w:rPr>
          <w:lang w:val="en-AU"/>
        </w:rPr>
        <w:t xml:space="preserve"> is not eligible on their own to apply for a visa that will enable the </w:t>
      </w:r>
      <w:r>
        <w:rPr>
          <w:lang w:val="en-AU"/>
        </w:rPr>
        <w:t>worker</w:t>
      </w:r>
      <w:r w:rsidRPr="00667A5D">
        <w:rPr>
          <w:lang w:val="en-AU"/>
        </w:rPr>
        <w:t xml:space="preserve"> to reside and work in Australia, then consideration may be given to sponsoring the person's employment</w:t>
      </w:r>
      <w:r>
        <w:rPr>
          <w:lang w:val="en-AU"/>
        </w:rPr>
        <w:t>.</w:t>
      </w:r>
    </w:p>
    <w:p w:rsidR="005B41D4" w:rsidP="005B41D4" w:rsidRDefault="005B41D4" w14:paraId="74713133" w14:textId="77777777">
      <w:pPr>
        <w:pStyle w:val="VCAAHeading2"/>
        <w:numPr>
          <w:ilvl w:val="0"/>
          <w:numId w:val="23"/>
        </w:numPr>
        <w:spacing w:line="276" w:lineRule="auto"/>
        <w:jc w:val="both"/>
        <w:rPr>
          <w:lang w:val="en-AU"/>
        </w:rPr>
      </w:pPr>
      <w:bookmarkStart w:name="_Toc169076564" w:id="8"/>
      <w:bookmarkStart w:name="_Toc170208008" w:id="9"/>
      <w:r>
        <w:rPr>
          <w:lang w:val="en-AU"/>
        </w:rPr>
        <w:t>Objectives</w:t>
      </w:r>
      <w:bookmarkEnd w:id="8"/>
      <w:bookmarkEnd w:id="9"/>
    </w:p>
    <w:p w:rsidRPr="00DE35B5" w:rsidR="006314D3" w:rsidP="00DE35B5" w:rsidRDefault="006314D3" w14:paraId="5125EEE2" w14:textId="189A3682">
      <w:pPr>
        <w:pStyle w:val="VCAAbody"/>
        <w:rPr>
          <w:sz w:val="18"/>
          <w:szCs w:val="21"/>
          <w:lang w:val="en-AU"/>
        </w:rPr>
      </w:pPr>
      <w:r w:rsidRPr="00DE35B5">
        <w:rPr>
          <w:sz w:val="18"/>
          <w:szCs w:val="21"/>
          <w:lang w:val="en-AU"/>
        </w:rPr>
        <w:t>The objectives of this guideline are:</w:t>
      </w:r>
    </w:p>
    <w:p w:rsidR="005B41D4" w:rsidP="005B41D4" w:rsidRDefault="005B41D4" w14:paraId="35797434" w14:textId="77777777">
      <w:pPr>
        <w:pStyle w:val="ESBodyText"/>
        <w:numPr>
          <w:ilvl w:val="0"/>
          <w:numId w:val="20"/>
        </w:numPr>
        <w:spacing w:after="0" w:line="276" w:lineRule="auto"/>
        <w:jc w:val="both"/>
        <w:rPr>
          <w:b/>
          <w:lang w:val="en-AU"/>
        </w:rPr>
      </w:pPr>
      <w:r w:rsidRPr="007860B5">
        <w:rPr>
          <w:b/>
          <w:bCs/>
          <w:lang w:val="en-AU"/>
        </w:rPr>
        <w:t xml:space="preserve">Addressing </w:t>
      </w:r>
      <w:r>
        <w:rPr>
          <w:b/>
          <w:bCs/>
          <w:lang w:val="en-AU"/>
        </w:rPr>
        <w:t>l</w:t>
      </w:r>
      <w:r w:rsidRPr="007860B5">
        <w:rPr>
          <w:b/>
          <w:bCs/>
          <w:lang w:val="en-AU"/>
        </w:rPr>
        <w:t>abo</w:t>
      </w:r>
      <w:r>
        <w:rPr>
          <w:b/>
          <w:bCs/>
          <w:lang w:val="en-AU"/>
        </w:rPr>
        <w:t>u</w:t>
      </w:r>
      <w:r w:rsidRPr="007860B5">
        <w:rPr>
          <w:b/>
          <w:bCs/>
          <w:lang w:val="en-AU"/>
        </w:rPr>
        <w:t xml:space="preserve">r </w:t>
      </w:r>
      <w:r>
        <w:rPr>
          <w:b/>
          <w:bCs/>
          <w:lang w:val="en-AU"/>
        </w:rPr>
        <w:t>s</w:t>
      </w:r>
      <w:r w:rsidRPr="007860B5">
        <w:rPr>
          <w:b/>
          <w:bCs/>
          <w:lang w:val="en-AU"/>
        </w:rPr>
        <w:t>hortages:</w:t>
      </w:r>
      <w:r w:rsidRPr="005A1896">
        <w:rPr>
          <w:lang w:val="en-AU"/>
        </w:rPr>
        <w:t xml:space="preserve"> </w:t>
      </w:r>
      <w:r>
        <w:rPr>
          <w:lang w:val="en-AU"/>
        </w:rPr>
        <w:t>t</w:t>
      </w:r>
      <w:r w:rsidRPr="005A1896">
        <w:rPr>
          <w:lang w:val="en-AU"/>
        </w:rPr>
        <w:t>o fill skilled positions where suitable Australian citizens or permanent residents cannot be found.</w:t>
      </w:r>
    </w:p>
    <w:p w:rsidR="005B41D4" w:rsidP="005B41D4" w:rsidRDefault="005B41D4" w14:paraId="0F6BC057" w14:textId="77777777">
      <w:pPr>
        <w:pStyle w:val="ESBodyText"/>
        <w:numPr>
          <w:ilvl w:val="0"/>
          <w:numId w:val="20"/>
        </w:numPr>
        <w:spacing w:after="0" w:line="276" w:lineRule="auto"/>
        <w:jc w:val="both"/>
        <w:rPr>
          <w:b/>
          <w:lang w:val="en-AU"/>
        </w:rPr>
      </w:pPr>
      <w:r w:rsidRPr="007860B5">
        <w:rPr>
          <w:b/>
          <w:bCs/>
          <w:lang w:val="en-AU"/>
        </w:rPr>
        <w:t xml:space="preserve">Evaluation of </w:t>
      </w:r>
      <w:r>
        <w:rPr>
          <w:b/>
          <w:bCs/>
          <w:lang w:val="en-AU"/>
        </w:rPr>
        <w:t>v</w:t>
      </w:r>
      <w:r w:rsidRPr="007860B5">
        <w:rPr>
          <w:b/>
          <w:bCs/>
          <w:lang w:val="en-AU"/>
        </w:rPr>
        <w:t xml:space="preserve">isa </w:t>
      </w:r>
      <w:r>
        <w:rPr>
          <w:b/>
          <w:bCs/>
          <w:lang w:val="en-AU"/>
        </w:rPr>
        <w:t>e</w:t>
      </w:r>
      <w:r w:rsidRPr="007860B5">
        <w:rPr>
          <w:b/>
          <w:bCs/>
          <w:lang w:val="en-AU"/>
        </w:rPr>
        <w:t>ligibility:</w:t>
      </w:r>
      <w:r w:rsidRPr="005A1896">
        <w:rPr>
          <w:lang w:val="en-AU"/>
        </w:rPr>
        <w:t xml:space="preserve"> </w:t>
      </w:r>
      <w:r>
        <w:rPr>
          <w:lang w:val="en-AU"/>
        </w:rPr>
        <w:t>to a</w:t>
      </w:r>
      <w:r w:rsidRPr="005A1896">
        <w:rPr>
          <w:lang w:val="en-AU"/>
        </w:rPr>
        <w:t>ssess whether an overseas worker is eligible for a visa without employer sponsorship.</w:t>
      </w:r>
    </w:p>
    <w:p w:rsidR="005B41D4" w:rsidP="005B41D4" w:rsidRDefault="005B41D4" w14:paraId="33BE8E17" w14:textId="47713100">
      <w:pPr>
        <w:pStyle w:val="ESBodyText"/>
        <w:numPr>
          <w:ilvl w:val="0"/>
          <w:numId w:val="20"/>
        </w:numPr>
        <w:spacing w:after="0" w:line="276" w:lineRule="auto"/>
        <w:jc w:val="both"/>
        <w:rPr>
          <w:b/>
          <w:lang w:val="en-AU"/>
        </w:rPr>
      </w:pPr>
      <w:r>
        <w:rPr>
          <w:b/>
          <w:bCs/>
          <w:lang w:val="en-AU"/>
        </w:rPr>
        <w:t xml:space="preserve">Eligibility criteria: </w:t>
      </w:r>
      <w:r>
        <w:rPr>
          <w:lang w:val="en-AU"/>
        </w:rPr>
        <w:t>c</w:t>
      </w:r>
      <w:r w:rsidRPr="005A1896">
        <w:rPr>
          <w:lang w:val="en-AU"/>
        </w:rPr>
        <w:t xml:space="preserve">onsider offering sponsorship for employment to overseas workers who cannot </w:t>
      </w:r>
      <w:r>
        <w:rPr>
          <w:lang w:val="en-AU"/>
        </w:rPr>
        <w:t xml:space="preserve">obtain </w:t>
      </w:r>
      <w:r w:rsidRPr="005A1896">
        <w:rPr>
          <w:lang w:val="en-AU"/>
        </w:rPr>
        <w:t>a visa</w:t>
      </w:r>
      <w:r>
        <w:rPr>
          <w:lang w:val="en-AU"/>
        </w:rPr>
        <w:t xml:space="preserve"> to work in Australia</w:t>
      </w:r>
      <w:r w:rsidRPr="005A1896">
        <w:rPr>
          <w:lang w:val="en-AU"/>
        </w:rPr>
        <w:t xml:space="preserve"> independently.</w:t>
      </w:r>
    </w:p>
    <w:p w:rsidR="005B41D4" w:rsidP="005B41D4" w:rsidRDefault="005B41D4" w14:paraId="305DE2F2" w14:textId="77777777">
      <w:pPr>
        <w:pStyle w:val="ESBodyText"/>
        <w:numPr>
          <w:ilvl w:val="0"/>
          <w:numId w:val="20"/>
        </w:numPr>
        <w:spacing w:after="0" w:line="276" w:lineRule="auto"/>
        <w:jc w:val="both"/>
        <w:rPr>
          <w:b/>
          <w:lang w:val="en-AU"/>
        </w:rPr>
      </w:pPr>
      <w:r w:rsidRPr="007860B5">
        <w:rPr>
          <w:b/>
          <w:bCs/>
          <w:lang w:val="en-AU"/>
        </w:rPr>
        <w:t xml:space="preserve">Compliance with </w:t>
      </w:r>
      <w:r>
        <w:rPr>
          <w:b/>
          <w:bCs/>
          <w:lang w:val="en-AU"/>
        </w:rPr>
        <w:t>v</w:t>
      </w:r>
      <w:r w:rsidRPr="007860B5">
        <w:rPr>
          <w:b/>
          <w:bCs/>
          <w:lang w:val="en-AU"/>
        </w:rPr>
        <w:t xml:space="preserve">isa </w:t>
      </w:r>
      <w:r>
        <w:rPr>
          <w:b/>
          <w:bCs/>
          <w:lang w:val="en-AU"/>
        </w:rPr>
        <w:t>r</w:t>
      </w:r>
      <w:r w:rsidRPr="007860B5">
        <w:rPr>
          <w:b/>
          <w:bCs/>
          <w:lang w:val="en-AU"/>
        </w:rPr>
        <w:t>egulations:</w:t>
      </w:r>
      <w:r w:rsidRPr="005A1896">
        <w:rPr>
          <w:lang w:val="en-AU"/>
        </w:rPr>
        <w:t xml:space="preserve"> </w:t>
      </w:r>
      <w:r>
        <w:rPr>
          <w:lang w:val="en-AU"/>
        </w:rPr>
        <w:t>e</w:t>
      </w:r>
      <w:r w:rsidRPr="005A1896">
        <w:rPr>
          <w:lang w:val="en-AU"/>
        </w:rPr>
        <w:t>nsure that overseas workers possess valid visas with appropriate work rights and meet</w:t>
      </w:r>
      <w:r>
        <w:rPr>
          <w:lang w:val="en-AU"/>
        </w:rPr>
        <w:t>s</w:t>
      </w:r>
      <w:r w:rsidRPr="005A1896">
        <w:rPr>
          <w:lang w:val="en-AU"/>
        </w:rPr>
        <w:t xml:space="preserve"> professional requirements.</w:t>
      </w:r>
    </w:p>
    <w:p w:rsidRPr="005A1896" w:rsidR="005B41D4" w:rsidP="005B41D4" w:rsidRDefault="005B41D4" w14:paraId="1CD8288C" w14:textId="5C719D2C">
      <w:pPr>
        <w:pStyle w:val="ESBodyText"/>
        <w:numPr>
          <w:ilvl w:val="0"/>
          <w:numId w:val="20"/>
        </w:numPr>
        <w:spacing w:after="0" w:line="276" w:lineRule="auto"/>
        <w:jc w:val="both"/>
        <w:rPr>
          <w:b/>
          <w:lang w:val="en-AU"/>
        </w:rPr>
      </w:pPr>
      <w:r w:rsidRPr="007860B5">
        <w:rPr>
          <w:b/>
          <w:bCs/>
          <w:lang w:val="en-AU"/>
        </w:rPr>
        <w:t xml:space="preserve">Monitoring and </w:t>
      </w:r>
      <w:r w:rsidR="006314D3">
        <w:rPr>
          <w:b/>
          <w:bCs/>
          <w:lang w:val="en-AU"/>
        </w:rPr>
        <w:t>c</w:t>
      </w:r>
      <w:r w:rsidRPr="007860B5">
        <w:rPr>
          <w:b/>
          <w:bCs/>
          <w:lang w:val="en-AU"/>
        </w:rPr>
        <w:t>ompliance:</w:t>
      </w:r>
      <w:r w:rsidRPr="005A1896">
        <w:rPr>
          <w:lang w:val="en-AU"/>
        </w:rPr>
        <w:t xml:space="preserve"> </w:t>
      </w:r>
      <w:r>
        <w:rPr>
          <w:lang w:val="en-AU"/>
        </w:rPr>
        <w:t>r</w:t>
      </w:r>
      <w:r w:rsidRPr="005A1896">
        <w:rPr>
          <w:lang w:val="en-AU"/>
        </w:rPr>
        <w:t>egularly confirm and monitor visa conditions to prevent breaches and ensure compliance.</w:t>
      </w:r>
    </w:p>
    <w:p w:rsidR="005B41D4" w:rsidP="005B41D4" w:rsidRDefault="005B41D4" w14:paraId="2B98330A" w14:textId="77777777">
      <w:pPr>
        <w:pStyle w:val="VCAAHeading2"/>
        <w:numPr>
          <w:ilvl w:val="0"/>
          <w:numId w:val="23"/>
        </w:numPr>
        <w:spacing w:line="276" w:lineRule="auto"/>
        <w:jc w:val="both"/>
      </w:pPr>
      <w:bookmarkStart w:name="_Toc169076565" w:id="10"/>
      <w:bookmarkStart w:name="_Toc170208009" w:id="11"/>
      <w:r>
        <w:t>Principles</w:t>
      </w:r>
      <w:bookmarkEnd w:id="10"/>
      <w:bookmarkEnd w:id="11"/>
    </w:p>
    <w:p w:rsidR="005B41D4" w:rsidP="005B41D4" w:rsidRDefault="005B41D4" w14:paraId="08EAD89C" w14:textId="77777777">
      <w:pPr>
        <w:pStyle w:val="VCAAHeading5"/>
        <w:numPr>
          <w:ilvl w:val="1"/>
          <w:numId w:val="23"/>
        </w:numPr>
        <w:spacing w:line="276" w:lineRule="auto"/>
        <w:jc w:val="both"/>
      </w:pPr>
      <w:bookmarkStart w:name="_Toc169076566" w:id="12"/>
      <w:bookmarkStart w:name="_Toc170208010" w:id="13"/>
      <w:r w:rsidRPr="00DA2437">
        <w:t xml:space="preserve">Compliance with </w:t>
      </w:r>
      <w:r>
        <w:t>v</w:t>
      </w:r>
      <w:r w:rsidRPr="00DA2437">
        <w:t xml:space="preserve">isa </w:t>
      </w:r>
      <w:r>
        <w:t>r</w:t>
      </w:r>
      <w:r w:rsidRPr="00DA2437">
        <w:t>equirements</w:t>
      </w:r>
      <w:bookmarkEnd w:id="12"/>
      <w:bookmarkEnd w:id="13"/>
    </w:p>
    <w:p w:rsidRPr="00B77082" w:rsidR="005B41D4" w:rsidP="005B41D4" w:rsidRDefault="005B41D4" w14:paraId="34848136" w14:textId="77777777">
      <w:pPr>
        <w:pStyle w:val="VCAAbody"/>
        <w:spacing w:line="276" w:lineRule="auto"/>
        <w:jc w:val="both"/>
        <w:rPr>
          <w:lang w:val="en" w:eastAsia="en-AU"/>
        </w:rPr>
      </w:pPr>
      <w:r w:rsidRPr="00DA2437">
        <w:rPr>
          <w:rFonts w:ascii="Arial" w:hAnsi="Arial"/>
          <w:sz w:val="18"/>
          <w:szCs w:val="18"/>
        </w:rPr>
        <w:t>Ensure visa documentation, work rights, qualifications, and employment conditions align with regulations</w:t>
      </w:r>
      <w:r>
        <w:rPr>
          <w:rFonts w:ascii="Arial" w:hAnsi="Arial"/>
          <w:sz w:val="18"/>
          <w:szCs w:val="18"/>
        </w:rPr>
        <w:t>.</w:t>
      </w:r>
    </w:p>
    <w:p w:rsidR="005B41D4" w:rsidP="005B41D4" w:rsidRDefault="005B41D4" w14:paraId="5A5DB25B" w14:textId="77777777">
      <w:pPr>
        <w:pStyle w:val="VCAAHeading2"/>
        <w:numPr>
          <w:ilvl w:val="0"/>
          <w:numId w:val="23"/>
        </w:numPr>
        <w:spacing w:line="276" w:lineRule="auto"/>
        <w:jc w:val="both"/>
      </w:pPr>
      <w:bookmarkStart w:name="_Toc169076567" w:id="14"/>
      <w:bookmarkStart w:name="_Toc170208011" w:id="15"/>
      <w:r w:rsidRPr="005B41D4">
        <w:t>Common visa types</w:t>
      </w:r>
      <w:bookmarkEnd w:id="14"/>
      <w:bookmarkEnd w:id="15"/>
      <w:r w:rsidRPr="005B41D4">
        <w:t xml:space="preserve"> </w:t>
      </w:r>
    </w:p>
    <w:p w:rsidRPr="00E068C9" w:rsidR="005B41D4" w:rsidP="005B41D4" w:rsidRDefault="005B41D4" w14:paraId="579040AC" w14:textId="6F2AEAC9">
      <w:pPr>
        <w:pStyle w:val="ESBodyText"/>
        <w:spacing w:line="276" w:lineRule="auto"/>
        <w:jc w:val="both"/>
        <w:rPr>
          <w:b/>
          <w:i/>
        </w:rPr>
      </w:pPr>
      <w:bookmarkStart w:name="_Hlk169167186" w:id="16"/>
      <w:r w:rsidRPr="00E068C9">
        <w:rPr>
          <w:b/>
          <w:i/>
        </w:rPr>
        <w:t xml:space="preserve">Working </w:t>
      </w:r>
      <w:r w:rsidR="006314D3">
        <w:rPr>
          <w:b/>
          <w:i/>
        </w:rPr>
        <w:t>h</w:t>
      </w:r>
      <w:r w:rsidRPr="00E068C9">
        <w:rPr>
          <w:b/>
          <w:i/>
        </w:rPr>
        <w:t xml:space="preserve">oliday </w:t>
      </w:r>
      <w:r w:rsidR="006314D3">
        <w:rPr>
          <w:b/>
          <w:i/>
        </w:rPr>
        <w:t>v</w:t>
      </w:r>
      <w:r w:rsidRPr="00E068C9">
        <w:rPr>
          <w:b/>
          <w:i/>
        </w:rPr>
        <w:t>isa (subclass 417 and 462)</w:t>
      </w:r>
    </w:p>
    <w:p w:rsidR="005B41D4" w:rsidP="005B41D4" w:rsidRDefault="005B41D4" w14:paraId="540DEABD" w14:textId="3FDA2517">
      <w:pPr>
        <w:pStyle w:val="ESBodyText"/>
        <w:spacing w:line="276" w:lineRule="auto"/>
        <w:jc w:val="both"/>
        <w:rPr>
          <w:b/>
        </w:rPr>
      </w:pPr>
      <w:bookmarkStart w:name="_Hlk169167159" w:id="17"/>
      <w:bookmarkEnd w:id="16"/>
      <w:r w:rsidRPr="004F7D73">
        <w:t xml:space="preserve">Employers </w:t>
      </w:r>
      <w:r>
        <w:t>may</w:t>
      </w:r>
      <w:r w:rsidRPr="004F7D73">
        <w:t xml:space="preserve"> recruit individuals who are on a </w:t>
      </w:r>
      <w:r w:rsidR="006314D3">
        <w:t>w</w:t>
      </w:r>
      <w:r w:rsidRPr="004F7D73">
        <w:t xml:space="preserve">orking </w:t>
      </w:r>
      <w:r w:rsidR="006314D3">
        <w:t>h</w:t>
      </w:r>
      <w:r w:rsidRPr="004F7D73">
        <w:t xml:space="preserve">oliday </w:t>
      </w:r>
      <w:r w:rsidR="006314D3">
        <w:t>v</w:t>
      </w:r>
      <w:r w:rsidRPr="004F7D73">
        <w:t>isa on both casual and fixed-term bas</w:t>
      </w:r>
      <w:r>
        <w:t>i</w:t>
      </w:r>
      <w:r w:rsidRPr="004F7D73">
        <w:t>s,</w:t>
      </w:r>
      <w:r>
        <w:t xml:space="preserve"> for a maximum period of six months,</w:t>
      </w:r>
      <w:r w:rsidRPr="004F7D73">
        <w:t xml:space="preserve"> depending on the expiry date of the visa. This allows employers to adjust their hiring practices to accommodate the temporary nature of the </w:t>
      </w:r>
      <w:r w:rsidR="006314D3">
        <w:t>w</w:t>
      </w:r>
      <w:r w:rsidRPr="004F7D73">
        <w:t xml:space="preserve">orking </w:t>
      </w:r>
      <w:r w:rsidR="006314D3">
        <w:t>h</w:t>
      </w:r>
      <w:r w:rsidRPr="004F7D73">
        <w:t xml:space="preserve">oliday </w:t>
      </w:r>
      <w:r w:rsidR="006314D3">
        <w:t>v</w:t>
      </w:r>
      <w:r w:rsidRPr="004F7D73">
        <w:t>isa.</w:t>
      </w:r>
    </w:p>
    <w:p w:rsidR="005B41D4" w:rsidP="005B41D4" w:rsidRDefault="005B41D4" w14:paraId="34F32FD9" w14:textId="5BC3E86B">
      <w:pPr>
        <w:pStyle w:val="ESBodyText"/>
        <w:spacing w:line="276" w:lineRule="auto"/>
        <w:jc w:val="both"/>
        <w:rPr>
          <w:b/>
        </w:rPr>
      </w:pPr>
      <w:r>
        <w:t>Prospective employees on a</w:t>
      </w:r>
      <w:r w:rsidRPr="004F7D73">
        <w:t xml:space="preserve"> </w:t>
      </w:r>
      <w:r w:rsidR="006314D3">
        <w:t>w</w:t>
      </w:r>
      <w:r w:rsidRPr="004F7D73">
        <w:t xml:space="preserve">orking </w:t>
      </w:r>
      <w:r w:rsidR="006314D3">
        <w:t>h</w:t>
      </w:r>
      <w:r w:rsidRPr="004F7D73">
        <w:t xml:space="preserve">oliday </w:t>
      </w:r>
      <w:r w:rsidR="006314D3">
        <w:t>v</w:t>
      </w:r>
      <w:r w:rsidRPr="004F7D73">
        <w:t xml:space="preserve">isa </w:t>
      </w:r>
      <w:r>
        <w:t>should not be offered a permanent, ongoing contract and should instead be offered</w:t>
      </w:r>
      <w:r w:rsidRPr="004F7D73">
        <w:t xml:space="preserve"> a fixed-term contract that aligns with the remaining duration of the visa.</w:t>
      </w:r>
    </w:p>
    <w:p w:rsidRPr="00E152DE" w:rsidR="005B41D4" w:rsidP="005B41D4" w:rsidRDefault="005B41D4" w14:paraId="707F73D7" w14:textId="62BC12B2">
      <w:pPr>
        <w:pStyle w:val="ESBodyText"/>
        <w:spacing w:line="276" w:lineRule="auto"/>
        <w:jc w:val="both"/>
      </w:pPr>
      <w:r w:rsidRPr="00667A5D">
        <w:t xml:space="preserve">Detailed information about </w:t>
      </w:r>
      <w:r>
        <w:t>working holiday</w:t>
      </w:r>
      <w:r w:rsidRPr="00667A5D">
        <w:t xml:space="preserve"> visa is available from the Australian </w:t>
      </w:r>
      <w:r w:rsidRPr="00CC2FD5">
        <w:t xml:space="preserve">Government </w:t>
      </w:r>
      <w:r w:rsidRPr="00CC2FD5">
        <w:rPr>
          <w:rStyle w:val="rpl-text-label"/>
          <w:bCs/>
        </w:rPr>
        <w:t xml:space="preserve">Department of Home </w:t>
      </w:r>
      <w:r w:rsidRPr="00CC2FD5">
        <w:rPr>
          <w:rStyle w:val="rpl-text-icongroup"/>
          <w:bCs/>
        </w:rPr>
        <w:t xml:space="preserve">Affairs </w:t>
      </w:r>
      <w:r w:rsidRPr="00CC2FD5">
        <w:t>webpage</w:t>
      </w:r>
      <w:r w:rsidR="006314D3">
        <w:t xml:space="preserve"> [link]</w:t>
      </w:r>
      <w:r w:rsidRPr="00CC2FD5">
        <w:t>.</w:t>
      </w:r>
    </w:p>
    <w:p w:rsidR="005B41D4" w:rsidP="005B41D4" w:rsidRDefault="005B41D4" w14:paraId="648C0167" w14:textId="05B84264">
      <w:pPr>
        <w:pStyle w:val="ESBodyText"/>
        <w:spacing w:line="276" w:lineRule="auto"/>
        <w:jc w:val="both"/>
        <w:rPr>
          <w:b/>
          <w:i/>
        </w:rPr>
      </w:pPr>
      <w:bookmarkStart w:name="_Hlk169166594" w:id="18"/>
      <w:bookmarkEnd w:id="17"/>
      <w:r>
        <w:rPr>
          <w:b/>
          <w:i/>
        </w:rPr>
        <w:t xml:space="preserve">Temporary </w:t>
      </w:r>
      <w:r w:rsidR="006314D3">
        <w:rPr>
          <w:b/>
          <w:i/>
        </w:rPr>
        <w:t>a</w:t>
      </w:r>
      <w:r>
        <w:rPr>
          <w:b/>
          <w:i/>
        </w:rPr>
        <w:t xml:space="preserve">ctivity visa (subclass 408) </w:t>
      </w:r>
    </w:p>
    <w:p w:rsidR="005B41D4" w:rsidP="005B41D4" w:rsidRDefault="005B41D4" w14:paraId="6A1EC7D3" w14:textId="77777777">
      <w:pPr>
        <w:pStyle w:val="ESBodyText"/>
        <w:spacing w:line="276" w:lineRule="auto"/>
        <w:jc w:val="both"/>
      </w:pPr>
      <w:bookmarkStart w:name="_Hlk169166612" w:id="19"/>
      <w:bookmarkEnd w:id="18"/>
      <w:r w:rsidRPr="00EE7C1B">
        <w:t xml:space="preserve">This visa allows </w:t>
      </w:r>
      <w:r>
        <w:t>individuals</w:t>
      </w:r>
      <w:r w:rsidRPr="00EE7C1B">
        <w:t xml:space="preserve"> to come to Australia to do specific types of work on a short-term, temporary basis.</w:t>
      </w:r>
    </w:p>
    <w:p w:rsidR="005B41D4" w:rsidP="005B41D4" w:rsidRDefault="005B41D4" w14:paraId="39E4C9B6" w14:textId="55AB2939">
      <w:pPr>
        <w:pStyle w:val="ESBodyText"/>
        <w:spacing w:line="276" w:lineRule="auto"/>
        <w:jc w:val="both"/>
      </w:pPr>
      <w:r>
        <w:t xml:space="preserve">To be eligible, an individual must have the skills to undertake the activity to be carried out in Australia, be supported, or sponsored and meet additional requirements of the relevant stream. An individual on a </w:t>
      </w:r>
      <w:r w:rsidR="006314D3">
        <w:t>t</w:t>
      </w:r>
      <w:r w:rsidRPr="00E152DE">
        <w:t xml:space="preserve">emporary </w:t>
      </w:r>
      <w:r w:rsidR="006314D3">
        <w:t>a</w:t>
      </w:r>
      <w:r w:rsidRPr="00E152DE">
        <w:t xml:space="preserve">ctivity visa </w:t>
      </w:r>
      <w:r w:rsidRPr="00EE7C1B">
        <w:t>can stay in Australia for the duration of the event, or up to 4 year</w:t>
      </w:r>
      <w:r>
        <w:t>s.</w:t>
      </w:r>
    </w:p>
    <w:p w:rsidRPr="00E068C9" w:rsidR="005B41D4" w:rsidP="005B41D4" w:rsidRDefault="005B41D4" w14:paraId="191B1FB7" w14:textId="0427BDF0">
      <w:pPr>
        <w:pStyle w:val="ESBodyText"/>
        <w:spacing w:line="276" w:lineRule="auto"/>
        <w:jc w:val="both"/>
        <w:rPr>
          <w:b/>
          <w:i/>
        </w:rPr>
      </w:pPr>
      <w:bookmarkStart w:name="_Hlk169167229" w:id="20"/>
      <w:bookmarkEnd w:id="19"/>
      <w:r>
        <w:rPr>
          <w:b/>
          <w:i/>
        </w:rPr>
        <w:t xml:space="preserve">Temporary </w:t>
      </w:r>
      <w:r w:rsidR="006314D3">
        <w:rPr>
          <w:b/>
          <w:i/>
        </w:rPr>
        <w:t>w</w:t>
      </w:r>
      <w:r>
        <w:rPr>
          <w:b/>
          <w:i/>
        </w:rPr>
        <w:t xml:space="preserve">ork (Short </w:t>
      </w:r>
      <w:r w:rsidR="006314D3">
        <w:rPr>
          <w:b/>
          <w:i/>
        </w:rPr>
        <w:t>s</w:t>
      </w:r>
      <w:r>
        <w:rPr>
          <w:b/>
          <w:i/>
        </w:rPr>
        <w:t xml:space="preserve">tay </w:t>
      </w:r>
      <w:r w:rsidR="006314D3">
        <w:rPr>
          <w:b/>
          <w:i/>
        </w:rPr>
        <w:t>s</w:t>
      </w:r>
      <w:r>
        <w:rPr>
          <w:b/>
          <w:i/>
        </w:rPr>
        <w:t>pecialist) visa (subclass 400)</w:t>
      </w:r>
    </w:p>
    <w:p w:rsidR="005B41D4" w:rsidP="005B41D4" w:rsidRDefault="005B41D4" w14:paraId="409C65BB" w14:textId="60D8D8FF">
      <w:pPr>
        <w:pStyle w:val="ESBodyText"/>
        <w:spacing w:line="276" w:lineRule="auto"/>
        <w:jc w:val="both"/>
      </w:pPr>
      <w:bookmarkStart w:name="_Hlk169167267" w:id="21"/>
      <w:bookmarkEnd w:id="20"/>
      <w:r>
        <w:t xml:space="preserve">The </w:t>
      </w:r>
      <w:r w:rsidR="006314D3">
        <w:t>h</w:t>
      </w:r>
      <w:r>
        <w:t xml:space="preserve">ighly </w:t>
      </w:r>
      <w:proofErr w:type="spellStart"/>
      <w:r w:rsidR="006314D3">
        <w:t>s</w:t>
      </w:r>
      <w:r>
        <w:t>pecialised</w:t>
      </w:r>
      <w:proofErr w:type="spellEnd"/>
      <w:r>
        <w:t xml:space="preserve"> </w:t>
      </w:r>
      <w:r w:rsidR="006314D3">
        <w:t>w</w:t>
      </w:r>
      <w:r>
        <w:t xml:space="preserve">ork stream of this temporary visa lets individuals do short-term, highly </w:t>
      </w:r>
      <w:proofErr w:type="spellStart"/>
      <w:r>
        <w:t>specialised</w:t>
      </w:r>
      <w:proofErr w:type="spellEnd"/>
      <w:r>
        <w:t xml:space="preserve"> work in Australia. It is suitable if an individual has </w:t>
      </w:r>
      <w:proofErr w:type="spellStart"/>
      <w:r>
        <w:t>specialised</w:t>
      </w:r>
      <w:proofErr w:type="spellEnd"/>
      <w:r>
        <w:t xml:space="preserve"> skills, knowledge, or experience not generally available in Australia, that can help Australian business and can't reasonably be found in Australia.</w:t>
      </w:r>
    </w:p>
    <w:p w:rsidR="005B41D4" w:rsidP="005B41D4" w:rsidRDefault="005B41D4" w14:paraId="4AF77DE4" w14:textId="53A481FC">
      <w:pPr>
        <w:pStyle w:val="ESBodyText"/>
        <w:spacing w:line="276" w:lineRule="auto"/>
        <w:jc w:val="both"/>
      </w:pPr>
      <w:r>
        <w:t xml:space="preserve">Individuals on a </w:t>
      </w:r>
      <w:r w:rsidR="006314D3">
        <w:t>t</w:t>
      </w:r>
      <w:r>
        <w:t xml:space="preserve">emporary </w:t>
      </w:r>
      <w:r w:rsidR="006314D3">
        <w:t>w</w:t>
      </w:r>
      <w:r>
        <w:t xml:space="preserve">ork visa can do short-term work in a highly </w:t>
      </w:r>
      <w:proofErr w:type="spellStart"/>
      <w:r>
        <w:t>specialised</w:t>
      </w:r>
      <w:proofErr w:type="spellEnd"/>
      <w:r>
        <w:t xml:space="preserve"> job, the work or activity must </w:t>
      </w:r>
      <w:r w:rsidR="006314D3">
        <w:t xml:space="preserve">not </w:t>
      </w:r>
      <w:r>
        <w:t xml:space="preserve">be ongoing. </w:t>
      </w:r>
    </w:p>
    <w:p w:rsidR="005B41D4" w:rsidP="005B41D4" w:rsidRDefault="005B41D4" w14:paraId="13A56E32" w14:textId="77777777">
      <w:pPr>
        <w:pStyle w:val="VCAAHeading2"/>
        <w:numPr>
          <w:ilvl w:val="0"/>
          <w:numId w:val="23"/>
        </w:numPr>
        <w:spacing w:line="276" w:lineRule="auto"/>
        <w:jc w:val="both"/>
      </w:pPr>
      <w:bookmarkStart w:name="_Toc169076569" w:id="22"/>
      <w:bookmarkStart w:name="_Toc170208012" w:id="23"/>
      <w:bookmarkEnd w:id="21"/>
      <w:r>
        <w:t>Visa requirements</w:t>
      </w:r>
      <w:bookmarkEnd w:id="22"/>
      <w:bookmarkEnd w:id="23"/>
    </w:p>
    <w:p w:rsidRPr="008F7C41" w:rsidR="005B41D4" w:rsidP="005B41D4" w:rsidRDefault="005B41D4" w14:paraId="4C8129E3" w14:textId="22924442">
      <w:pPr>
        <w:pStyle w:val="ESBodyText"/>
        <w:spacing w:line="276" w:lineRule="auto"/>
        <w:jc w:val="both"/>
        <w:rPr>
          <w:b/>
          <w:lang w:val="en-AU" w:eastAsia="en-AU"/>
        </w:rPr>
      </w:pPr>
      <w:bookmarkStart w:name="_Hlk169167374" w:id="24"/>
      <w:r w:rsidRPr="008F7C41">
        <w:rPr>
          <w:lang w:val="en-AU" w:eastAsia="en-AU"/>
        </w:rPr>
        <w:t xml:space="preserve">Prior to offering employment to a skilled worker who is not an Australian citizen or permanent resident in Australia, a copy of the worker's visa documentation indicating their current visa status, including a copy of their </w:t>
      </w:r>
      <w:r w:rsidR="00B30A49">
        <w:rPr>
          <w:lang w:val="en-AU" w:eastAsia="en-AU"/>
        </w:rPr>
        <w:t>v</w:t>
      </w:r>
      <w:r w:rsidRPr="008F7C41">
        <w:rPr>
          <w:lang w:val="en-AU" w:eastAsia="en-AU"/>
        </w:rPr>
        <w:t xml:space="preserve">isa </w:t>
      </w:r>
      <w:r w:rsidR="00B30A49">
        <w:rPr>
          <w:lang w:val="en-AU" w:eastAsia="en-AU"/>
        </w:rPr>
        <w:t>g</w:t>
      </w:r>
      <w:r w:rsidRPr="008F7C41">
        <w:rPr>
          <w:lang w:val="en-AU" w:eastAsia="en-AU"/>
        </w:rPr>
        <w:t xml:space="preserve">rant </w:t>
      </w:r>
      <w:r w:rsidR="00B30A49">
        <w:rPr>
          <w:lang w:val="en-AU" w:eastAsia="en-AU"/>
        </w:rPr>
        <w:t>n</w:t>
      </w:r>
      <w:r w:rsidRPr="008F7C41">
        <w:rPr>
          <w:lang w:val="en-AU" w:eastAsia="en-AU"/>
        </w:rPr>
        <w:t>otice from the</w:t>
      </w:r>
      <w:r>
        <w:rPr>
          <w:lang w:val="en-AU" w:eastAsia="en-AU"/>
        </w:rPr>
        <w:t xml:space="preserve"> </w:t>
      </w:r>
      <w:r w:rsidRPr="00CC2FD5">
        <w:rPr>
          <w:rFonts w:eastAsia="Times New Roman"/>
          <w:bCs/>
          <w:lang w:val="en-AU" w:eastAsia="en-AU"/>
        </w:rPr>
        <w:t>Department of Home Affairs</w:t>
      </w:r>
      <w:r w:rsidRPr="008F7C41">
        <w:rPr>
          <w:lang w:val="en-AU" w:eastAsia="en-AU"/>
        </w:rPr>
        <w:t xml:space="preserve"> </w:t>
      </w:r>
      <w:r>
        <w:rPr>
          <w:lang w:val="en-AU" w:eastAsia="en-AU"/>
        </w:rPr>
        <w:t xml:space="preserve">(Home Affairs) </w:t>
      </w:r>
      <w:r w:rsidRPr="008F7C41">
        <w:rPr>
          <w:lang w:val="en-AU" w:eastAsia="en-AU"/>
        </w:rPr>
        <w:t xml:space="preserve">should be sought. The </w:t>
      </w:r>
      <w:r>
        <w:rPr>
          <w:lang w:val="en-AU" w:eastAsia="en-AU"/>
        </w:rPr>
        <w:t>VCAA</w:t>
      </w:r>
      <w:r w:rsidRPr="008F7C41">
        <w:rPr>
          <w:lang w:val="en-AU" w:eastAsia="en-AU"/>
        </w:rPr>
        <w:t xml:space="preserve"> must be satisfied that:</w:t>
      </w:r>
    </w:p>
    <w:p w:rsidRPr="008F7C41" w:rsidR="005B41D4" w:rsidP="005B41D4" w:rsidRDefault="00B30A49" w14:paraId="1230CC60" w14:textId="2D520114">
      <w:pPr>
        <w:pStyle w:val="ESBodyText"/>
        <w:numPr>
          <w:ilvl w:val="0"/>
          <w:numId w:val="21"/>
        </w:numPr>
        <w:spacing w:after="0" w:line="276" w:lineRule="auto"/>
        <w:jc w:val="both"/>
        <w:rPr>
          <w:b/>
          <w:lang w:val="en-AU" w:eastAsia="en-AU"/>
        </w:rPr>
      </w:pPr>
      <w:r>
        <w:rPr>
          <w:lang w:val="en-AU" w:eastAsia="en-AU"/>
        </w:rPr>
        <w:t>t</w:t>
      </w:r>
      <w:r w:rsidRPr="008F7C41" w:rsidR="005B41D4">
        <w:rPr>
          <w:lang w:val="en-AU" w:eastAsia="en-AU"/>
        </w:rPr>
        <w:t xml:space="preserve">he visa provides the overseas worker with sufficient work rights to undertake the </w:t>
      </w:r>
      <w:proofErr w:type="gramStart"/>
      <w:r w:rsidRPr="008F7C41" w:rsidR="005B41D4">
        <w:rPr>
          <w:lang w:val="en-AU" w:eastAsia="en-AU"/>
        </w:rPr>
        <w:t>position</w:t>
      </w:r>
      <w:proofErr w:type="gramEnd"/>
    </w:p>
    <w:p w:rsidRPr="008F7C41" w:rsidR="005B41D4" w:rsidP="005B41D4" w:rsidRDefault="00B30A49" w14:paraId="751D295B" w14:textId="28AA012C">
      <w:pPr>
        <w:pStyle w:val="ESBodyText"/>
        <w:numPr>
          <w:ilvl w:val="0"/>
          <w:numId w:val="21"/>
        </w:numPr>
        <w:spacing w:after="0" w:line="276" w:lineRule="auto"/>
        <w:jc w:val="both"/>
        <w:rPr>
          <w:b/>
          <w:lang w:val="en-AU" w:eastAsia="en-AU"/>
        </w:rPr>
      </w:pPr>
      <w:r>
        <w:rPr>
          <w:lang w:val="en-AU" w:eastAsia="en-AU"/>
        </w:rPr>
        <w:t>t</w:t>
      </w:r>
      <w:r w:rsidRPr="008F7C41" w:rsidR="005B41D4">
        <w:rPr>
          <w:lang w:val="en-AU" w:eastAsia="en-AU"/>
        </w:rPr>
        <w:t xml:space="preserve">he overseas worker's qualifications have been assessed and that they meet the professional registration and licensing requirements for the position to be offered to the </w:t>
      </w:r>
      <w:proofErr w:type="gramStart"/>
      <w:r w:rsidRPr="008F7C41" w:rsidR="005B41D4">
        <w:rPr>
          <w:lang w:val="en-AU" w:eastAsia="en-AU"/>
        </w:rPr>
        <w:t>person</w:t>
      </w:r>
      <w:proofErr w:type="gramEnd"/>
    </w:p>
    <w:p w:rsidRPr="008F7C41" w:rsidR="005B41D4" w:rsidP="005B41D4" w:rsidRDefault="00B30A49" w14:paraId="7AC887E2" w14:textId="01969936">
      <w:pPr>
        <w:pStyle w:val="ESBodyText"/>
        <w:numPr>
          <w:ilvl w:val="0"/>
          <w:numId w:val="21"/>
        </w:numPr>
        <w:spacing w:after="0" w:line="276" w:lineRule="auto"/>
        <w:jc w:val="both"/>
        <w:rPr>
          <w:b/>
          <w:lang w:val="en-AU" w:eastAsia="en-AU"/>
        </w:rPr>
      </w:pPr>
      <w:r>
        <w:rPr>
          <w:lang w:val="en-AU" w:eastAsia="en-AU"/>
        </w:rPr>
        <w:t>t</w:t>
      </w:r>
      <w:r w:rsidR="005B41D4">
        <w:rPr>
          <w:lang w:val="en-AU" w:eastAsia="en-AU"/>
        </w:rPr>
        <w:t>h</w:t>
      </w:r>
      <w:r w:rsidRPr="008F7C41" w:rsidR="005B41D4">
        <w:rPr>
          <w:lang w:val="en-AU" w:eastAsia="en-AU"/>
        </w:rPr>
        <w:t xml:space="preserve">e overseas worker is not offered employment beyond the expiry date of their </w:t>
      </w:r>
      <w:proofErr w:type="gramStart"/>
      <w:r w:rsidRPr="008F7C41" w:rsidR="005B41D4">
        <w:rPr>
          <w:lang w:val="en-AU" w:eastAsia="en-AU"/>
        </w:rPr>
        <w:t>visa</w:t>
      </w:r>
      <w:proofErr w:type="gramEnd"/>
    </w:p>
    <w:p w:rsidRPr="008F7C41" w:rsidR="005B41D4" w:rsidP="005B41D4" w:rsidRDefault="00B30A49" w14:paraId="7A11E4A8" w14:textId="7C2E7626">
      <w:pPr>
        <w:pStyle w:val="ESBodyText"/>
        <w:numPr>
          <w:ilvl w:val="0"/>
          <w:numId w:val="21"/>
        </w:numPr>
        <w:spacing w:after="0" w:line="276" w:lineRule="auto"/>
        <w:jc w:val="both"/>
        <w:rPr>
          <w:b/>
          <w:lang w:val="en-AU" w:eastAsia="en-AU"/>
        </w:rPr>
      </w:pPr>
      <w:r>
        <w:rPr>
          <w:lang w:val="en-AU" w:eastAsia="en-AU"/>
        </w:rPr>
        <w:t>t</w:t>
      </w:r>
      <w:r w:rsidRPr="008F7C41" w:rsidR="005B41D4">
        <w:rPr>
          <w:lang w:val="en-AU" w:eastAsia="en-AU"/>
        </w:rPr>
        <w:t>he overseas worker is not subject to any work conditions that place restrictions on the employment of the overseas worker (for example, that limit the number of hours or the period of employment that may be offered to him or her)</w:t>
      </w:r>
      <w:r>
        <w:rPr>
          <w:lang w:val="en-AU" w:eastAsia="en-AU"/>
        </w:rPr>
        <w:t>;</w:t>
      </w:r>
      <w:r w:rsidRPr="008F7C41" w:rsidR="005B41D4">
        <w:rPr>
          <w:lang w:val="en-AU" w:eastAsia="en-AU"/>
        </w:rPr>
        <w:t xml:space="preserve"> </w:t>
      </w:r>
      <w:r>
        <w:rPr>
          <w:lang w:val="en-AU" w:eastAsia="en-AU"/>
        </w:rPr>
        <w:t>w</w:t>
      </w:r>
      <w:r w:rsidRPr="008F7C41" w:rsidR="005B41D4">
        <w:rPr>
          <w:lang w:val="en-AU" w:eastAsia="en-AU"/>
        </w:rPr>
        <w:t xml:space="preserve">here this is the case, any employment offered must be consistent with the conditions listed on their </w:t>
      </w:r>
      <w:proofErr w:type="gramStart"/>
      <w:r w:rsidRPr="008F7C41" w:rsidR="005B41D4">
        <w:rPr>
          <w:lang w:val="en-AU" w:eastAsia="en-AU"/>
        </w:rPr>
        <w:t>visa</w:t>
      </w:r>
      <w:proofErr w:type="gramEnd"/>
    </w:p>
    <w:p w:rsidRPr="00706BAB" w:rsidR="005B41D4" w:rsidP="005B41D4" w:rsidRDefault="00B30A49" w14:paraId="1B7DEF1A" w14:textId="1D77927B">
      <w:pPr>
        <w:pStyle w:val="ESBodyText"/>
        <w:numPr>
          <w:ilvl w:val="0"/>
          <w:numId w:val="21"/>
        </w:numPr>
        <w:spacing w:line="276" w:lineRule="auto"/>
        <w:jc w:val="both"/>
        <w:rPr>
          <w:b/>
          <w:lang w:val="en-AU" w:eastAsia="en-AU"/>
        </w:rPr>
      </w:pPr>
      <w:r>
        <w:rPr>
          <w:lang w:val="en-AU" w:eastAsia="en-AU"/>
        </w:rPr>
        <w:t>t</w:t>
      </w:r>
      <w:r w:rsidRPr="008F7C41" w:rsidR="005B41D4">
        <w:rPr>
          <w:lang w:val="en-AU" w:eastAsia="en-AU"/>
        </w:rPr>
        <w:t>he overseas worker is provided with a letter of offer that contains additional terms and conditions for the employment of an overseas worker</w:t>
      </w:r>
      <w:r w:rsidR="005B41D4">
        <w:rPr>
          <w:lang w:val="en-AU" w:eastAsia="en-AU"/>
        </w:rPr>
        <w:t>.</w:t>
      </w:r>
    </w:p>
    <w:p w:rsidRPr="008F7C41" w:rsidR="005B41D4" w:rsidP="005B41D4" w:rsidRDefault="005B41D4" w14:paraId="494A8BD7" w14:textId="55DD7195">
      <w:pPr>
        <w:pStyle w:val="ESBodyText"/>
        <w:spacing w:line="276" w:lineRule="auto"/>
        <w:jc w:val="both"/>
        <w:rPr>
          <w:b/>
          <w:lang w:val="en-AU" w:eastAsia="en-AU"/>
        </w:rPr>
      </w:pPr>
      <w:bookmarkStart w:name="_Hlk169168074" w:id="25"/>
      <w:bookmarkStart w:name="_Hlk169167568" w:id="26"/>
      <w:bookmarkEnd w:id="24"/>
      <w:r>
        <w:rPr>
          <w:lang w:val="en-AU" w:eastAsia="en-AU"/>
        </w:rPr>
        <w:t xml:space="preserve">Where the VCAA chooses to </w:t>
      </w:r>
      <w:r w:rsidRPr="008F7C41">
        <w:rPr>
          <w:lang w:val="en-AU" w:eastAsia="en-AU"/>
        </w:rPr>
        <w:t xml:space="preserve">sponsor </w:t>
      </w:r>
      <w:r>
        <w:rPr>
          <w:lang w:val="en-AU" w:eastAsia="en-AU"/>
        </w:rPr>
        <w:t xml:space="preserve">a </w:t>
      </w:r>
      <w:r w:rsidRPr="008F7C41">
        <w:rPr>
          <w:lang w:val="en-AU" w:eastAsia="en-AU"/>
        </w:rPr>
        <w:t>skilled worker for a visa</w:t>
      </w:r>
      <w:r>
        <w:rPr>
          <w:lang w:val="en-AU" w:eastAsia="en-AU"/>
        </w:rPr>
        <w:t>, the VCAA</w:t>
      </w:r>
      <w:r w:rsidRPr="008F7C41">
        <w:rPr>
          <w:lang w:val="en-AU" w:eastAsia="en-AU"/>
        </w:rPr>
        <w:t xml:space="preserve"> must comply with </w:t>
      </w:r>
      <w:proofErr w:type="gramStart"/>
      <w:r w:rsidRPr="008F7C41">
        <w:rPr>
          <w:lang w:val="en-AU" w:eastAsia="en-AU"/>
        </w:rPr>
        <w:t>all of</w:t>
      </w:r>
      <w:proofErr w:type="gramEnd"/>
      <w:r w:rsidRPr="008F7C41">
        <w:rPr>
          <w:lang w:val="en-AU" w:eastAsia="en-AU"/>
        </w:rPr>
        <w:t xml:space="preserve"> the sponsorship obligations related to the sponsored person</w:t>
      </w:r>
      <w:bookmarkEnd w:id="25"/>
      <w:r w:rsidRPr="008F7C41">
        <w:rPr>
          <w:lang w:val="en-AU" w:eastAsia="en-AU"/>
        </w:rPr>
        <w:t>.</w:t>
      </w:r>
      <w:r>
        <w:rPr>
          <w:lang w:val="en-AU" w:eastAsia="en-AU"/>
        </w:rPr>
        <w:t xml:space="preserve"> </w:t>
      </w:r>
      <w:bookmarkEnd w:id="26"/>
      <w:r w:rsidRPr="008F7C41">
        <w:rPr>
          <w:lang w:val="en-AU" w:eastAsia="en-AU"/>
        </w:rPr>
        <w:t xml:space="preserve">These can be quite onerous and can have significant financial implications. There are serious penalties for non-compliance. As such, </w:t>
      </w:r>
      <w:bookmarkStart w:name="_Hlk169167619" w:id="27"/>
      <w:r w:rsidRPr="008F7C41">
        <w:rPr>
          <w:lang w:val="en-AU" w:eastAsia="en-AU"/>
        </w:rPr>
        <w:t>it is strongly recommended that managers carefully consider the sponsorship obligations before applying to become a sponsor or nominating someone for sponsorship.</w:t>
      </w:r>
      <w:bookmarkEnd w:id="27"/>
    </w:p>
    <w:p w:rsidRPr="008F7C41" w:rsidR="005B41D4" w:rsidP="005B41D4" w:rsidRDefault="005B41D4" w14:paraId="4BE39750" w14:textId="77777777">
      <w:pPr>
        <w:pStyle w:val="ESBodyText"/>
        <w:spacing w:line="276" w:lineRule="auto"/>
        <w:jc w:val="both"/>
        <w:rPr>
          <w:b/>
          <w:lang w:val="en-AU" w:eastAsia="en-AU"/>
        </w:rPr>
      </w:pPr>
      <w:bookmarkStart w:name="_Hlk169168136" w:id="28"/>
      <w:r w:rsidRPr="008F7C41">
        <w:rPr>
          <w:lang w:val="en-AU" w:eastAsia="en-AU"/>
        </w:rPr>
        <w:t xml:space="preserve">Reasonable steps </w:t>
      </w:r>
      <w:r>
        <w:rPr>
          <w:lang w:val="en-AU" w:eastAsia="en-AU"/>
        </w:rPr>
        <w:t>must</w:t>
      </w:r>
      <w:r w:rsidRPr="008F7C41">
        <w:rPr>
          <w:lang w:val="en-AU" w:eastAsia="en-AU"/>
        </w:rPr>
        <w:t xml:space="preserve"> be taken regularly </w:t>
      </w:r>
      <w:r>
        <w:rPr>
          <w:lang w:val="en-AU" w:eastAsia="en-AU"/>
        </w:rPr>
        <w:t xml:space="preserve">to </w:t>
      </w:r>
      <w:r w:rsidRPr="008F7C41">
        <w:rPr>
          <w:lang w:val="en-AU" w:eastAsia="en-AU"/>
        </w:rPr>
        <w:t>confirm that an overseas worker is not employed in breach of their visa conditions.</w:t>
      </w:r>
      <w:r>
        <w:rPr>
          <w:lang w:val="en-AU" w:eastAsia="en-AU"/>
        </w:rPr>
        <w:t xml:space="preserve"> </w:t>
      </w:r>
      <w:bookmarkEnd w:id="28"/>
      <w:r w:rsidRPr="008F7C41">
        <w:rPr>
          <w:lang w:val="en-AU" w:eastAsia="en-AU"/>
        </w:rPr>
        <w:t xml:space="preserve">There are heavy penalties under the </w:t>
      </w:r>
      <w:r w:rsidRPr="00E068C9">
        <w:rPr>
          <w:i/>
          <w:lang w:val="en-AU" w:eastAsia="en-AU"/>
        </w:rPr>
        <w:t xml:space="preserve">Migration Act 1958 </w:t>
      </w:r>
      <w:r w:rsidRPr="008F7C41">
        <w:rPr>
          <w:lang w:val="en-AU" w:eastAsia="en-AU"/>
        </w:rPr>
        <w:t>(</w:t>
      </w:r>
      <w:proofErr w:type="spellStart"/>
      <w:r w:rsidRPr="008F7C41">
        <w:rPr>
          <w:lang w:val="en-AU" w:eastAsia="en-AU"/>
        </w:rPr>
        <w:t>Cth</w:t>
      </w:r>
      <w:proofErr w:type="spellEnd"/>
      <w:r w:rsidRPr="008F7C41">
        <w:rPr>
          <w:lang w:val="en-AU" w:eastAsia="en-AU"/>
        </w:rPr>
        <w:t>) for employers who allow an overseas worker to work in breach of their visa conditions or without a valid visa.</w:t>
      </w:r>
    </w:p>
    <w:p w:rsidRPr="008F7C41" w:rsidR="005B41D4" w:rsidP="005B41D4" w:rsidRDefault="005B41D4" w14:paraId="7530BA97" w14:textId="77777777">
      <w:pPr>
        <w:pStyle w:val="ESBodyText"/>
        <w:spacing w:line="276" w:lineRule="auto"/>
        <w:jc w:val="both"/>
        <w:rPr>
          <w:b/>
          <w:lang w:val="en-AU" w:eastAsia="en-AU"/>
        </w:rPr>
      </w:pPr>
      <w:r w:rsidRPr="008F7C41">
        <w:rPr>
          <w:lang w:val="en-AU" w:eastAsia="en-AU"/>
        </w:rPr>
        <w:t xml:space="preserve">The </w:t>
      </w:r>
      <w:r>
        <w:rPr>
          <w:lang w:val="en-AU" w:eastAsia="en-AU"/>
        </w:rPr>
        <w:t>suggested</w:t>
      </w:r>
      <w:r w:rsidRPr="008F7C41">
        <w:rPr>
          <w:lang w:val="en-AU" w:eastAsia="en-AU"/>
        </w:rPr>
        <w:t xml:space="preserve"> method of </w:t>
      </w:r>
      <w:r>
        <w:rPr>
          <w:lang w:val="en-AU" w:eastAsia="en-AU"/>
        </w:rPr>
        <w:t>verifying</w:t>
      </w:r>
      <w:r w:rsidRPr="008F7C41">
        <w:rPr>
          <w:lang w:val="en-AU" w:eastAsia="en-AU"/>
        </w:rPr>
        <w:t xml:space="preserve"> visa details is to register for the Home Affairs free online</w:t>
      </w:r>
      <w:r>
        <w:rPr>
          <w:lang w:val="en-AU" w:eastAsia="en-AU"/>
        </w:rPr>
        <w:t xml:space="preserve"> </w:t>
      </w:r>
      <w:r w:rsidRPr="00CC2FD5">
        <w:rPr>
          <w:rFonts w:eastAsia="Times New Roman"/>
          <w:bCs/>
          <w:lang w:val="en-AU" w:eastAsia="en-AU"/>
        </w:rPr>
        <w:t>Visa Entitlement Verification Online</w:t>
      </w:r>
      <w:r>
        <w:rPr>
          <w:lang w:val="en-AU" w:eastAsia="en-AU"/>
        </w:rPr>
        <w:t xml:space="preserve"> </w:t>
      </w:r>
      <w:r w:rsidRPr="008F7C41">
        <w:rPr>
          <w:lang w:val="en-AU" w:eastAsia="en-AU"/>
        </w:rPr>
        <w:t>(VEVO) service</w:t>
      </w:r>
      <w:r>
        <w:rPr>
          <w:lang w:val="en-AU" w:eastAsia="en-AU"/>
        </w:rPr>
        <w:t>. C</w:t>
      </w:r>
      <w:r w:rsidRPr="008F7C41">
        <w:rPr>
          <w:lang w:val="en-AU" w:eastAsia="en-AU"/>
        </w:rPr>
        <w:t xml:space="preserve">onsent </w:t>
      </w:r>
      <w:r>
        <w:rPr>
          <w:lang w:val="en-AU" w:eastAsia="en-AU"/>
        </w:rPr>
        <w:t xml:space="preserve">must be obtained </w:t>
      </w:r>
      <w:r w:rsidRPr="008F7C41">
        <w:rPr>
          <w:lang w:val="en-AU" w:eastAsia="en-AU"/>
        </w:rPr>
        <w:t xml:space="preserve">from the overseas worker </w:t>
      </w:r>
      <w:r>
        <w:rPr>
          <w:lang w:val="en-AU" w:eastAsia="en-AU"/>
        </w:rPr>
        <w:t>prior to undertaking the</w:t>
      </w:r>
      <w:r w:rsidRPr="008F7C41">
        <w:rPr>
          <w:lang w:val="en-AU" w:eastAsia="en-AU"/>
        </w:rPr>
        <w:t xml:space="preserve"> VEVO check.</w:t>
      </w:r>
    </w:p>
    <w:p w:rsidRPr="008F7C41" w:rsidR="005B41D4" w:rsidP="005B41D4" w:rsidRDefault="005B41D4" w14:paraId="69732D96" w14:textId="77777777">
      <w:pPr>
        <w:pStyle w:val="ESBodyText"/>
        <w:spacing w:line="276" w:lineRule="auto"/>
        <w:jc w:val="both"/>
        <w:rPr>
          <w:b/>
          <w:lang w:val="en-AU" w:eastAsia="en-AU"/>
        </w:rPr>
      </w:pPr>
      <w:bookmarkStart w:name="_Hlk169168170" w:id="29"/>
      <w:r w:rsidRPr="008F7C41">
        <w:rPr>
          <w:lang w:val="en-AU" w:eastAsia="en-AU"/>
        </w:rPr>
        <w:t>Home Affairs recommends that employers check the VEVO service or request a VEVO email every 3 months as evidence that the employer regularly took steps to confirm the employee's permission to work.</w:t>
      </w:r>
      <w:r>
        <w:rPr>
          <w:lang w:val="en-AU" w:eastAsia="en-AU"/>
        </w:rPr>
        <w:t xml:space="preserve"> </w:t>
      </w:r>
      <w:bookmarkEnd w:id="29"/>
      <w:r w:rsidRPr="008F7C41">
        <w:rPr>
          <w:lang w:val="en-AU" w:eastAsia="en-AU"/>
        </w:rPr>
        <w:t xml:space="preserve">This should occur </w:t>
      </w:r>
      <w:r>
        <w:rPr>
          <w:lang w:val="en-AU" w:eastAsia="en-AU"/>
        </w:rPr>
        <w:t xml:space="preserve">for all </w:t>
      </w:r>
      <w:r w:rsidRPr="008F7C41">
        <w:rPr>
          <w:lang w:val="en-AU" w:eastAsia="en-AU"/>
        </w:rPr>
        <w:t>employee</w:t>
      </w:r>
      <w:r>
        <w:rPr>
          <w:lang w:val="en-AU" w:eastAsia="en-AU"/>
        </w:rPr>
        <w:t>s</w:t>
      </w:r>
      <w:r w:rsidRPr="008F7C41">
        <w:rPr>
          <w:lang w:val="en-AU" w:eastAsia="en-AU"/>
        </w:rPr>
        <w:t xml:space="preserve"> holding a temporary visa, such as a working holiday visa, partner visa, student visa or bridging visa.</w:t>
      </w:r>
    </w:p>
    <w:p w:rsidRPr="008F7C41" w:rsidR="005B41D4" w:rsidP="005B41D4" w:rsidRDefault="005B41D4" w14:paraId="02A8C191" w14:textId="7F5F5C67">
      <w:pPr>
        <w:pStyle w:val="ESBodyText"/>
        <w:spacing w:line="276" w:lineRule="auto"/>
        <w:jc w:val="both"/>
        <w:rPr>
          <w:b/>
          <w:lang w:val="en-AU" w:eastAsia="en-AU"/>
        </w:rPr>
      </w:pPr>
      <w:r w:rsidRPr="008F7C41">
        <w:rPr>
          <w:lang w:val="en-AU" w:eastAsia="en-AU"/>
        </w:rPr>
        <w:t>Information about the VEVO service is available from the</w:t>
      </w:r>
      <w:r>
        <w:rPr>
          <w:lang w:val="en-AU" w:eastAsia="en-AU"/>
        </w:rPr>
        <w:t xml:space="preserve"> </w:t>
      </w:r>
      <w:r w:rsidRPr="00CC2FD5">
        <w:rPr>
          <w:rFonts w:eastAsia="Times New Roman"/>
          <w:bCs/>
          <w:lang w:val="en-AU" w:eastAsia="en-AU"/>
        </w:rPr>
        <w:t>Department of Home Affairs</w:t>
      </w:r>
      <w:r>
        <w:rPr>
          <w:lang w:val="en-AU" w:eastAsia="en-AU"/>
        </w:rPr>
        <w:t xml:space="preserve"> </w:t>
      </w:r>
      <w:r w:rsidRPr="008F7C41">
        <w:rPr>
          <w:lang w:val="en-AU" w:eastAsia="en-AU"/>
        </w:rPr>
        <w:t>website</w:t>
      </w:r>
      <w:r w:rsidR="007C7C8A">
        <w:rPr>
          <w:lang w:val="en-AU" w:eastAsia="en-AU"/>
        </w:rPr>
        <w:t xml:space="preserve"> [link]</w:t>
      </w:r>
      <w:r w:rsidRPr="008F7C41">
        <w:rPr>
          <w:lang w:val="en-AU" w:eastAsia="en-AU"/>
        </w:rPr>
        <w:t>.</w:t>
      </w:r>
    </w:p>
    <w:p w:rsidR="005B41D4" w:rsidP="005B41D4" w:rsidRDefault="005B41D4" w14:paraId="1F1684A3" w14:textId="77777777">
      <w:pPr>
        <w:pStyle w:val="ESBodyText"/>
        <w:spacing w:line="276" w:lineRule="auto"/>
        <w:jc w:val="both"/>
        <w:rPr>
          <w:lang w:val="en-AU" w:eastAsia="en-AU"/>
        </w:rPr>
      </w:pPr>
      <w:bookmarkStart w:name="_Hlk169168188" w:id="30"/>
      <w:r>
        <w:rPr>
          <w:lang w:val="en-AU" w:eastAsia="en-AU"/>
        </w:rPr>
        <w:t xml:space="preserve">The VCAA is responsible for paying </w:t>
      </w:r>
      <w:r w:rsidRPr="008F7C41">
        <w:rPr>
          <w:lang w:val="en-AU" w:eastAsia="en-AU"/>
        </w:rPr>
        <w:t xml:space="preserve">the sponsorship and nomination application fees associated with the sponsorship arrangement. </w:t>
      </w:r>
      <w:bookmarkEnd w:id="30"/>
      <w:r w:rsidRPr="008F7C41">
        <w:rPr>
          <w:lang w:val="en-AU" w:eastAsia="en-AU"/>
        </w:rPr>
        <w:t>The overseas worker is responsible for the payment of the visa application fees.</w:t>
      </w:r>
    </w:p>
    <w:p w:rsidRPr="00DE35B5" w:rsidR="007C7C8A" w:rsidP="00DE35B5" w:rsidRDefault="007C7C8A" w14:paraId="5CCB9FB7" w14:textId="77777777">
      <w:pPr>
        <w:pStyle w:val="BodyText"/>
        <w:rPr>
          <w:highlight w:val="lightGray"/>
        </w:rPr>
      </w:pPr>
      <w:bookmarkStart w:name="_Toc163224592" w:id="31"/>
      <w:bookmarkStart w:name="_Toc169076570" w:id="32"/>
      <w:r w:rsidRPr="007C7C8A">
        <w:rPr>
          <w:highlight w:val="lightGray"/>
        </w:rPr>
        <w:br w:type="page"/>
      </w:r>
    </w:p>
    <w:p w:rsidRPr="005B41D4" w:rsidR="005B41D4" w:rsidP="00680245" w:rsidRDefault="005B41D4" w14:paraId="3DEB1418" w14:textId="5B3D6153">
      <w:pPr>
        <w:pStyle w:val="VCAAHeading2"/>
        <w:numPr>
          <w:ilvl w:val="0"/>
          <w:numId w:val="23"/>
        </w:numPr>
        <w:spacing w:line="276" w:lineRule="auto"/>
        <w:jc w:val="both"/>
      </w:pPr>
      <w:bookmarkStart w:name="_Toc170208013" w:id="33"/>
      <w:r w:rsidRPr="005B41D4">
        <w:t xml:space="preserve">Managing this </w:t>
      </w:r>
      <w:bookmarkEnd w:id="31"/>
      <w:r w:rsidRPr="005B41D4">
        <w:t>guideline</w:t>
      </w:r>
      <w:bookmarkEnd w:id="32"/>
      <w:bookmarkEnd w:id="33"/>
    </w:p>
    <w:p w:rsidRPr="00680245" w:rsidR="005B41D4" w:rsidP="00680245" w:rsidRDefault="005B41D4" w14:paraId="7E6EB402" w14:textId="77777777" w14:noSpellErr="1">
      <w:pPr>
        <w:pStyle w:val="VCAAHeading5"/>
        <w:numPr>
          <w:ilvl w:val="1"/>
          <w:numId w:val="23"/>
        </w:numPr>
        <w:spacing w:line="276" w:lineRule="auto"/>
        <w:jc w:val="both"/>
        <w:rPr/>
      </w:pPr>
      <w:bookmarkStart w:name="_Toc169076571" w:id="34"/>
      <w:bookmarkStart w:name="_Toc170208014" w:id="35"/>
      <w:r w:rsidRPr="44979D5B" w:rsidR="2FC5D777">
        <w:rPr>
          <w:lang w:val="en-US"/>
        </w:rPr>
        <w:t>Authorisation</w:t>
      </w:r>
      <w:bookmarkEnd w:id="34"/>
      <w:bookmarkEnd w:id="35"/>
    </w:p>
    <w:p w:rsidR="005B41D4" w:rsidP="005B41D4" w:rsidRDefault="005B41D4" w14:paraId="77FCA204" w14:textId="77777777">
      <w:pPr>
        <w:pStyle w:val="ESBodyText"/>
        <w:spacing w:line="276" w:lineRule="auto"/>
        <w:jc w:val="both"/>
        <w:rPr>
          <w:rStyle w:val="normaltextrun"/>
        </w:rPr>
      </w:pPr>
      <w:r w:rsidRPr="001E7676">
        <w:rPr>
          <w:rStyle w:val="normaltextrun"/>
        </w:rPr>
        <w:t xml:space="preserve">This </w:t>
      </w:r>
      <w:r>
        <w:rPr>
          <w:rStyle w:val="normaltextrun"/>
        </w:rPr>
        <w:t>guideline</w:t>
      </w:r>
      <w:r w:rsidRPr="001E7676">
        <w:rPr>
          <w:rStyle w:val="normaltextrun"/>
        </w:rPr>
        <w:t xml:space="preserve"> is issued under the authority of the Chief Executive Officer.</w:t>
      </w:r>
    </w:p>
    <w:p w:rsidRPr="00680245" w:rsidR="005B41D4" w:rsidP="00680245" w:rsidRDefault="005B41D4" w14:paraId="31E065DF" w14:textId="77777777">
      <w:pPr>
        <w:pStyle w:val="VCAAHeading5"/>
        <w:numPr>
          <w:ilvl w:val="1"/>
          <w:numId w:val="23"/>
        </w:numPr>
        <w:spacing w:line="276" w:lineRule="auto"/>
        <w:jc w:val="both"/>
      </w:pPr>
      <w:bookmarkStart w:name="_Toc169076572" w:id="36"/>
      <w:bookmarkStart w:name="_Toc170208015" w:id="37"/>
      <w:r w:rsidRPr="00680245">
        <w:t>Accountability for the guideline</w:t>
      </w:r>
      <w:bookmarkEnd w:id="36"/>
      <w:bookmarkEnd w:id="37"/>
    </w:p>
    <w:p w:rsidR="005B41D4" w:rsidP="005B41D4" w:rsidRDefault="005B41D4" w14:paraId="08B0DD94" w14:textId="510A7C61">
      <w:pPr>
        <w:pStyle w:val="ESBodyText"/>
        <w:spacing w:line="276" w:lineRule="auto"/>
        <w:jc w:val="both"/>
        <w:rPr>
          <w:sz w:val="20"/>
          <w:szCs w:val="20"/>
        </w:rPr>
      </w:pPr>
      <w:r>
        <w:rPr>
          <w:rStyle w:val="normaltextrun"/>
          <w:color w:val="000000"/>
        </w:rPr>
        <w:t>The owner for this guideline is VCAA Human Resources. The owner reports to the Chief Executive Officer on the management of this guideline.</w:t>
      </w:r>
    </w:p>
    <w:p w:rsidR="005B41D4" w:rsidP="005B41D4" w:rsidRDefault="005B41D4" w14:paraId="043127C6" w14:textId="77777777">
      <w:pPr>
        <w:pStyle w:val="ESBodyText"/>
        <w:spacing w:line="276" w:lineRule="auto"/>
        <w:jc w:val="both"/>
        <w:rPr>
          <w:sz w:val="20"/>
          <w:szCs w:val="20"/>
        </w:rPr>
      </w:pPr>
      <w:r>
        <w:rPr>
          <w:rStyle w:val="normaltextrun"/>
          <w:color w:val="000000"/>
        </w:rPr>
        <w:t>The owner is responsible for:</w:t>
      </w:r>
    </w:p>
    <w:p w:rsidR="005B41D4" w:rsidP="005B41D4" w:rsidRDefault="007C7C8A" w14:paraId="6CCF8276" w14:textId="68427B03">
      <w:pPr>
        <w:pStyle w:val="ESBodyText"/>
        <w:numPr>
          <w:ilvl w:val="0"/>
          <w:numId w:val="22"/>
        </w:numPr>
        <w:spacing w:line="276" w:lineRule="auto"/>
        <w:jc w:val="both"/>
      </w:pPr>
      <w:r>
        <w:rPr>
          <w:rStyle w:val="normaltextrun"/>
          <w:color w:val="000000"/>
          <w:lang w:val="en-GB"/>
        </w:rPr>
        <w:t>d</w:t>
      </w:r>
      <w:r w:rsidR="005B41D4">
        <w:rPr>
          <w:rStyle w:val="normaltextrun"/>
          <w:color w:val="000000"/>
          <w:lang w:val="en-GB"/>
        </w:rPr>
        <w:t>evelopment and regular review of this guideline</w:t>
      </w:r>
    </w:p>
    <w:p w:rsidR="005B41D4" w:rsidP="005B41D4" w:rsidRDefault="007C7C8A" w14:paraId="6FCCD729" w14:textId="219EA4FC">
      <w:pPr>
        <w:pStyle w:val="ESBodyText"/>
        <w:numPr>
          <w:ilvl w:val="0"/>
          <w:numId w:val="22"/>
        </w:numPr>
        <w:spacing w:line="276" w:lineRule="auto"/>
        <w:jc w:val="both"/>
      </w:pPr>
      <w:r>
        <w:rPr>
          <w:rStyle w:val="normaltextrun"/>
          <w:color w:val="000000"/>
          <w:lang w:val="en-GB"/>
        </w:rPr>
        <w:t>d</w:t>
      </w:r>
      <w:r w:rsidR="005B41D4">
        <w:rPr>
          <w:rStyle w:val="normaltextrun"/>
          <w:color w:val="000000"/>
          <w:lang w:val="en-GB"/>
        </w:rPr>
        <w:t xml:space="preserve">evelopment of protocols, processes and guidelines to support </w:t>
      </w:r>
      <w:proofErr w:type="gramStart"/>
      <w:r w:rsidR="005B41D4">
        <w:rPr>
          <w:rStyle w:val="normaltextrun"/>
          <w:color w:val="000000"/>
          <w:lang w:val="en-GB"/>
        </w:rPr>
        <w:t>implementation</w:t>
      </w:r>
      <w:proofErr w:type="gramEnd"/>
    </w:p>
    <w:p w:rsidRPr="001E7676" w:rsidR="005B41D4" w:rsidP="005B41D4" w:rsidRDefault="007C7C8A" w14:paraId="2067281F" w14:textId="5E2C167C">
      <w:pPr>
        <w:pStyle w:val="ESBodyText"/>
        <w:numPr>
          <w:ilvl w:val="0"/>
          <w:numId w:val="22"/>
        </w:numPr>
        <w:spacing w:line="276" w:lineRule="auto"/>
        <w:jc w:val="both"/>
        <w:rPr>
          <w:rStyle w:val="normaltextrun"/>
        </w:rPr>
      </w:pPr>
      <w:r>
        <w:rPr>
          <w:rStyle w:val="normaltextrun"/>
          <w:color w:val="000000"/>
          <w:lang w:val="en-GB"/>
        </w:rPr>
        <w:t>m</w:t>
      </w:r>
      <w:r w:rsidR="005B41D4">
        <w:rPr>
          <w:rStyle w:val="normaltextrun"/>
          <w:color w:val="000000"/>
          <w:lang w:val="en-GB"/>
        </w:rPr>
        <w:t>onitoring compliance of applicable employees, organisational units, and/or locations</w:t>
      </w:r>
      <w:r w:rsidR="005B41D4">
        <w:rPr>
          <w:rStyle w:val="eop"/>
          <w:color w:val="000000"/>
        </w:rPr>
        <w:t>.</w:t>
      </w:r>
    </w:p>
    <w:p w:rsidRPr="00680245" w:rsidR="005B41D4" w:rsidP="00680245" w:rsidRDefault="005B41D4" w14:paraId="307AFA37" w14:textId="77777777">
      <w:pPr>
        <w:pStyle w:val="VCAAHeading5"/>
        <w:numPr>
          <w:ilvl w:val="1"/>
          <w:numId w:val="23"/>
        </w:numPr>
        <w:spacing w:line="276" w:lineRule="auto"/>
        <w:jc w:val="both"/>
      </w:pPr>
      <w:bookmarkStart w:name="_Toc169076573" w:id="38"/>
      <w:bookmarkStart w:name="_Toc170208016" w:id="39"/>
      <w:r w:rsidRPr="00680245">
        <w:t>Important dates</w:t>
      </w:r>
      <w:bookmarkEnd w:id="38"/>
      <w:bookmarkEnd w:id="39"/>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5B41D4" w:rsidTr="00B63F63" w14:paraId="4148CC4F" w14:textId="77777777">
        <w:trPr>
          <w:trHeight w:val="300"/>
        </w:trPr>
        <w:tc>
          <w:tcPr>
            <w:tcW w:w="4815" w:type="dxa"/>
            <w:shd w:val="clear" w:color="auto" w:fill="auto"/>
            <w:hideMark/>
          </w:tcPr>
          <w:p w:rsidRPr="001E7676" w:rsidR="005B41D4" w:rsidP="00B63F63" w:rsidRDefault="005B41D4" w14:paraId="78DDD85C" w14:textId="77777777">
            <w:pPr>
              <w:spacing w:after="0"/>
              <w:jc w:val="both"/>
              <w:textAlignment w:val="baseline"/>
              <w:rPr>
                <w:rFonts w:eastAsia="Times New Roman" w:cstheme="minorHAnsi"/>
                <w:sz w:val="24"/>
                <w:szCs w:val="24"/>
                <w:lang w:eastAsia="en-AU"/>
              </w:rPr>
            </w:pPr>
            <w:bookmarkStart w:name="_Hlk169077789" w:id="40"/>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5B41D4" w:rsidP="00B63F63" w:rsidRDefault="005B41D4" w14:paraId="71C22D17"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5B41D4" w:rsidTr="00B63F63" w14:paraId="05BF7951" w14:textId="77777777">
        <w:trPr>
          <w:trHeight w:val="300"/>
        </w:trPr>
        <w:tc>
          <w:tcPr>
            <w:tcW w:w="4815" w:type="dxa"/>
            <w:shd w:val="clear" w:color="auto" w:fill="auto"/>
            <w:hideMark/>
          </w:tcPr>
          <w:p w:rsidRPr="001E7676" w:rsidR="005B41D4" w:rsidP="00B63F63" w:rsidRDefault="005B41D4" w14:paraId="20D2BD68"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5B41D4" w:rsidP="00B63F63" w:rsidRDefault="005B41D4" w14:paraId="4FB8F5EE"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5B41D4" w:rsidTr="00B63F63" w14:paraId="7DD3DDA8" w14:textId="77777777">
        <w:trPr>
          <w:trHeight w:val="300"/>
        </w:trPr>
        <w:tc>
          <w:tcPr>
            <w:tcW w:w="4815" w:type="dxa"/>
            <w:shd w:val="clear" w:color="auto" w:fill="auto"/>
            <w:hideMark/>
          </w:tcPr>
          <w:p w:rsidRPr="001E7676" w:rsidR="005B41D4" w:rsidP="00B63F63" w:rsidRDefault="005B41D4" w14:paraId="1D9DC157"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5B41D4" w:rsidP="00B63F63" w:rsidRDefault="005B41D4" w14:paraId="480EE0D3"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bookmarkEnd w:id="40"/>
    </w:tbl>
    <w:p w:rsidRPr="00706BAB" w:rsidR="005B41D4" w:rsidP="005B41D4" w:rsidRDefault="005B41D4" w14:paraId="43EB8286" w14:textId="77777777">
      <w:pPr>
        <w:pStyle w:val="ESBodyText"/>
        <w:spacing w:line="276" w:lineRule="auto"/>
        <w:ind w:left="720"/>
        <w:jc w:val="both"/>
        <w:rPr>
          <w:lang w:val="en-AU" w:eastAsia="en-AU"/>
        </w:rPr>
      </w:pPr>
    </w:p>
    <w:sectPr w:rsidRPr="00706BAB" w:rsidR="005B41D4" w:rsidSect="00881105">
      <w:headerReference w:type="default" r:id="rId23"/>
      <w:footerReference w:type="default" r:id="rId24"/>
      <w:headerReference w:type="first" r:id="rId25"/>
      <w:footerReference w:type="first" r:id="rId26"/>
      <w:pgSz w:w="11907" w:h="16840" w:orient="portrait"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DE35B5"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5B41D4" w14:paraId="586607E3" w14:textId="3A00B088">
        <w:r>
          <w:t>Employment and sponsorship of overseas workers guideline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DE35B5" w14:paraId="17BE7806" w14:textId="68A9268E">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5B41D4">
          <w:t>Employment and sponsorship of overseas workers guideline</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2AC99AA6">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5B41D4">
          <w:t>Employment and sponsorship of overseas workers guideline</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544107C8"/>
    <w:multiLevelType w:val="hybridMultilevel"/>
    <w:tmpl w:val="64F450A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19"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0"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1" w15:restartNumberingAfterBreak="0">
    <w:nsid w:val="6BF90F6C"/>
    <w:multiLevelType w:val="hybridMultilevel"/>
    <w:tmpl w:val="93187C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7FC50B64"/>
    <w:multiLevelType w:val="multilevel"/>
    <w:tmpl w:val="B060C75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501355350">
    <w:abstractNumId w:val="20"/>
  </w:num>
  <w:num w:numId="2" w16cid:durableId="116458358">
    <w:abstractNumId w:val="18"/>
  </w:num>
  <w:num w:numId="3" w16cid:durableId="1925257724">
    <w:abstractNumId w:val="14"/>
  </w:num>
  <w:num w:numId="4" w16cid:durableId="214388723">
    <w:abstractNumId w:val="11"/>
  </w:num>
  <w:num w:numId="5" w16cid:durableId="711996426">
    <w:abstractNumId w:val="19"/>
  </w:num>
  <w:num w:numId="6" w16cid:durableId="1236934448">
    <w:abstractNumId w:val="12"/>
  </w:num>
  <w:num w:numId="7" w16cid:durableId="2021656439">
    <w:abstractNumId w:val="10"/>
  </w:num>
  <w:num w:numId="8" w16cid:durableId="329253850">
    <w:abstractNumId w:val="13"/>
  </w:num>
  <w:num w:numId="9" w16cid:durableId="1246761816">
    <w:abstractNumId w:val="17"/>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711765146">
    <w:abstractNumId w:val="21"/>
  </w:num>
  <w:num w:numId="21" w16cid:durableId="1562405897">
    <w:abstractNumId w:val="16"/>
  </w:num>
  <w:num w:numId="22" w16cid:durableId="1215119827">
    <w:abstractNumId w:val="15"/>
  </w:num>
  <w:num w:numId="23" w16cid:durableId="1461075761">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removePersonalInformation/>
  <w:removeDateAndTime/>
  <w:hideSpellingErrors/>
  <w:hideGrammatical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tru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B41D4"/>
    <w:rsid w:val="005C76D0"/>
    <w:rsid w:val="005D3D78"/>
    <w:rsid w:val="005D4C51"/>
    <w:rsid w:val="005E17AB"/>
    <w:rsid w:val="005E2EF0"/>
    <w:rsid w:val="005F504C"/>
    <w:rsid w:val="00613DCB"/>
    <w:rsid w:val="00621305"/>
    <w:rsid w:val="0062553D"/>
    <w:rsid w:val="006314D3"/>
    <w:rsid w:val="00632FF9"/>
    <w:rsid w:val="00634764"/>
    <w:rsid w:val="00637FBC"/>
    <w:rsid w:val="00650423"/>
    <w:rsid w:val="00654760"/>
    <w:rsid w:val="00665E92"/>
    <w:rsid w:val="00672AFB"/>
    <w:rsid w:val="00680245"/>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C7C8A"/>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94339"/>
    <w:rsid w:val="00AB2543"/>
    <w:rsid w:val="00AB4E23"/>
    <w:rsid w:val="00AE7137"/>
    <w:rsid w:val="00AF1B9E"/>
    <w:rsid w:val="00AF4B2C"/>
    <w:rsid w:val="00B0738F"/>
    <w:rsid w:val="00B26601"/>
    <w:rsid w:val="00B275F7"/>
    <w:rsid w:val="00B30A49"/>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E35B5"/>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2FC5D777"/>
    <w:rsid w:val="44979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EEEB151"/>
  <w15:docId w15:val="{08603F53-4658-4276-8D98-164AEBA0FB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680245"/>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styleId="CommentTextChar" w:customStyle="1">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5B41D4"/>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5B41D4"/>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5B41D4"/>
    <w:pPr>
      <w:spacing w:before="120" w:after="120" w:line="280" w:lineRule="exact"/>
    </w:pPr>
    <w:rPr>
      <w:rFonts w:cs="Arial" w:asciiTheme="majorHAnsi" w:hAnsiTheme="majorHAnsi"/>
      <w:color w:val="000000" w:themeColor="text1"/>
      <w:sz w:val="20"/>
    </w:rPr>
  </w:style>
  <w:style w:type="paragraph" w:styleId="VCAAbulletlevel2" w:customStyle="1">
    <w:name w:val="VCAA bullet level 2"/>
    <w:basedOn w:val="Normal"/>
    <w:qFormat/>
    <w:rsid w:val="005B41D4"/>
    <w:pPr>
      <w:tabs>
        <w:tab w:val="left" w:pos="425"/>
      </w:tabs>
      <w:spacing w:before="60" w:after="60" w:line="280" w:lineRule="exact"/>
      <w:ind w:left="850" w:hanging="425"/>
    </w:pPr>
    <w:rPr>
      <w:rFonts w:eastAsia="Times New Roman" w:cs="Arial" w:asciiTheme="majorHAnsi" w:hAnsiTheme="majorHAnsi"/>
      <w:color w:val="000000" w:themeColor="text1"/>
      <w:kern w:val="22"/>
      <w:sz w:val="20"/>
      <w:lang w:val="en-GB" w:eastAsia="ja-JP"/>
    </w:rPr>
  </w:style>
  <w:style w:type="paragraph" w:styleId="VCAAHeading5" w:customStyle="1">
    <w:name w:val="VCAA Heading 5"/>
    <w:basedOn w:val="Normal"/>
    <w:next w:val="VCAAbody"/>
    <w:qFormat/>
    <w:rsid w:val="005B41D4"/>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5B41D4"/>
    <w:rPr>
      <w:rFonts w:cs="Arial" w:asciiTheme="majorHAnsi" w:hAnsiTheme="majorHAnsi"/>
      <w:color w:val="000000" w:themeColor="text1"/>
      <w:sz w:val="20"/>
    </w:rPr>
  </w:style>
  <w:style w:type="paragraph" w:styleId="ESHeading1" w:customStyle="1">
    <w:name w:val="ES_Heading 1"/>
    <w:basedOn w:val="Normal"/>
    <w:link w:val="ESHeading1Char"/>
    <w:qFormat/>
    <w:rsid w:val="005B41D4"/>
    <w:pPr>
      <w:spacing w:before="240" w:after="120" w:line="240" w:lineRule="auto"/>
      <w:outlineLvl w:val="0"/>
    </w:pPr>
    <w:rPr>
      <w:rFonts w:ascii="Arial" w:hAnsi="Arial" w:eastAsiaTheme="minorEastAsia" w:cstheme="minorHAnsi"/>
      <w:b/>
      <w:color w:val="004EA8"/>
      <w:sz w:val="36"/>
      <w:szCs w:val="36"/>
    </w:rPr>
  </w:style>
  <w:style w:type="paragraph" w:styleId="ESBodyText" w:customStyle="1">
    <w:name w:val="ES_Body Text"/>
    <w:basedOn w:val="Normal"/>
    <w:qFormat/>
    <w:rsid w:val="005B41D4"/>
    <w:pPr>
      <w:spacing w:after="120" w:line="240" w:lineRule="atLeast"/>
    </w:pPr>
    <w:rPr>
      <w:rFonts w:ascii="Arial" w:hAnsi="Arial" w:cs="Arial" w:eastAsiaTheme="minorEastAsia"/>
      <w:sz w:val="18"/>
      <w:szCs w:val="18"/>
    </w:rPr>
  </w:style>
  <w:style w:type="character" w:styleId="ESHeading1Char" w:customStyle="1">
    <w:name w:val="ES_Heading 1 Char"/>
    <w:basedOn w:val="DefaultParagraphFont"/>
    <w:link w:val="ESHeading1"/>
    <w:rsid w:val="005B41D4"/>
    <w:rPr>
      <w:rFonts w:ascii="Arial" w:hAnsi="Arial" w:eastAsiaTheme="minorEastAsia" w:cstheme="minorHAnsi"/>
      <w:b/>
      <w:color w:val="004EA8"/>
      <w:sz w:val="36"/>
      <w:szCs w:val="36"/>
    </w:rPr>
  </w:style>
  <w:style w:type="character" w:styleId="rpl-text-label" w:customStyle="1">
    <w:name w:val="rpl-text-label"/>
    <w:basedOn w:val="DefaultParagraphFont"/>
    <w:rsid w:val="005B41D4"/>
  </w:style>
  <w:style w:type="character" w:styleId="rpl-text-icongroup" w:customStyle="1">
    <w:name w:val="rpl-text-icon__group"/>
    <w:basedOn w:val="DefaultParagraphFont"/>
    <w:rsid w:val="005B41D4"/>
  </w:style>
  <w:style w:type="character" w:styleId="normaltextrun" w:customStyle="1">
    <w:name w:val="normaltextrun"/>
    <w:basedOn w:val="DefaultParagraphFont"/>
    <w:rsid w:val="005B41D4"/>
  </w:style>
  <w:style w:type="character" w:styleId="eop" w:customStyle="1">
    <w:name w:val="eop"/>
    <w:basedOn w:val="DefaultParagraphFont"/>
    <w:rsid w:val="005B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4.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ntTable" Target="fontTable.xml" Id="rId27"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81127C"/>
    <w:rsid w:val="00935D91"/>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purl.org/dc/elements/1.1/"/>
    <ds:schemaRef ds:uri="603ce84b-db6c-4b71-aec5-1961e312b7c3"/>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dfda961-1ef8-479d-a039-ba17e335c3a2"/>
  </ds:schemaRefs>
</ds:datastoreItem>
</file>

<file path=customXml/itemProps3.xml><?xml version="1.0" encoding="utf-8"?>
<ds:datastoreItem xmlns:ds="http://schemas.openxmlformats.org/officeDocument/2006/customXml" ds:itemID="{433ED10A-ABB7-42A9-A06C-3A6D89D084A8}"/>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and sponsorship of overseas workers guideline</dc:title>
  <dc:creator/>
  <cp:lastModifiedBy>Nutan Bansal</cp:lastModifiedBy>
  <cp:revision>2</cp:revision>
  <dcterms:created xsi:type="dcterms:W3CDTF">2024-06-25T01:16:00Z</dcterms:created>
  <dcterms:modified xsi:type="dcterms:W3CDTF">2024-07-30T05:13:22Z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