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doc_title"/>
    <w:bookmarkStart w:id="1" w:name="_Toc398032444"/>
    <w:bookmarkStart w:id="2" w:name="_Toc398032631"/>
    <w:p w14:paraId="050E2465" w14:textId="227161E7" w:rsidR="00C73F9D" w:rsidRPr="004A22BC" w:rsidRDefault="00C173C0" w:rsidP="007D712E">
      <w:pPr>
        <w:pStyle w:val="Title"/>
      </w:pPr>
      <w:sdt>
        <w:sdtPr>
          <w:id w:val="-426587749"/>
          <w:lock w:val="contentLocked"/>
          <w:placeholder>
            <w:docPart w:val="DefaultPlaceholder_-1854013440"/>
          </w:placeholder>
          <w:group/>
        </w:sdt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Content>
              <w:r w:rsidR="00946D73">
                <w:t>Recognition of prior service for leave purposes Guideline</w:t>
              </w:r>
            </w:sdtContent>
          </w:sdt>
        </w:sdtContent>
      </w:sdt>
      <w:bookmarkEnd w:id="0"/>
      <w:bookmarkEnd w:id="1"/>
      <w:bookmarkEnd w:id="2"/>
      <w:r w:rsidR="003D421C" w:rsidRPr="004A22BC">
        <w:drawing>
          <wp:anchor distT="0" distB="0" distL="114300" distR="114300" simplePos="0" relativeHeight="251658240"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We acknowledge Aboriginal and Torres Strait Islander people as Australia’s first peoples and as the Traditional Owners and custodians of the lands and waters on which we rely. We pay respect to Elders past and present of the lands where we conduct our work and recognise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7C215B10" w14:textId="1252A11D" w:rsidR="003701BC" w:rsidRPr="00210AB7" w:rsidRDefault="003701BC" w:rsidP="003701BC">
      <w:pPr>
        <w:pStyle w:val="VCAAtrademarkinfo"/>
        <w:rPr>
          <w:lang w:val="en-AU"/>
        </w:rPr>
      </w:pPr>
      <w:r w:rsidRPr="00210AB7">
        <w:rPr>
          <w:lang w:val="en-AU"/>
        </w:rPr>
        <w:t xml:space="preserve">© Victorian Curriculum and Assessment Authority </w:t>
      </w:r>
      <w:r w:rsidR="00946D73">
        <w:rPr>
          <w:lang w:val="en-AU"/>
        </w:rPr>
        <w:t>2024</w:t>
      </w:r>
    </w:p>
    <w:p w14:paraId="26AF626F" w14:textId="777777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4" w:history="1">
        <w:r w:rsidRPr="00A06B65">
          <w:rPr>
            <w:rStyle w:val="Hyperlink"/>
          </w:rPr>
          <w:t>VCAA educational allowance</w:t>
        </w:r>
      </w:hyperlink>
      <w:r w:rsidRPr="00A06B65">
        <w:rPr>
          <w:lang w:val="en-AU"/>
        </w:rPr>
        <w:t xml:space="preserve">. For more information go to </w:t>
      </w:r>
      <w:hyperlink r:id="rId15" w:history="1">
        <w:r>
          <w:rPr>
            <w:rStyle w:val="Hyperlink"/>
          </w:rPr>
          <w:t>https://www.vcaa.vic.edu.au/Footer/Pages/Copyright.aspx</w:t>
        </w:r>
      </w:hyperlink>
      <w:r w:rsidRPr="00A06B65">
        <w:rPr>
          <w:lang w:val="en-AU"/>
        </w:rPr>
        <w:t xml:space="preserve">. </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6" w:history="1">
        <w:r w:rsidRPr="00A06B65">
          <w:rPr>
            <w:rStyle w:val="Hyperlink"/>
          </w:rPr>
          <w:t>www.vcaa.vic.edu.au</w:t>
        </w:r>
      </w:hyperlink>
      <w:r w:rsidRPr="00A06B65">
        <w:rPr>
          <w:lang w:val="en-AU"/>
        </w:rPr>
        <w:t>.</w:t>
      </w:r>
    </w:p>
    <w:p w14:paraId="4CC3AC00" w14:textId="77777777"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7" w:history="1">
        <w:r w:rsidRPr="00A06B65">
          <w:rPr>
            <w:rStyle w:val="Hyperlink"/>
          </w:rPr>
          <w:t>vcaa.copyright@edumail.vic.gov.au</w:t>
        </w:r>
      </w:hyperlink>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C20890">
        <w:trPr>
          <w:trHeight w:val="794"/>
        </w:trPr>
        <w:tc>
          <w:tcPr>
            <w:tcW w:w="9855" w:type="dxa"/>
          </w:tcPr>
          <w:p w14:paraId="0968D23E" w14:textId="77777777" w:rsidR="003701BC" w:rsidRPr="00A06B65" w:rsidRDefault="003701BC" w:rsidP="00C20890">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3242A94E" w:rsidR="003701BC" w:rsidRPr="00A06B65" w:rsidRDefault="003701BC" w:rsidP="00C20890">
            <w:pPr>
              <w:pStyle w:val="VCAAtrademarkinfo"/>
              <w:rPr>
                <w:lang w:val="en-AU"/>
              </w:rPr>
            </w:pPr>
            <w:r w:rsidRPr="00A06B65">
              <w:rPr>
                <w:lang w:val="en-AU"/>
              </w:rPr>
              <w:t xml:space="preserve">Telephone (03) 9032 1635 or email </w:t>
            </w:r>
            <w:hyperlink r:id="rId18"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19"/>
          <w:footerReference w:type="first" r:id="rId20"/>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t>Contents</w:t>
      </w:r>
    </w:p>
    <w:p w14:paraId="40A15C6C" w14:textId="63D01AAD"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anchor="_Toc178071673" w:history="1">
        <w:r w:rsidRPr="00CD3C17">
          <w:rPr>
            <w:rStyle w:val="Hyperlink"/>
          </w:rPr>
          <w:t>1.</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Overview</w:t>
        </w:r>
        <w:r>
          <w:rPr>
            <w:webHidden/>
          </w:rPr>
          <w:tab/>
        </w:r>
        <w:r>
          <w:rPr>
            <w:webHidden/>
          </w:rPr>
          <w:fldChar w:fldCharType="begin"/>
        </w:r>
        <w:r>
          <w:rPr>
            <w:webHidden/>
          </w:rPr>
          <w:instrText xml:space="preserve"> PAGEREF _Toc178071673 \h </w:instrText>
        </w:r>
        <w:r>
          <w:rPr>
            <w:webHidden/>
          </w:rPr>
        </w:r>
        <w:r>
          <w:rPr>
            <w:webHidden/>
          </w:rPr>
          <w:fldChar w:fldCharType="separate"/>
        </w:r>
        <w:r>
          <w:rPr>
            <w:webHidden/>
          </w:rPr>
          <w:t>2</w:t>
        </w:r>
        <w:r>
          <w:rPr>
            <w:webHidden/>
          </w:rPr>
          <w:fldChar w:fldCharType="end"/>
        </w:r>
      </w:hyperlink>
    </w:p>
    <w:p w14:paraId="0963706E" w14:textId="2D62380D"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674" w:history="1">
        <w:r w:rsidRPr="00CD3C17">
          <w:rPr>
            <w:rStyle w:val="Hyperlink"/>
          </w:rPr>
          <w:t>2.</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Objective</w:t>
        </w:r>
        <w:r>
          <w:rPr>
            <w:webHidden/>
          </w:rPr>
          <w:tab/>
        </w:r>
        <w:r>
          <w:rPr>
            <w:webHidden/>
          </w:rPr>
          <w:fldChar w:fldCharType="begin"/>
        </w:r>
        <w:r>
          <w:rPr>
            <w:webHidden/>
          </w:rPr>
          <w:instrText xml:space="preserve"> PAGEREF _Toc178071674 \h </w:instrText>
        </w:r>
        <w:r>
          <w:rPr>
            <w:webHidden/>
          </w:rPr>
        </w:r>
        <w:r>
          <w:rPr>
            <w:webHidden/>
          </w:rPr>
          <w:fldChar w:fldCharType="separate"/>
        </w:r>
        <w:r>
          <w:rPr>
            <w:webHidden/>
          </w:rPr>
          <w:t>2</w:t>
        </w:r>
        <w:r>
          <w:rPr>
            <w:webHidden/>
          </w:rPr>
          <w:fldChar w:fldCharType="end"/>
        </w:r>
      </w:hyperlink>
    </w:p>
    <w:p w14:paraId="46DCF398" w14:textId="33C6C9CF"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675" w:history="1">
        <w:r w:rsidRPr="00CD3C17">
          <w:rPr>
            <w:rStyle w:val="Hyperlink"/>
          </w:rPr>
          <w:t>3.</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Principles</w:t>
        </w:r>
        <w:r>
          <w:rPr>
            <w:webHidden/>
          </w:rPr>
          <w:tab/>
        </w:r>
        <w:r>
          <w:rPr>
            <w:webHidden/>
          </w:rPr>
          <w:fldChar w:fldCharType="begin"/>
        </w:r>
        <w:r>
          <w:rPr>
            <w:webHidden/>
          </w:rPr>
          <w:instrText xml:space="preserve"> PAGEREF _Toc178071675 \h </w:instrText>
        </w:r>
        <w:r>
          <w:rPr>
            <w:webHidden/>
          </w:rPr>
        </w:r>
        <w:r>
          <w:rPr>
            <w:webHidden/>
          </w:rPr>
          <w:fldChar w:fldCharType="separate"/>
        </w:r>
        <w:r>
          <w:rPr>
            <w:webHidden/>
          </w:rPr>
          <w:t>2</w:t>
        </w:r>
        <w:r>
          <w:rPr>
            <w:webHidden/>
          </w:rPr>
          <w:fldChar w:fldCharType="end"/>
        </w:r>
      </w:hyperlink>
    </w:p>
    <w:p w14:paraId="2579DA93" w14:textId="597DBD21" w:rsidR="00362B1C" w:rsidRDefault="00362B1C" w:rsidP="00362B1C">
      <w:pPr>
        <w:pStyle w:val="TOC2"/>
        <w:tabs>
          <w:tab w:val="left" w:pos="880"/>
        </w:tabs>
        <w:ind w:left="426"/>
        <w:rPr>
          <w:rFonts w:asciiTheme="minorHAnsi" w:eastAsiaTheme="minorEastAsia" w:hAnsiTheme="minorHAnsi" w:cstheme="minorBidi"/>
          <w:kern w:val="2"/>
          <w:sz w:val="24"/>
          <w:lang w:eastAsia="en-GB"/>
          <w14:ligatures w14:val="standardContextual"/>
        </w:rPr>
      </w:pPr>
      <w:hyperlink w:anchor="_Toc178071676" w:history="1">
        <w:r w:rsidRPr="00CD3C17">
          <w:rPr>
            <w:rStyle w:val="Hyperlink"/>
          </w:rPr>
          <w:t>3.1</w:t>
        </w:r>
        <w:r>
          <w:rPr>
            <w:rFonts w:asciiTheme="minorHAnsi" w:eastAsiaTheme="minorEastAsia" w:hAnsiTheme="minorHAnsi" w:cstheme="minorBidi"/>
            <w:kern w:val="2"/>
            <w:sz w:val="24"/>
            <w:lang w:eastAsia="en-GB"/>
            <w14:ligatures w14:val="standardContextual"/>
          </w:rPr>
          <w:tab/>
        </w:r>
        <w:r w:rsidRPr="00CD3C17">
          <w:rPr>
            <w:rStyle w:val="Hyperlink"/>
          </w:rPr>
          <w:t>Equitable recognition</w:t>
        </w:r>
        <w:r>
          <w:rPr>
            <w:webHidden/>
          </w:rPr>
          <w:tab/>
        </w:r>
        <w:r>
          <w:rPr>
            <w:webHidden/>
          </w:rPr>
          <w:fldChar w:fldCharType="begin"/>
        </w:r>
        <w:r>
          <w:rPr>
            <w:webHidden/>
          </w:rPr>
          <w:instrText xml:space="preserve"> PAGEREF _Toc178071676 \h </w:instrText>
        </w:r>
        <w:r>
          <w:rPr>
            <w:webHidden/>
          </w:rPr>
        </w:r>
        <w:r>
          <w:rPr>
            <w:webHidden/>
          </w:rPr>
          <w:fldChar w:fldCharType="separate"/>
        </w:r>
        <w:r>
          <w:rPr>
            <w:webHidden/>
          </w:rPr>
          <w:t>2</w:t>
        </w:r>
        <w:r>
          <w:rPr>
            <w:webHidden/>
          </w:rPr>
          <w:fldChar w:fldCharType="end"/>
        </w:r>
      </w:hyperlink>
    </w:p>
    <w:p w14:paraId="4EC2F066" w14:textId="0863F1C0" w:rsidR="00362B1C" w:rsidRDefault="00362B1C" w:rsidP="00362B1C">
      <w:pPr>
        <w:pStyle w:val="TOC2"/>
        <w:tabs>
          <w:tab w:val="left" w:pos="880"/>
        </w:tabs>
        <w:ind w:left="426"/>
        <w:rPr>
          <w:rFonts w:asciiTheme="minorHAnsi" w:eastAsiaTheme="minorEastAsia" w:hAnsiTheme="minorHAnsi" w:cstheme="minorBidi"/>
          <w:kern w:val="2"/>
          <w:sz w:val="24"/>
          <w:lang w:eastAsia="en-GB"/>
          <w14:ligatures w14:val="standardContextual"/>
        </w:rPr>
      </w:pPr>
      <w:hyperlink w:anchor="_Toc178071677" w:history="1">
        <w:r w:rsidRPr="00CD3C17">
          <w:rPr>
            <w:rStyle w:val="Hyperlink"/>
          </w:rPr>
          <w:t>3.2</w:t>
        </w:r>
        <w:r>
          <w:rPr>
            <w:rFonts w:asciiTheme="minorHAnsi" w:eastAsiaTheme="minorEastAsia" w:hAnsiTheme="minorHAnsi" w:cstheme="minorBidi"/>
            <w:kern w:val="2"/>
            <w:sz w:val="24"/>
            <w:lang w:eastAsia="en-GB"/>
            <w14:ligatures w14:val="standardContextual"/>
          </w:rPr>
          <w:tab/>
        </w:r>
        <w:r w:rsidRPr="00CD3C17">
          <w:rPr>
            <w:rStyle w:val="Hyperlink"/>
          </w:rPr>
          <w:t>Clarity in casual employment recognition</w:t>
        </w:r>
        <w:r>
          <w:rPr>
            <w:webHidden/>
          </w:rPr>
          <w:tab/>
        </w:r>
        <w:r>
          <w:rPr>
            <w:webHidden/>
          </w:rPr>
          <w:fldChar w:fldCharType="begin"/>
        </w:r>
        <w:r>
          <w:rPr>
            <w:webHidden/>
          </w:rPr>
          <w:instrText xml:space="preserve"> PAGEREF _Toc178071677 \h </w:instrText>
        </w:r>
        <w:r>
          <w:rPr>
            <w:webHidden/>
          </w:rPr>
        </w:r>
        <w:r>
          <w:rPr>
            <w:webHidden/>
          </w:rPr>
          <w:fldChar w:fldCharType="separate"/>
        </w:r>
        <w:r>
          <w:rPr>
            <w:webHidden/>
          </w:rPr>
          <w:t>2</w:t>
        </w:r>
        <w:r>
          <w:rPr>
            <w:webHidden/>
          </w:rPr>
          <w:fldChar w:fldCharType="end"/>
        </w:r>
      </w:hyperlink>
    </w:p>
    <w:p w14:paraId="278D5F55" w14:textId="2DB2AD7A" w:rsidR="00362B1C" w:rsidRDefault="00362B1C" w:rsidP="00362B1C">
      <w:pPr>
        <w:pStyle w:val="TOC2"/>
        <w:tabs>
          <w:tab w:val="left" w:pos="880"/>
        </w:tabs>
        <w:ind w:left="426"/>
        <w:rPr>
          <w:rFonts w:asciiTheme="minorHAnsi" w:eastAsiaTheme="minorEastAsia" w:hAnsiTheme="minorHAnsi" w:cstheme="minorBidi"/>
          <w:kern w:val="2"/>
          <w:sz w:val="24"/>
          <w:lang w:eastAsia="en-GB"/>
          <w14:ligatures w14:val="standardContextual"/>
        </w:rPr>
      </w:pPr>
      <w:hyperlink w:anchor="_Toc178071678" w:history="1">
        <w:r w:rsidRPr="00CD3C17">
          <w:rPr>
            <w:rStyle w:val="Hyperlink"/>
          </w:rPr>
          <w:t>3.3</w:t>
        </w:r>
        <w:r>
          <w:rPr>
            <w:rFonts w:asciiTheme="minorHAnsi" w:eastAsiaTheme="minorEastAsia" w:hAnsiTheme="minorHAnsi" w:cstheme="minorBidi"/>
            <w:kern w:val="2"/>
            <w:sz w:val="24"/>
            <w:lang w:eastAsia="en-GB"/>
            <w14:ligatures w14:val="standardContextual"/>
          </w:rPr>
          <w:tab/>
        </w:r>
        <w:r w:rsidRPr="00CD3C17">
          <w:rPr>
            <w:rStyle w:val="Hyperlink"/>
          </w:rPr>
          <w:t>Adherence to legal and regulatory frameworks</w:t>
        </w:r>
        <w:r>
          <w:rPr>
            <w:webHidden/>
          </w:rPr>
          <w:tab/>
        </w:r>
        <w:r>
          <w:rPr>
            <w:webHidden/>
          </w:rPr>
          <w:fldChar w:fldCharType="begin"/>
        </w:r>
        <w:r>
          <w:rPr>
            <w:webHidden/>
          </w:rPr>
          <w:instrText xml:space="preserve"> PAGEREF _Toc178071678 \h </w:instrText>
        </w:r>
        <w:r>
          <w:rPr>
            <w:webHidden/>
          </w:rPr>
        </w:r>
        <w:r>
          <w:rPr>
            <w:webHidden/>
          </w:rPr>
          <w:fldChar w:fldCharType="separate"/>
        </w:r>
        <w:r>
          <w:rPr>
            <w:webHidden/>
          </w:rPr>
          <w:t>2</w:t>
        </w:r>
        <w:r>
          <w:rPr>
            <w:webHidden/>
          </w:rPr>
          <w:fldChar w:fldCharType="end"/>
        </w:r>
      </w:hyperlink>
    </w:p>
    <w:p w14:paraId="758F1764" w14:textId="6696FF51"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688" w:history="1">
        <w:r w:rsidRPr="00CD3C17">
          <w:rPr>
            <w:rStyle w:val="Hyperlink"/>
          </w:rPr>
          <w:t>4.</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Roles and responsibilities</w:t>
        </w:r>
        <w:r>
          <w:rPr>
            <w:webHidden/>
          </w:rPr>
          <w:tab/>
        </w:r>
        <w:r>
          <w:rPr>
            <w:webHidden/>
          </w:rPr>
          <w:fldChar w:fldCharType="begin"/>
        </w:r>
        <w:r>
          <w:rPr>
            <w:webHidden/>
          </w:rPr>
          <w:instrText xml:space="preserve"> PAGEREF _Toc178071688 \h </w:instrText>
        </w:r>
        <w:r>
          <w:rPr>
            <w:webHidden/>
          </w:rPr>
        </w:r>
        <w:r>
          <w:rPr>
            <w:webHidden/>
          </w:rPr>
          <w:fldChar w:fldCharType="separate"/>
        </w:r>
        <w:r>
          <w:rPr>
            <w:webHidden/>
          </w:rPr>
          <w:t>2</w:t>
        </w:r>
        <w:r>
          <w:rPr>
            <w:webHidden/>
          </w:rPr>
          <w:fldChar w:fldCharType="end"/>
        </w:r>
      </w:hyperlink>
    </w:p>
    <w:p w14:paraId="0D815D87" w14:textId="0D4E7C91" w:rsidR="00362B1C" w:rsidRPr="00362B1C" w:rsidRDefault="00362B1C" w:rsidP="00362B1C">
      <w:pPr>
        <w:pStyle w:val="TOC2"/>
        <w:tabs>
          <w:tab w:val="left" w:pos="880"/>
        </w:tabs>
        <w:ind w:left="426"/>
        <w:rPr>
          <w:rStyle w:val="Hyperlink"/>
        </w:rPr>
      </w:pPr>
      <w:hyperlink w:anchor="_Toc178071689" w:history="1">
        <w:r w:rsidRPr="00CD3C17">
          <w:rPr>
            <w:rStyle w:val="Hyperlink"/>
          </w:rPr>
          <w:t>4.1</w:t>
        </w:r>
        <w:r w:rsidRPr="00362B1C">
          <w:rPr>
            <w:rStyle w:val="Hyperlink"/>
          </w:rPr>
          <w:tab/>
        </w:r>
        <w:r w:rsidRPr="00CD3C17">
          <w:rPr>
            <w:rStyle w:val="Hyperlink"/>
          </w:rPr>
          <w:t>Executive directors, managers and authorised delegates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_Toc178071689 \h </w:instrText>
        </w:r>
        <w:r w:rsidRPr="00362B1C">
          <w:rPr>
            <w:rStyle w:val="Hyperlink"/>
            <w:webHidden/>
          </w:rPr>
        </w:r>
        <w:r w:rsidRPr="00362B1C">
          <w:rPr>
            <w:rStyle w:val="Hyperlink"/>
            <w:webHidden/>
          </w:rPr>
          <w:fldChar w:fldCharType="separate"/>
        </w:r>
        <w:r w:rsidRPr="00362B1C">
          <w:rPr>
            <w:rStyle w:val="Hyperlink"/>
            <w:webHidden/>
          </w:rPr>
          <w:t>2</w:t>
        </w:r>
        <w:r w:rsidRPr="00362B1C">
          <w:rPr>
            <w:rStyle w:val="Hyperlink"/>
            <w:webHidden/>
          </w:rPr>
          <w:fldChar w:fldCharType="end"/>
        </w:r>
      </w:hyperlink>
    </w:p>
    <w:p w14:paraId="36EDC3CF" w14:textId="09E2ECBF" w:rsidR="00362B1C" w:rsidRPr="00362B1C" w:rsidRDefault="00362B1C" w:rsidP="00362B1C">
      <w:pPr>
        <w:pStyle w:val="TOC2"/>
        <w:tabs>
          <w:tab w:val="left" w:pos="880"/>
        </w:tabs>
        <w:ind w:left="426"/>
        <w:rPr>
          <w:rStyle w:val="Hyperlink"/>
        </w:rPr>
      </w:pPr>
      <w:hyperlink w:anchor="_Toc178071691" w:history="1">
        <w:r w:rsidRPr="00CD3C17">
          <w:rPr>
            <w:rStyle w:val="Hyperlink"/>
          </w:rPr>
          <w:t>4.2</w:t>
        </w:r>
        <w:r w:rsidRPr="00362B1C">
          <w:rPr>
            <w:rStyle w:val="Hyperlink"/>
          </w:rPr>
          <w:tab/>
        </w:r>
        <w:r w:rsidRPr="00CD3C17">
          <w:rPr>
            <w:rStyle w:val="Hyperlink"/>
          </w:rPr>
          <w:t>Employees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_Toc178071691 \h </w:instrText>
        </w:r>
        <w:r w:rsidRPr="00362B1C">
          <w:rPr>
            <w:rStyle w:val="Hyperlink"/>
            <w:webHidden/>
          </w:rPr>
        </w:r>
        <w:r w:rsidRPr="00362B1C">
          <w:rPr>
            <w:rStyle w:val="Hyperlink"/>
            <w:webHidden/>
          </w:rPr>
          <w:fldChar w:fldCharType="separate"/>
        </w:r>
        <w:r w:rsidRPr="00362B1C">
          <w:rPr>
            <w:rStyle w:val="Hyperlink"/>
            <w:webHidden/>
          </w:rPr>
          <w:t>2</w:t>
        </w:r>
        <w:r w:rsidRPr="00362B1C">
          <w:rPr>
            <w:rStyle w:val="Hyperlink"/>
            <w:webHidden/>
          </w:rPr>
          <w:fldChar w:fldCharType="end"/>
        </w:r>
      </w:hyperlink>
    </w:p>
    <w:p w14:paraId="5A7DA5C7" w14:textId="4995D37B"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692" w:history="1">
        <w:r w:rsidRPr="00CD3C17">
          <w:rPr>
            <w:rStyle w:val="Hyperlink"/>
          </w:rPr>
          <w:t>5.</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Expectations</w:t>
        </w:r>
        <w:r>
          <w:rPr>
            <w:webHidden/>
          </w:rPr>
          <w:tab/>
        </w:r>
        <w:r>
          <w:rPr>
            <w:webHidden/>
          </w:rPr>
          <w:fldChar w:fldCharType="begin"/>
        </w:r>
        <w:r>
          <w:rPr>
            <w:webHidden/>
          </w:rPr>
          <w:instrText xml:space="preserve"> PAGEREF _Toc178071692 \h </w:instrText>
        </w:r>
        <w:r>
          <w:rPr>
            <w:webHidden/>
          </w:rPr>
        </w:r>
        <w:r>
          <w:rPr>
            <w:webHidden/>
          </w:rPr>
          <w:fldChar w:fldCharType="separate"/>
        </w:r>
        <w:r>
          <w:rPr>
            <w:webHidden/>
          </w:rPr>
          <w:t>3</w:t>
        </w:r>
        <w:r>
          <w:rPr>
            <w:webHidden/>
          </w:rPr>
          <w:fldChar w:fldCharType="end"/>
        </w:r>
      </w:hyperlink>
    </w:p>
    <w:p w14:paraId="214DAB5F" w14:textId="0B2CA265" w:rsidR="00362B1C" w:rsidRPr="00362B1C" w:rsidRDefault="00362B1C" w:rsidP="00362B1C">
      <w:pPr>
        <w:pStyle w:val="TOC2"/>
        <w:tabs>
          <w:tab w:val="left" w:pos="880"/>
        </w:tabs>
        <w:ind w:left="426"/>
        <w:rPr>
          <w:rStyle w:val="Hyperlink"/>
        </w:rPr>
      </w:pPr>
      <w:hyperlink w:anchor="_Toc178071693" w:history="1">
        <w:r w:rsidRPr="00CD3C17">
          <w:rPr>
            <w:rStyle w:val="Hyperlink"/>
          </w:rPr>
          <w:t>5.1</w:t>
        </w:r>
        <w:r w:rsidRPr="00362B1C">
          <w:rPr>
            <w:rStyle w:val="Hyperlink"/>
          </w:rPr>
          <w:tab/>
        </w:r>
        <w:r w:rsidRPr="00CD3C17">
          <w:rPr>
            <w:rStyle w:val="Hyperlink"/>
          </w:rPr>
          <w:t>Statement</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_Toc178071693 \h </w:instrText>
        </w:r>
        <w:r w:rsidRPr="00362B1C">
          <w:rPr>
            <w:rStyle w:val="Hyperlink"/>
            <w:webHidden/>
          </w:rPr>
        </w:r>
        <w:r w:rsidRPr="00362B1C">
          <w:rPr>
            <w:rStyle w:val="Hyperlink"/>
            <w:webHidden/>
          </w:rPr>
          <w:fldChar w:fldCharType="separate"/>
        </w:r>
        <w:r w:rsidRPr="00362B1C">
          <w:rPr>
            <w:rStyle w:val="Hyperlink"/>
            <w:webHidden/>
          </w:rPr>
          <w:t>3</w:t>
        </w:r>
        <w:r w:rsidRPr="00362B1C">
          <w:rPr>
            <w:rStyle w:val="Hyperlink"/>
            <w:webHidden/>
          </w:rPr>
          <w:fldChar w:fldCharType="end"/>
        </w:r>
      </w:hyperlink>
    </w:p>
    <w:p w14:paraId="3BB41A74" w14:textId="35CD8529" w:rsidR="00362B1C" w:rsidRPr="00362B1C" w:rsidRDefault="00362B1C" w:rsidP="00362B1C">
      <w:pPr>
        <w:pStyle w:val="TOC2"/>
        <w:tabs>
          <w:tab w:val="left" w:pos="880"/>
        </w:tabs>
        <w:ind w:left="426"/>
        <w:rPr>
          <w:rStyle w:val="Hyperlink"/>
        </w:rPr>
      </w:pPr>
      <w:hyperlink w:anchor="_Toc178071694" w:history="1">
        <w:r w:rsidRPr="00CD3C17">
          <w:rPr>
            <w:rStyle w:val="Hyperlink"/>
          </w:rPr>
          <w:t>5.2</w:t>
        </w:r>
        <w:r w:rsidRPr="00362B1C">
          <w:rPr>
            <w:rStyle w:val="Hyperlink"/>
          </w:rPr>
          <w:tab/>
        </w:r>
        <w:r w:rsidRPr="00CD3C17">
          <w:rPr>
            <w:rStyle w:val="Hyperlink"/>
          </w:rPr>
          <w:t>Recognition of prior service for fixed term contracts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_Toc178071694 \h </w:instrText>
        </w:r>
        <w:r w:rsidRPr="00362B1C">
          <w:rPr>
            <w:rStyle w:val="Hyperlink"/>
            <w:webHidden/>
          </w:rPr>
        </w:r>
        <w:r w:rsidRPr="00362B1C">
          <w:rPr>
            <w:rStyle w:val="Hyperlink"/>
            <w:webHidden/>
          </w:rPr>
          <w:fldChar w:fldCharType="separate"/>
        </w:r>
        <w:r w:rsidRPr="00362B1C">
          <w:rPr>
            <w:rStyle w:val="Hyperlink"/>
            <w:webHidden/>
          </w:rPr>
          <w:t>3</w:t>
        </w:r>
        <w:r w:rsidRPr="00362B1C">
          <w:rPr>
            <w:rStyle w:val="Hyperlink"/>
            <w:webHidden/>
          </w:rPr>
          <w:fldChar w:fldCharType="end"/>
        </w:r>
      </w:hyperlink>
    </w:p>
    <w:p w14:paraId="07679DCD" w14:textId="3420CC01" w:rsidR="00362B1C" w:rsidRPr="00362B1C" w:rsidRDefault="00362B1C" w:rsidP="00362B1C">
      <w:pPr>
        <w:pStyle w:val="TOC2"/>
        <w:tabs>
          <w:tab w:val="left" w:pos="880"/>
        </w:tabs>
        <w:ind w:left="426"/>
        <w:rPr>
          <w:rStyle w:val="Hyperlink"/>
        </w:rPr>
      </w:pPr>
      <w:hyperlink w:anchor="_Toc178071695" w:history="1">
        <w:r w:rsidRPr="00CD3C17">
          <w:rPr>
            <w:rStyle w:val="Hyperlink"/>
          </w:rPr>
          <w:t>5.3</w:t>
        </w:r>
        <w:r w:rsidRPr="00362B1C">
          <w:rPr>
            <w:rStyle w:val="Hyperlink"/>
          </w:rPr>
          <w:tab/>
        </w:r>
        <w:r w:rsidRPr="00CD3C17">
          <w:rPr>
            <w:rStyle w:val="Hyperlink"/>
          </w:rPr>
          <w:t>Recognition of casual employment for long service leave purposes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_Toc178071695 \h </w:instrText>
        </w:r>
        <w:r w:rsidRPr="00362B1C">
          <w:rPr>
            <w:rStyle w:val="Hyperlink"/>
            <w:webHidden/>
          </w:rPr>
        </w:r>
        <w:r w:rsidRPr="00362B1C">
          <w:rPr>
            <w:rStyle w:val="Hyperlink"/>
            <w:webHidden/>
          </w:rPr>
          <w:fldChar w:fldCharType="separate"/>
        </w:r>
        <w:r w:rsidRPr="00362B1C">
          <w:rPr>
            <w:rStyle w:val="Hyperlink"/>
            <w:webHidden/>
          </w:rPr>
          <w:t>3</w:t>
        </w:r>
        <w:r w:rsidRPr="00362B1C">
          <w:rPr>
            <w:rStyle w:val="Hyperlink"/>
            <w:webHidden/>
          </w:rPr>
          <w:fldChar w:fldCharType="end"/>
        </w:r>
      </w:hyperlink>
    </w:p>
    <w:p w14:paraId="2D1D63CB" w14:textId="0FC8F532" w:rsidR="00362B1C" w:rsidRPr="00362B1C" w:rsidRDefault="00362B1C" w:rsidP="00362B1C">
      <w:pPr>
        <w:pStyle w:val="TOC2"/>
        <w:tabs>
          <w:tab w:val="left" w:pos="880"/>
        </w:tabs>
        <w:ind w:left="426"/>
        <w:rPr>
          <w:rStyle w:val="Hyperlink"/>
        </w:rPr>
      </w:pPr>
      <w:hyperlink w:anchor="_Toc178071696" w:history="1">
        <w:r w:rsidRPr="00CD3C17">
          <w:rPr>
            <w:rStyle w:val="Hyperlink"/>
          </w:rPr>
          <w:t>5.4</w:t>
        </w:r>
        <w:r w:rsidRPr="00362B1C">
          <w:rPr>
            <w:rStyle w:val="Hyperlink"/>
          </w:rPr>
          <w:tab/>
        </w:r>
        <w:r w:rsidRPr="00CD3C17">
          <w:rPr>
            <w:rStyle w:val="Hyperlink"/>
          </w:rPr>
          <w:t>Recognising VPS previous service following a break in service under 12 months for long service leave purposes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_Toc178071696 \h </w:instrText>
        </w:r>
        <w:r w:rsidRPr="00362B1C">
          <w:rPr>
            <w:rStyle w:val="Hyperlink"/>
            <w:webHidden/>
          </w:rPr>
        </w:r>
        <w:r w:rsidRPr="00362B1C">
          <w:rPr>
            <w:rStyle w:val="Hyperlink"/>
            <w:webHidden/>
          </w:rPr>
          <w:fldChar w:fldCharType="separate"/>
        </w:r>
        <w:r w:rsidRPr="00362B1C">
          <w:rPr>
            <w:rStyle w:val="Hyperlink"/>
            <w:webHidden/>
          </w:rPr>
          <w:t>3</w:t>
        </w:r>
        <w:r w:rsidRPr="00362B1C">
          <w:rPr>
            <w:rStyle w:val="Hyperlink"/>
            <w:webHidden/>
          </w:rPr>
          <w:fldChar w:fldCharType="end"/>
        </w:r>
      </w:hyperlink>
    </w:p>
    <w:p w14:paraId="5B8A1D90" w14:textId="11CBFC18" w:rsidR="00362B1C" w:rsidRPr="00362B1C" w:rsidRDefault="00362B1C" w:rsidP="00362B1C">
      <w:pPr>
        <w:pStyle w:val="TOC2"/>
        <w:tabs>
          <w:tab w:val="left" w:pos="880"/>
        </w:tabs>
        <w:ind w:left="426"/>
        <w:rPr>
          <w:rStyle w:val="Hyperlink"/>
        </w:rPr>
      </w:pPr>
      <w:hyperlink w:anchor="_Toc178071697" w:history="1">
        <w:r w:rsidRPr="00CD3C17">
          <w:rPr>
            <w:rStyle w:val="Hyperlink"/>
          </w:rPr>
          <w:t>5.5</w:t>
        </w:r>
        <w:r w:rsidRPr="00362B1C">
          <w:rPr>
            <w:rStyle w:val="Hyperlink"/>
          </w:rPr>
          <w:tab/>
        </w:r>
        <w:r w:rsidRPr="00CD3C17">
          <w:rPr>
            <w:rStyle w:val="Hyperlink"/>
          </w:rPr>
          <w:t>Recognising other non-VPS previous service for long service leave purposes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_Toc178071697 \h </w:instrText>
        </w:r>
        <w:r w:rsidRPr="00362B1C">
          <w:rPr>
            <w:rStyle w:val="Hyperlink"/>
            <w:webHidden/>
          </w:rPr>
        </w:r>
        <w:r w:rsidRPr="00362B1C">
          <w:rPr>
            <w:rStyle w:val="Hyperlink"/>
            <w:webHidden/>
          </w:rPr>
          <w:fldChar w:fldCharType="separate"/>
        </w:r>
        <w:r w:rsidRPr="00362B1C">
          <w:rPr>
            <w:rStyle w:val="Hyperlink"/>
            <w:webHidden/>
          </w:rPr>
          <w:t>3</w:t>
        </w:r>
        <w:r w:rsidRPr="00362B1C">
          <w:rPr>
            <w:rStyle w:val="Hyperlink"/>
            <w:webHidden/>
          </w:rPr>
          <w:fldChar w:fldCharType="end"/>
        </w:r>
      </w:hyperlink>
    </w:p>
    <w:p w14:paraId="5C9D0DB4" w14:textId="1018DB5B" w:rsidR="00362B1C" w:rsidRPr="00362B1C" w:rsidRDefault="00362B1C" w:rsidP="00362B1C">
      <w:pPr>
        <w:pStyle w:val="TOC2"/>
        <w:tabs>
          <w:tab w:val="left" w:pos="880"/>
        </w:tabs>
        <w:ind w:left="426"/>
        <w:rPr>
          <w:rStyle w:val="Hyperlink"/>
        </w:rPr>
      </w:pPr>
      <w:hyperlink w:anchor="_Toc178071698" w:history="1">
        <w:r w:rsidRPr="00CD3C17">
          <w:rPr>
            <w:rStyle w:val="Hyperlink"/>
          </w:rPr>
          <w:t>5.6</w:t>
        </w:r>
        <w:r w:rsidRPr="00362B1C">
          <w:rPr>
            <w:rStyle w:val="Hyperlink"/>
          </w:rPr>
          <w:tab/>
        </w:r>
        <w:r w:rsidRPr="00CD3C17">
          <w:rPr>
            <w:rStyle w:val="Hyperlink"/>
          </w:rPr>
          <w:t>Futher assistance</w:t>
        </w:r>
        <w:r w:rsidRPr="00362B1C">
          <w:rPr>
            <w:rStyle w:val="Hyperlink"/>
            <w:webHidden/>
          </w:rPr>
          <w:tab/>
        </w:r>
        <w:r w:rsidRPr="00362B1C">
          <w:rPr>
            <w:rStyle w:val="Hyperlink"/>
            <w:webHidden/>
          </w:rPr>
          <w:fldChar w:fldCharType="begin"/>
        </w:r>
        <w:r w:rsidRPr="00362B1C">
          <w:rPr>
            <w:rStyle w:val="Hyperlink"/>
            <w:webHidden/>
          </w:rPr>
          <w:instrText xml:space="preserve"> PAGEREF _Toc178071698 \h </w:instrText>
        </w:r>
        <w:r w:rsidRPr="00362B1C">
          <w:rPr>
            <w:rStyle w:val="Hyperlink"/>
            <w:webHidden/>
          </w:rPr>
        </w:r>
        <w:r w:rsidRPr="00362B1C">
          <w:rPr>
            <w:rStyle w:val="Hyperlink"/>
            <w:webHidden/>
          </w:rPr>
          <w:fldChar w:fldCharType="separate"/>
        </w:r>
        <w:r w:rsidRPr="00362B1C">
          <w:rPr>
            <w:rStyle w:val="Hyperlink"/>
            <w:webHidden/>
          </w:rPr>
          <w:t>4</w:t>
        </w:r>
        <w:r w:rsidRPr="00362B1C">
          <w:rPr>
            <w:rStyle w:val="Hyperlink"/>
            <w:webHidden/>
          </w:rPr>
          <w:fldChar w:fldCharType="end"/>
        </w:r>
      </w:hyperlink>
    </w:p>
    <w:p w14:paraId="10239DEA" w14:textId="3C197162"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699" w:history="1">
        <w:r w:rsidRPr="00CD3C17">
          <w:rPr>
            <w:rStyle w:val="Hyperlink"/>
          </w:rPr>
          <w:t>6.</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Managing this guideline</w:t>
        </w:r>
        <w:r>
          <w:rPr>
            <w:webHidden/>
          </w:rPr>
          <w:tab/>
        </w:r>
        <w:r>
          <w:rPr>
            <w:webHidden/>
          </w:rPr>
          <w:fldChar w:fldCharType="begin"/>
        </w:r>
        <w:r>
          <w:rPr>
            <w:webHidden/>
          </w:rPr>
          <w:instrText xml:space="preserve"> PAGEREF _Toc178071699 \h </w:instrText>
        </w:r>
        <w:r>
          <w:rPr>
            <w:webHidden/>
          </w:rPr>
        </w:r>
        <w:r>
          <w:rPr>
            <w:webHidden/>
          </w:rPr>
          <w:fldChar w:fldCharType="separate"/>
        </w:r>
        <w:r>
          <w:rPr>
            <w:webHidden/>
          </w:rPr>
          <w:t>4</w:t>
        </w:r>
        <w:r>
          <w:rPr>
            <w:webHidden/>
          </w:rPr>
          <w:fldChar w:fldCharType="end"/>
        </w:r>
      </w:hyperlink>
    </w:p>
    <w:p w14:paraId="416DE696" w14:textId="1016D63F" w:rsidR="00362B1C" w:rsidRPr="00362B1C" w:rsidRDefault="00362B1C" w:rsidP="00362B1C">
      <w:pPr>
        <w:pStyle w:val="TOC2"/>
        <w:tabs>
          <w:tab w:val="left" w:pos="880"/>
        </w:tabs>
        <w:ind w:left="426"/>
        <w:rPr>
          <w:rStyle w:val="Hyperlink"/>
        </w:rPr>
      </w:pPr>
      <w:hyperlink w:anchor="_Toc178071700" w:history="1">
        <w:r w:rsidRPr="00CD3C17">
          <w:rPr>
            <w:rStyle w:val="Hyperlink"/>
          </w:rPr>
          <w:t>6.1</w:t>
        </w:r>
        <w:r w:rsidRPr="00362B1C">
          <w:rPr>
            <w:rStyle w:val="Hyperlink"/>
          </w:rPr>
          <w:tab/>
        </w:r>
        <w:r w:rsidRPr="00CD3C17">
          <w:rPr>
            <w:rStyle w:val="Hyperlink"/>
          </w:rPr>
          <w:t>Authorisation</w:t>
        </w:r>
        <w:r w:rsidRPr="00362B1C">
          <w:rPr>
            <w:rStyle w:val="Hyperlink"/>
            <w:webHidden/>
          </w:rPr>
          <w:tab/>
        </w:r>
        <w:r w:rsidRPr="00362B1C">
          <w:rPr>
            <w:rStyle w:val="Hyperlink"/>
            <w:webHidden/>
          </w:rPr>
          <w:fldChar w:fldCharType="begin"/>
        </w:r>
        <w:r w:rsidRPr="00362B1C">
          <w:rPr>
            <w:rStyle w:val="Hyperlink"/>
            <w:webHidden/>
          </w:rPr>
          <w:instrText xml:space="preserve"> PAGEREF _Toc178071700 \h </w:instrText>
        </w:r>
        <w:r w:rsidRPr="00362B1C">
          <w:rPr>
            <w:rStyle w:val="Hyperlink"/>
            <w:webHidden/>
          </w:rPr>
        </w:r>
        <w:r w:rsidRPr="00362B1C">
          <w:rPr>
            <w:rStyle w:val="Hyperlink"/>
            <w:webHidden/>
          </w:rPr>
          <w:fldChar w:fldCharType="separate"/>
        </w:r>
        <w:r w:rsidRPr="00362B1C">
          <w:rPr>
            <w:rStyle w:val="Hyperlink"/>
            <w:webHidden/>
          </w:rPr>
          <w:t>4</w:t>
        </w:r>
        <w:r w:rsidRPr="00362B1C">
          <w:rPr>
            <w:rStyle w:val="Hyperlink"/>
            <w:webHidden/>
          </w:rPr>
          <w:fldChar w:fldCharType="end"/>
        </w:r>
      </w:hyperlink>
    </w:p>
    <w:p w14:paraId="3033D465" w14:textId="7F06C00B" w:rsidR="00362B1C" w:rsidRPr="00362B1C" w:rsidRDefault="00362B1C" w:rsidP="00362B1C">
      <w:pPr>
        <w:pStyle w:val="TOC2"/>
        <w:tabs>
          <w:tab w:val="left" w:pos="880"/>
        </w:tabs>
        <w:ind w:left="426"/>
        <w:rPr>
          <w:rStyle w:val="Hyperlink"/>
        </w:rPr>
      </w:pPr>
      <w:hyperlink w:anchor="_Toc178071701" w:history="1">
        <w:r w:rsidRPr="00CD3C17">
          <w:rPr>
            <w:rStyle w:val="Hyperlink"/>
          </w:rPr>
          <w:t>6.2</w:t>
        </w:r>
        <w:r w:rsidRPr="00362B1C">
          <w:rPr>
            <w:rStyle w:val="Hyperlink"/>
          </w:rPr>
          <w:tab/>
        </w:r>
        <w:r w:rsidRPr="00CD3C17">
          <w:rPr>
            <w:rStyle w:val="Hyperlink"/>
          </w:rPr>
          <w:t>Accountability for the guideline</w:t>
        </w:r>
        <w:r w:rsidRPr="00362B1C">
          <w:rPr>
            <w:rStyle w:val="Hyperlink"/>
            <w:webHidden/>
          </w:rPr>
          <w:tab/>
        </w:r>
        <w:r w:rsidRPr="00362B1C">
          <w:rPr>
            <w:rStyle w:val="Hyperlink"/>
            <w:webHidden/>
          </w:rPr>
          <w:fldChar w:fldCharType="begin"/>
        </w:r>
        <w:r w:rsidRPr="00362B1C">
          <w:rPr>
            <w:rStyle w:val="Hyperlink"/>
            <w:webHidden/>
          </w:rPr>
          <w:instrText xml:space="preserve"> PAGEREF _Toc178071701 \h </w:instrText>
        </w:r>
        <w:r w:rsidRPr="00362B1C">
          <w:rPr>
            <w:rStyle w:val="Hyperlink"/>
            <w:webHidden/>
          </w:rPr>
        </w:r>
        <w:r w:rsidRPr="00362B1C">
          <w:rPr>
            <w:rStyle w:val="Hyperlink"/>
            <w:webHidden/>
          </w:rPr>
          <w:fldChar w:fldCharType="separate"/>
        </w:r>
        <w:r w:rsidRPr="00362B1C">
          <w:rPr>
            <w:rStyle w:val="Hyperlink"/>
            <w:webHidden/>
          </w:rPr>
          <w:t>4</w:t>
        </w:r>
        <w:r w:rsidRPr="00362B1C">
          <w:rPr>
            <w:rStyle w:val="Hyperlink"/>
            <w:webHidden/>
          </w:rPr>
          <w:fldChar w:fldCharType="end"/>
        </w:r>
      </w:hyperlink>
    </w:p>
    <w:p w14:paraId="4F68009B" w14:textId="7D2228A4" w:rsidR="00362B1C" w:rsidRPr="00362B1C" w:rsidRDefault="00362B1C" w:rsidP="00362B1C">
      <w:pPr>
        <w:pStyle w:val="TOC2"/>
        <w:tabs>
          <w:tab w:val="left" w:pos="880"/>
        </w:tabs>
        <w:ind w:left="426"/>
        <w:rPr>
          <w:rStyle w:val="Hyperlink"/>
        </w:rPr>
      </w:pPr>
      <w:hyperlink w:anchor="_Toc178071702" w:history="1">
        <w:r w:rsidRPr="00CD3C17">
          <w:rPr>
            <w:rStyle w:val="Hyperlink"/>
          </w:rPr>
          <w:t>6.3</w:t>
        </w:r>
        <w:r w:rsidRPr="00362B1C">
          <w:rPr>
            <w:rStyle w:val="Hyperlink"/>
          </w:rPr>
          <w:tab/>
        </w:r>
        <w:r w:rsidRPr="00CD3C17">
          <w:rPr>
            <w:rStyle w:val="Hyperlink"/>
          </w:rPr>
          <w:t>Important dates</w:t>
        </w:r>
        <w:r w:rsidRPr="00362B1C">
          <w:rPr>
            <w:rStyle w:val="Hyperlink"/>
            <w:webHidden/>
          </w:rPr>
          <w:tab/>
        </w:r>
        <w:r w:rsidRPr="00362B1C">
          <w:rPr>
            <w:rStyle w:val="Hyperlink"/>
            <w:webHidden/>
          </w:rPr>
          <w:fldChar w:fldCharType="begin"/>
        </w:r>
        <w:r w:rsidRPr="00362B1C">
          <w:rPr>
            <w:rStyle w:val="Hyperlink"/>
            <w:webHidden/>
          </w:rPr>
          <w:instrText xml:space="preserve"> PAGEREF _Toc178071702 \h </w:instrText>
        </w:r>
        <w:r w:rsidRPr="00362B1C">
          <w:rPr>
            <w:rStyle w:val="Hyperlink"/>
            <w:webHidden/>
          </w:rPr>
        </w:r>
        <w:r w:rsidRPr="00362B1C">
          <w:rPr>
            <w:rStyle w:val="Hyperlink"/>
            <w:webHidden/>
          </w:rPr>
          <w:fldChar w:fldCharType="separate"/>
        </w:r>
        <w:r w:rsidRPr="00362B1C">
          <w:rPr>
            <w:rStyle w:val="Hyperlink"/>
            <w:webHidden/>
          </w:rPr>
          <w:t>4</w:t>
        </w:r>
        <w:r w:rsidRPr="00362B1C">
          <w:rPr>
            <w:rStyle w:val="Hyperlink"/>
            <w:webHidden/>
          </w:rPr>
          <w:fldChar w:fldCharType="end"/>
        </w:r>
      </w:hyperlink>
    </w:p>
    <w:p w14:paraId="63EC12F2" w14:textId="7430E967" w:rsidR="00362B1C" w:rsidRDefault="00362B1C">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8071703" w:history="1">
        <w:r w:rsidRPr="00CD3C17">
          <w:rPr>
            <w:rStyle w:val="Hyperlink"/>
          </w:rPr>
          <w:t>7.</w:t>
        </w:r>
        <w:r>
          <w:rPr>
            <w:rFonts w:asciiTheme="minorHAnsi" w:eastAsiaTheme="minorEastAsia" w:hAnsiTheme="minorHAnsi" w:cstheme="minorBidi"/>
            <w:b w:val="0"/>
            <w:bCs w:val="0"/>
            <w:kern w:val="2"/>
            <w:sz w:val="24"/>
            <w:lang w:eastAsia="en-GB"/>
            <w14:ligatures w14:val="standardContextual"/>
          </w:rPr>
          <w:tab/>
        </w:r>
        <w:r w:rsidRPr="00CD3C17">
          <w:rPr>
            <w:rStyle w:val="Hyperlink"/>
          </w:rPr>
          <w:t>Related documents</w:t>
        </w:r>
        <w:r>
          <w:rPr>
            <w:webHidden/>
          </w:rPr>
          <w:tab/>
        </w:r>
        <w:r>
          <w:rPr>
            <w:webHidden/>
          </w:rPr>
          <w:fldChar w:fldCharType="begin"/>
        </w:r>
        <w:r>
          <w:rPr>
            <w:webHidden/>
          </w:rPr>
          <w:instrText xml:space="preserve"> PAGEREF _Toc178071703 \h </w:instrText>
        </w:r>
        <w:r>
          <w:rPr>
            <w:webHidden/>
          </w:rPr>
        </w:r>
        <w:r>
          <w:rPr>
            <w:webHidden/>
          </w:rPr>
          <w:fldChar w:fldCharType="separate"/>
        </w:r>
        <w:r>
          <w:rPr>
            <w:webHidden/>
          </w:rPr>
          <w:t>4</w:t>
        </w:r>
        <w:r>
          <w:rPr>
            <w:webHidden/>
          </w:rPr>
          <w:fldChar w:fldCharType="end"/>
        </w:r>
      </w:hyperlink>
    </w:p>
    <w:p w14:paraId="1E8BFB1A" w14:textId="729FC98B" w:rsidR="00DB1C96" w:rsidRPr="000F5CEC" w:rsidRDefault="00362B1C" w:rsidP="00D86551">
      <w:r>
        <w:rPr>
          <w:noProof/>
          <w:sz w:val="24"/>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1"/>
          <w:footerReference w:type="first" r:id="rId22"/>
          <w:type w:val="oddPage"/>
          <w:pgSz w:w="11907" w:h="16840" w:code="9"/>
          <w:pgMar w:top="1644" w:right="1134" w:bottom="238" w:left="1134" w:header="709" w:footer="567" w:gutter="0"/>
          <w:pgNumType w:fmt="lowerRoman" w:start="1"/>
          <w:cols w:space="708"/>
          <w:titlePg/>
          <w:docGrid w:linePitch="360"/>
        </w:sectPr>
      </w:pPr>
    </w:p>
    <w:p w14:paraId="1DE063F5" w14:textId="77777777" w:rsidR="007D712E" w:rsidRDefault="007D712E" w:rsidP="007D712E">
      <w:pPr>
        <w:pStyle w:val="VCAAHeading2"/>
        <w:numPr>
          <w:ilvl w:val="0"/>
          <w:numId w:val="20"/>
        </w:numPr>
        <w:jc w:val="both"/>
        <w:rPr>
          <w:lang w:val="en-AU"/>
        </w:rPr>
      </w:pPr>
      <w:bookmarkStart w:id="4" w:name="_Toc164854725"/>
      <w:bookmarkStart w:id="5" w:name="_Toc178071673"/>
      <w:r>
        <w:rPr>
          <w:lang w:val="en-AU"/>
        </w:rPr>
        <w:t>Overview</w:t>
      </w:r>
      <w:bookmarkEnd w:id="4"/>
      <w:bookmarkEnd w:id="5"/>
    </w:p>
    <w:p w14:paraId="44676BE5" w14:textId="77777777" w:rsidR="007D712E" w:rsidRPr="000C1980" w:rsidRDefault="007D712E" w:rsidP="007D712E">
      <w:pPr>
        <w:pStyle w:val="ESBodyText"/>
        <w:jc w:val="both"/>
        <w:rPr>
          <w:bCs/>
        </w:rPr>
      </w:pPr>
      <w:r w:rsidRPr="000F6F9D">
        <w:t xml:space="preserve">This </w:t>
      </w:r>
      <w:r>
        <w:t>guideline</w:t>
      </w:r>
      <w:r w:rsidRPr="000F6F9D">
        <w:t xml:space="preserve"> outlines the Victorian Curriculum and Assessment Authority</w:t>
      </w:r>
      <w:r>
        <w:t>'s</w:t>
      </w:r>
      <w:r w:rsidRPr="000F6F9D">
        <w:t xml:space="preserve"> (VCAA)</w:t>
      </w:r>
      <w:r>
        <w:t xml:space="preserve"> position with respect to recognition of prior service for the purposes of leave entitlements</w:t>
      </w:r>
      <w:r w:rsidRPr="000F6F9D">
        <w:t xml:space="preserve">. </w:t>
      </w:r>
      <w:r>
        <w:t>Further, t</w:t>
      </w:r>
      <w:r w:rsidRPr="00B30DD4">
        <w:t>h</w:t>
      </w:r>
      <w:r>
        <w:t>e</w:t>
      </w:r>
      <w:r w:rsidRPr="00B30DD4">
        <w:t xml:space="preserve"> </w:t>
      </w:r>
      <w:r>
        <w:t>guideline</w:t>
      </w:r>
      <w:r w:rsidRPr="00B30DD4">
        <w:t xml:space="preserve"> aims to provide employees with </w:t>
      </w:r>
      <w:r>
        <w:t xml:space="preserve">a </w:t>
      </w:r>
      <w:r w:rsidRPr="00B30DD4">
        <w:t xml:space="preserve">clear insight into the principles </w:t>
      </w:r>
      <w:r>
        <w:t>that govern</w:t>
      </w:r>
      <w:r w:rsidRPr="00B30DD4">
        <w:t xml:space="preserve"> the recognition of prior service. </w:t>
      </w:r>
    </w:p>
    <w:p w14:paraId="4EA30B61" w14:textId="70AE76E2" w:rsidR="007D712E" w:rsidRPr="00D7508D" w:rsidRDefault="007D712E" w:rsidP="007D712E">
      <w:pPr>
        <w:pStyle w:val="ESBodyText"/>
        <w:jc w:val="both"/>
        <w:rPr>
          <w:bCs/>
        </w:rPr>
      </w:pPr>
      <w:r w:rsidRPr="00D7508D">
        <w:rPr>
          <w:bCs/>
        </w:rPr>
        <w:t xml:space="preserve">This </w:t>
      </w:r>
      <w:r>
        <w:rPr>
          <w:bCs/>
        </w:rPr>
        <w:t>guideline</w:t>
      </w:r>
      <w:r w:rsidRPr="00D7508D">
        <w:rPr>
          <w:bCs/>
        </w:rPr>
        <w:t xml:space="preserve"> applies to all employees within the Victorian Curriculum and Assessment Authority (VCAA). For the purposes of this </w:t>
      </w:r>
      <w:r>
        <w:rPr>
          <w:bCs/>
        </w:rPr>
        <w:t>guideline</w:t>
      </w:r>
      <w:r w:rsidRPr="00D7508D">
        <w:rPr>
          <w:bCs/>
        </w:rPr>
        <w:t xml:space="preserve">, the term 'employees' encompasses employees </w:t>
      </w:r>
      <w:r>
        <w:rPr>
          <w:bCs/>
        </w:rPr>
        <w:t xml:space="preserve">directly employed by the VCAA </w:t>
      </w:r>
      <w:r w:rsidRPr="00D7508D">
        <w:rPr>
          <w:bCs/>
        </w:rPr>
        <w:t xml:space="preserve">under Ministerial Order No. 1451 </w:t>
      </w:r>
      <w:r w:rsidR="00946D73">
        <w:rPr>
          <w:bCs/>
        </w:rPr>
        <w:t>–</w:t>
      </w:r>
      <w:r w:rsidRPr="00D7508D">
        <w:rPr>
          <w:bCs/>
        </w:rPr>
        <w:t xml:space="preserve"> Victorian Curriculum and Assessment Authority employees (Employment Conditions, Salaries, Allowances, Selection and Conduct) Order 2023 (referred to as </w:t>
      </w:r>
      <w:r w:rsidR="00946D73">
        <w:rPr>
          <w:bCs/>
        </w:rPr>
        <w:t>‘</w:t>
      </w:r>
      <w:r w:rsidRPr="00D7508D">
        <w:rPr>
          <w:bCs/>
        </w:rPr>
        <w:t>The MO</w:t>
      </w:r>
      <w:r w:rsidR="00946D73">
        <w:rPr>
          <w:bCs/>
        </w:rPr>
        <w:t>’</w:t>
      </w:r>
      <w:r>
        <w:rPr>
          <w:bCs/>
        </w:rPr>
        <w:t>) including fixed term, casual and sessional employees.</w:t>
      </w:r>
    </w:p>
    <w:p w14:paraId="5FF86440" w14:textId="77777777" w:rsidR="007D712E" w:rsidRDefault="007D712E" w:rsidP="007D712E">
      <w:pPr>
        <w:pStyle w:val="VCAAHeading2"/>
        <w:numPr>
          <w:ilvl w:val="0"/>
          <w:numId w:val="20"/>
        </w:numPr>
        <w:jc w:val="both"/>
        <w:rPr>
          <w:lang w:val="en-AU"/>
        </w:rPr>
      </w:pPr>
      <w:bookmarkStart w:id="6" w:name="_Toc164854726"/>
      <w:bookmarkStart w:id="7" w:name="_Toc178071674"/>
      <w:r>
        <w:rPr>
          <w:lang w:val="en-AU"/>
        </w:rPr>
        <w:t>Objective</w:t>
      </w:r>
      <w:bookmarkEnd w:id="6"/>
      <w:bookmarkEnd w:id="7"/>
    </w:p>
    <w:p w14:paraId="572AC730" w14:textId="77777777" w:rsidR="007D712E" w:rsidRDefault="007D712E" w:rsidP="007D712E">
      <w:pPr>
        <w:pStyle w:val="ESBodyText"/>
        <w:jc w:val="both"/>
        <w:rPr>
          <w:b/>
          <w:lang w:val="en-AU"/>
        </w:rPr>
      </w:pPr>
      <w:r w:rsidRPr="000F6F9D">
        <w:rPr>
          <w:lang w:val="en-AU"/>
        </w:rPr>
        <w:t xml:space="preserve">The objective of this </w:t>
      </w:r>
      <w:r>
        <w:rPr>
          <w:lang w:val="en-AU"/>
        </w:rPr>
        <w:t>guideline</w:t>
      </w:r>
      <w:r w:rsidRPr="000F6F9D">
        <w:rPr>
          <w:lang w:val="en-AU"/>
        </w:rPr>
        <w:t xml:space="preserve"> is to </w:t>
      </w:r>
      <w:r>
        <w:rPr>
          <w:lang w:val="en-AU"/>
        </w:rPr>
        <w:t xml:space="preserve">provide </w:t>
      </w:r>
      <w:r w:rsidRPr="000F6F9D">
        <w:rPr>
          <w:lang w:val="en-AU"/>
        </w:rPr>
        <w:t xml:space="preserve">clear and consistent </w:t>
      </w:r>
      <w:r>
        <w:rPr>
          <w:lang w:val="en-AU"/>
        </w:rPr>
        <w:t>guidance</w:t>
      </w:r>
      <w:r w:rsidRPr="000F6F9D">
        <w:rPr>
          <w:lang w:val="en-AU"/>
        </w:rPr>
        <w:t xml:space="preserve"> </w:t>
      </w:r>
      <w:r>
        <w:rPr>
          <w:lang w:val="en-AU"/>
        </w:rPr>
        <w:t>with respect to</w:t>
      </w:r>
      <w:r w:rsidRPr="000F6F9D">
        <w:rPr>
          <w:lang w:val="en-AU"/>
        </w:rPr>
        <w:t xml:space="preserve"> the recognition of prior service for leave purposes. By specifying th</w:t>
      </w:r>
      <w:r>
        <w:rPr>
          <w:lang w:val="en-AU"/>
        </w:rPr>
        <w:t>e circumstances in which the</w:t>
      </w:r>
      <w:r w:rsidRPr="000F6F9D">
        <w:rPr>
          <w:lang w:val="en-AU"/>
        </w:rPr>
        <w:t xml:space="preserve"> VCAA will </w:t>
      </w:r>
      <w:r>
        <w:rPr>
          <w:lang w:val="en-AU"/>
        </w:rPr>
        <w:t xml:space="preserve">or will </w:t>
      </w:r>
      <w:r w:rsidRPr="000F6F9D">
        <w:rPr>
          <w:lang w:val="en-AU"/>
        </w:rPr>
        <w:t xml:space="preserve">not </w:t>
      </w:r>
      <w:r>
        <w:rPr>
          <w:lang w:val="en-AU"/>
        </w:rPr>
        <w:t>recognise</w:t>
      </w:r>
      <w:r w:rsidRPr="000F6F9D">
        <w:rPr>
          <w:lang w:val="en-AU"/>
        </w:rPr>
        <w:t xml:space="preserve"> any prior service, the objective is to ensure equitable treatment among all employees and streamline the administration of leave entitlements. This </w:t>
      </w:r>
      <w:r>
        <w:rPr>
          <w:lang w:val="en-AU"/>
        </w:rPr>
        <w:t xml:space="preserve">guideline </w:t>
      </w:r>
      <w:r w:rsidRPr="000F6F9D">
        <w:rPr>
          <w:lang w:val="en-AU"/>
        </w:rPr>
        <w:t xml:space="preserve">aims to provide clarity to </w:t>
      </w:r>
      <w:r>
        <w:rPr>
          <w:lang w:val="en-AU"/>
        </w:rPr>
        <w:t>all</w:t>
      </w:r>
      <w:r w:rsidRPr="000F6F9D">
        <w:rPr>
          <w:lang w:val="en-AU"/>
        </w:rPr>
        <w:t xml:space="preserve"> employees about the principles governing leave accrual at VCAA and contribute to a fair and transparent work environment.</w:t>
      </w:r>
    </w:p>
    <w:p w14:paraId="1F285169" w14:textId="77777777" w:rsidR="007D712E" w:rsidRDefault="007D712E" w:rsidP="00C6657A">
      <w:pPr>
        <w:pStyle w:val="VCAAHeading2"/>
        <w:numPr>
          <w:ilvl w:val="0"/>
          <w:numId w:val="20"/>
        </w:numPr>
        <w:ind w:left="357" w:hanging="357"/>
        <w:contextualSpacing w:val="0"/>
        <w:jc w:val="both"/>
      </w:pPr>
      <w:bookmarkStart w:id="8" w:name="_Toc164854727"/>
      <w:bookmarkStart w:id="9" w:name="_Toc178071675"/>
      <w:r w:rsidRPr="003267EC">
        <w:t>Principles</w:t>
      </w:r>
      <w:bookmarkEnd w:id="8"/>
      <w:bookmarkEnd w:id="9"/>
    </w:p>
    <w:p w14:paraId="3FBF7D65" w14:textId="77777777" w:rsidR="00946D73" w:rsidRPr="00EB30A9" w:rsidRDefault="00946D73" w:rsidP="00C6657A">
      <w:pPr>
        <w:pStyle w:val="VCAAHeading5"/>
        <w:numPr>
          <w:ilvl w:val="1"/>
          <w:numId w:val="20"/>
        </w:numPr>
        <w:jc w:val="both"/>
      </w:pPr>
      <w:bookmarkStart w:id="10" w:name="_Toc178071676"/>
      <w:r w:rsidRPr="008E3260">
        <w:t xml:space="preserve">Equitable </w:t>
      </w:r>
      <w:r>
        <w:t>r</w:t>
      </w:r>
      <w:r w:rsidRPr="008E3260">
        <w:t>ecognition</w:t>
      </w:r>
      <w:bookmarkEnd w:id="10"/>
    </w:p>
    <w:p w14:paraId="303A6DD9" w14:textId="77777777" w:rsidR="00946D73" w:rsidRPr="00EB30A9" w:rsidRDefault="00946D73" w:rsidP="00C20890">
      <w:pPr>
        <w:pStyle w:val="ESBodyText"/>
        <w:jc w:val="both"/>
      </w:pPr>
      <w:r>
        <w:t xml:space="preserve">The </w:t>
      </w:r>
      <w:r w:rsidRPr="008E3260">
        <w:t>VCAA is committed to treating all employees equitably in matters related to leave entitlements</w:t>
      </w:r>
      <w:r>
        <w:t>.</w:t>
      </w:r>
    </w:p>
    <w:p w14:paraId="4C94F5B9" w14:textId="77777777" w:rsidR="00946D73" w:rsidRPr="00EB30A9" w:rsidRDefault="00946D73" w:rsidP="00C6657A">
      <w:pPr>
        <w:pStyle w:val="VCAAHeading5"/>
        <w:numPr>
          <w:ilvl w:val="1"/>
          <w:numId w:val="20"/>
        </w:numPr>
        <w:jc w:val="both"/>
      </w:pPr>
      <w:bookmarkStart w:id="11" w:name="_Toc178071677"/>
      <w:r w:rsidRPr="008E3260">
        <w:t xml:space="preserve">Clarity in </w:t>
      </w:r>
      <w:r>
        <w:t>c</w:t>
      </w:r>
      <w:r w:rsidRPr="008E3260">
        <w:t xml:space="preserve">asual </w:t>
      </w:r>
      <w:r>
        <w:t>e</w:t>
      </w:r>
      <w:r w:rsidRPr="008E3260">
        <w:t xml:space="preserve">mployment </w:t>
      </w:r>
      <w:r>
        <w:t>r</w:t>
      </w:r>
      <w:r w:rsidRPr="008E3260">
        <w:t>ecognition</w:t>
      </w:r>
      <w:bookmarkEnd w:id="11"/>
    </w:p>
    <w:p w14:paraId="09A39686" w14:textId="3ABA313C" w:rsidR="00946D73" w:rsidRPr="00EB30A9" w:rsidRDefault="00946D73" w:rsidP="00C20890">
      <w:pPr>
        <w:pStyle w:val="ESBodyText"/>
        <w:jc w:val="both"/>
      </w:pPr>
      <w:r w:rsidRPr="008E3260">
        <w:t>Casual employment may be recogni</w:t>
      </w:r>
      <w:r>
        <w:t>s</w:t>
      </w:r>
      <w:r w:rsidRPr="008E3260">
        <w:t xml:space="preserve">ed for long service leave purposes if it meets the criteria of </w:t>
      </w:r>
      <w:r w:rsidR="00606D8A">
        <w:t>‘</w:t>
      </w:r>
      <w:r w:rsidRPr="008E3260">
        <w:t>continuous employment</w:t>
      </w:r>
      <w:r w:rsidR="00606D8A">
        <w:t>’</w:t>
      </w:r>
      <w:r w:rsidRPr="008E3260">
        <w:t xml:space="preserve"> as defined in the </w:t>
      </w:r>
      <w:r w:rsidRPr="003618B6">
        <w:rPr>
          <w:i/>
        </w:rPr>
        <w:t xml:space="preserve">Long Service Leave Act </w:t>
      </w:r>
      <w:r>
        <w:rPr>
          <w:i/>
        </w:rPr>
        <w:t>2018</w:t>
      </w:r>
      <w:r w:rsidRPr="008E3260">
        <w:t xml:space="preserve"> (Vic)</w:t>
      </w:r>
      <w:r>
        <w:t>.</w:t>
      </w:r>
    </w:p>
    <w:p w14:paraId="63D23DC3" w14:textId="320C0D33" w:rsidR="00946D73" w:rsidRPr="00EB30A9" w:rsidRDefault="00946D73" w:rsidP="00C6657A">
      <w:pPr>
        <w:pStyle w:val="VCAAHeading5"/>
        <w:numPr>
          <w:ilvl w:val="1"/>
          <w:numId w:val="20"/>
        </w:numPr>
        <w:jc w:val="both"/>
      </w:pPr>
      <w:bookmarkStart w:id="12" w:name="_Toc178071678"/>
      <w:r w:rsidRPr="008E3260">
        <w:t xml:space="preserve">Adherence to </w:t>
      </w:r>
      <w:r w:rsidR="00606D8A">
        <w:t>l</w:t>
      </w:r>
      <w:r w:rsidRPr="008E3260">
        <w:t xml:space="preserve">egal and </w:t>
      </w:r>
      <w:r w:rsidR="00606D8A">
        <w:t>r</w:t>
      </w:r>
      <w:r w:rsidRPr="008E3260">
        <w:t xml:space="preserve">egulatory </w:t>
      </w:r>
      <w:r w:rsidR="00606D8A">
        <w:t>f</w:t>
      </w:r>
      <w:r w:rsidRPr="008E3260">
        <w:t>rameworks</w:t>
      </w:r>
      <w:bookmarkEnd w:id="12"/>
    </w:p>
    <w:p w14:paraId="13984CB1" w14:textId="77777777" w:rsidR="00946D73" w:rsidRDefault="00946D73" w:rsidP="00C20890">
      <w:pPr>
        <w:pStyle w:val="ESBodyText"/>
        <w:jc w:val="both"/>
      </w:pPr>
      <w:r w:rsidRPr="008E3260">
        <w:t xml:space="preserve">The principles outlined in this guide align with relevant legal frameworks, including </w:t>
      </w:r>
      <w:r>
        <w:t xml:space="preserve">Ministerial Order No 1451, </w:t>
      </w:r>
      <w:hyperlink r:id="rId23" w:history="1">
        <w:r w:rsidRPr="00C6657A">
          <w:rPr>
            <w:rStyle w:val="Hyperlink"/>
          </w:rPr>
          <w:t xml:space="preserve">the </w:t>
        </w:r>
        <w:r w:rsidRPr="00C6657A">
          <w:rPr>
            <w:rStyle w:val="Hyperlink"/>
            <w:i/>
          </w:rPr>
          <w:t>Victorian Public Service Enterprise Agreement 2024</w:t>
        </w:r>
        <w:r w:rsidRPr="00C6657A">
          <w:rPr>
            <w:rStyle w:val="Hyperlink"/>
          </w:rPr>
          <w:t>,</w:t>
        </w:r>
      </w:hyperlink>
      <w:r w:rsidRPr="00C6657A">
        <w:t xml:space="preserve"> </w:t>
      </w:r>
      <w:r w:rsidRPr="003618B6">
        <w:rPr>
          <w:i/>
        </w:rPr>
        <w:t>Long Service Leave Act</w:t>
      </w:r>
      <w:r w:rsidRPr="008E3260">
        <w:t xml:space="preserve"> </w:t>
      </w:r>
      <w:r w:rsidRPr="00C6657A">
        <w:rPr>
          <w:i/>
          <w:iCs/>
        </w:rPr>
        <w:t>2018</w:t>
      </w:r>
      <w:r w:rsidRPr="008E3260">
        <w:t xml:space="preserve"> (Vic), and other applicable legislation.</w:t>
      </w:r>
    </w:p>
    <w:p w14:paraId="753279A1" w14:textId="10992619" w:rsidR="007D712E" w:rsidRDefault="007D712E" w:rsidP="00C6657A">
      <w:pPr>
        <w:pStyle w:val="VCAAHeading2"/>
        <w:numPr>
          <w:ilvl w:val="0"/>
          <w:numId w:val="20"/>
        </w:numPr>
        <w:ind w:left="357" w:hanging="357"/>
        <w:contextualSpacing w:val="0"/>
        <w:jc w:val="both"/>
      </w:pPr>
      <w:bookmarkStart w:id="13" w:name="_Toc164854728"/>
      <w:bookmarkStart w:id="14" w:name="_Toc178071688"/>
      <w:r>
        <w:t xml:space="preserve">Roles and </w:t>
      </w:r>
      <w:r w:rsidR="00606D8A">
        <w:t>r</w:t>
      </w:r>
      <w:r>
        <w:t>esponsibilities</w:t>
      </w:r>
      <w:bookmarkEnd w:id="13"/>
      <w:bookmarkEnd w:id="14"/>
    </w:p>
    <w:p w14:paraId="2C711AF0" w14:textId="3C805C08" w:rsidR="007D712E" w:rsidRDefault="007D712E" w:rsidP="007D712E">
      <w:pPr>
        <w:pStyle w:val="VCAAHeading5"/>
        <w:numPr>
          <w:ilvl w:val="1"/>
          <w:numId w:val="20"/>
        </w:numPr>
        <w:jc w:val="both"/>
      </w:pPr>
      <w:bookmarkStart w:id="15" w:name="_Toc178071689"/>
      <w:bookmarkStart w:id="16" w:name="_Hlk168041576"/>
      <w:r w:rsidRPr="02B80369">
        <w:rPr>
          <w:lang w:val="en-US"/>
        </w:rPr>
        <w:t xml:space="preserve">Executive </w:t>
      </w:r>
      <w:r w:rsidR="00606D8A" w:rsidRPr="02B80369">
        <w:rPr>
          <w:lang w:val="en-US"/>
        </w:rPr>
        <w:t>d</w:t>
      </w:r>
      <w:r w:rsidRPr="02B80369">
        <w:rPr>
          <w:lang w:val="en-US"/>
        </w:rPr>
        <w:t xml:space="preserve">irectors, </w:t>
      </w:r>
      <w:r w:rsidR="00606D8A" w:rsidRPr="02B80369">
        <w:rPr>
          <w:lang w:val="en-US"/>
        </w:rPr>
        <w:t>m</w:t>
      </w:r>
      <w:r w:rsidRPr="02B80369">
        <w:rPr>
          <w:lang w:val="en-US"/>
        </w:rPr>
        <w:t xml:space="preserve">anagers and </w:t>
      </w:r>
      <w:r w:rsidR="00606D8A" w:rsidRPr="02B80369">
        <w:rPr>
          <w:lang w:val="en-US"/>
        </w:rPr>
        <w:t>a</w:t>
      </w:r>
      <w:r w:rsidRPr="02B80369">
        <w:rPr>
          <w:lang w:val="en-US"/>
        </w:rPr>
        <w:t xml:space="preserve">uthorised </w:t>
      </w:r>
      <w:r w:rsidR="00606D8A" w:rsidRPr="02B80369">
        <w:rPr>
          <w:lang w:val="en-US"/>
        </w:rPr>
        <w:t>d</w:t>
      </w:r>
      <w:r w:rsidRPr="02B80369">
        <w:rPr>
          <w:lang w:val="en-US"/>
        </w:rPr>
        <w:t>elegates</w:t>
      </w:r>
      <w:bookmarkEnd w:id="15"/>
    </w:p>
    <w:bookmarkEnd w:id="16"/>
    <w:p w14:paraId="0A233000" w14:textId="3919A280" w:rsidR="007D712E" w:rsidRPr="00D7508D" w:rsidRDefault="007D712E" w:rsidP="4C62A720">
      <w:pPr>
        <w:pStyle w:val="VCAAbody"/>
        <w:rPr>
          <w:rFonts w:asciiTheme="minorHAnsi" w:hAnsiTheme="minorHAnsi" w:cstheme="minorBidi"/>
          <w:sz w:val="18"/>
          <w:szCs w:val="18"/>
          <w:lang w:eastAsia="en-AU"/>
        </w:rPr>
      </w:pPr>
      <w:r w:rsidRPr="4C62A720">
        <w:rPr>
          <w:rFonts w:asciiTheme="minorHAnsi" w:hAnsiTheme="minorHAnsi" w:cstheme="minorBidi"/>
          <w:sz w:val="18"/>
          <w:szCs w:val="18"/>
          <w:lang w:eastAsia="en-AU"/>
        </w:rPr>
        <w:t xml:space="preserve">Executive </w:t>
      </w:r>
      <w:r w:rsidR="00606D8A" w:rsidRPr="4C62A720">
        <w:rPr>
          <w:rFonts w:asciiTheme="minorHAnsi" w:hAnsiTheme="minorHAnsi" w:cstheme="minorBidi"/>
          <w:sz w:val="18"/>
          <w:szCs w:val="18"/>
          <w:lang w:eastAsia="en-AU"/>
        </w:rPr>
        <w:t>d</w:t>
      </w:r>
      <w:r w:rsidRPr="4C62A720">
        <w:rPr>
          <w:rFonts w:asciiTheme="minorHAnsi" w:hAnsiTheme="minorHAnsi" w:cstheme="minorBidi"/>
          <w:sz w:val="18"/>
          <w:szCs w:val="18"/>
          <w:lang w:eastAsia="en-AU"/>
        </w:rPr>
        <w:t xml:space="preserve">irectors, </w:t>
      </w:r>
      <w:r w:rsidR="00606D8A" w:rsidRPr="4C62A720">
        <w:rPr>
          <w:rFonts w:asciiTheme="minorHAnsi" w:hAnsiTheme="minorHAnsi" w:cstheme="minorBidi"/>
          <w:sz w:val="18"/>
          <w:szCs w:val="18"/>
          <w:lang w:eastAsia="en-AU"/>
        </w:rPr>
        <w:t>m</w:t>
      </w:r>
      <w:r w:rsidRPr="4C62A720">
        <w:rPr>
          <w:rFonts w:asciiTheme="minorHAnsi" w:hAnsiTheme="minorHAnsi" w:cstheme="minorBidi"/>
          <w:sz w:val="18"/>
          <w:szCs w:val="18"/>
          <w:lang w:eastAsia="en-AU"/>
        </w:rPr>
        <w:t xml:space="preserve">anagers and </w:t>
      </w:r>
      <w:r w:rsidR="00606D8A" w:rsidRPr="4C62A720">
        <w:rPr>
          <w:rFonts w:asciiTheme="minorHAnsi" w:hAnsiTheme="minorHAnsi" w:cstheme="minorBidi"/>
          <w:sz w:val="18"/>
          <w:szCs w:val="18"/>
          <w:lang w:eastAsia="en-AU"/>
        </w:rPr>
        <w:t>a</w:t>
      </w:r>
      <w:r w:rsidRPr="4C62A720">
        <w:rPr>
          <w:rFonts w:asciiTheme="minorHAnsi" w:hAnsiTheme="minorHAnsi" w:cstheme="minorBidi"/>
          <w:sz w:val="18"/>
          <w:szCs w:val="18"/>
          <w:lang w:eastAsia="en-AU"/>
        </w:rPr>
        <w:t xml:space="preserve">uthorised </w:t>
      </w:r>
      <w:r w:rsidR="00606D8A" w:rsidRPr="4C62A720">
        <w:rPr>
          <w:rFonts w:asciiTheme="minorHAnsi" w:hAnsiTheme="minorHAnsi" w:cstheme="minorBidi"/>
          <w:sz w:val="18"/>
          <w:szCs w:val="18"/>
          <w:lang w:eastAsia="en-AU"/>
        </w:rPr>
        <w:t>d</w:t>
      </w:r>
      <w:r w:rsidRPr="4C62A720">
        <w:rPr>
          <w:rFonts w:asciiTheme="minorHAnsi" w:hAnsiTheme="minorHAnsi" w:cstheme="minorBidi"/>
          <w:sz w:val="18"/>
          <w:szCs w:val="18"/>
          <w:lang w:eastAsia="en-AU"/>
        </w:rPr>
        <w:t>elegates are responsible for:</w:t>
      </w:r>
    </w:p>
    <w:p w14:paraId="02F51611" w14:textId="57816B73" w:rsidR="007D712E" w:rsidRDefault="00606D8A" w:rsidP="007D712E">
      <w:pPr>
        <w:pStyle w:val="ESBodyText"/>
        <w:numPr>
          <w:ilvl w:val="0"/>
          <w:numId w:val="21"/>
        </w:numPr>
        <w:jc w:val="both"/>
      </w:pPr>
      <w:r>
        <w:t>a</w:t>
      </w:r>
      <w:r w:rsidR="007D712E" w:rsidRPr="00A9706A">
        <w:t>ddress</w:t>
      </w:r>
      <w:r w:rsidR="007D712E">
        <w:t>ing</w:t>
      </w:r>
      <w:r w:rsidR="007D712E" w:rsidRPr="00A9706A">
        <w:t xml:space="preserve"> any queries or concerns raised by </w:t>
      </w:r>
      <w:r w:rsidR="007D712E">
        <w:t xml:space="preserve">employees </w:t>
      </w:r>
      <w:r w:rsidR="007D712E" w:rsidRPr="00A9706A">
        <w:t xml:space="preserve">regarding the </w:t>
      </w:r>
      <w:r w:rsidR="007D712E">
        <w:t>guideline</w:t>
      </w:r>
      <w:r w:rsidR="007D712E" w:rsidRPr="00A9706A">
        <w:t xml:space="preserve">, </w:t>
      </w:r>
      <w:r w:rsidR="007D712E">
        <w:t xml:space="preserve">and </w:t>
      </w:r>
      <w:r w:rsidR="007D712E" w:rsidRPr="00A9706A">
        <w:t>providing clarity and guidance as needed</w:t>
      </w:r>
    </w:p>
    <w:p w14:paraId="0F5C4825" w14:textId="00C96EB7" w:rsidR="007D712E" w:rsidRDefault="00606D8A" w:rsidP="007D712E">
      <w:pPr>
        <w:pStyle w:val="ESBodyText"/>
        <w:numPr>
          <w:ilvl w:val="0"/>
          <w:numId w:val="21"/>
        </w:numPr>
        <w:jc w:val="both"/>
      </w:pPr>
      <w:r>
        <w:t>e</w:t>
      </w:r>
      <w:r w:rsidR="007D712E" w:rsidRPr="00A9706A">
        <w:t>ffectively communicating</w:t>
      </w:r>
      <w:r w:rsidR="007D712E">
        <w:t xml:space="preserve"> and e</w:t>
      </w:r>
      <w:r w:rsidR="007D712E" w:rsidRPr="00A9706A">
        <w:t>nforc</w:t>
      </w:r>
      <w:r w:rsidR="007D712E">
        <w:t>ing</w:t>
      </w:r>
      <w:r w:rsidR="007D712E" w:rsidRPr="00A9706A">
        <w:t xml:space="preserve"> the </w:t>
      </w:r>
      <w:r w:rsidR="007D712E">
        <w:t>guideline</w:t>
      </w:r>
      <w:r w:rsidR="007D712E" w:rsidRPr="00A9706A">
        <w:t>, ensuring that employees do not make assumptions about leave entitlements based on prior service</w:t>
      </w:r>
      <w:r w:rsidR="006607EE">
        <w:t>.</w:t>
      </w:r>
    </w:p>
    <w:p w14:paraId="62486F3C" w14:textId="51C24070" w:rsidR="007D712E" w:rsidRDefault="007D712E" w:rsidP="007D712E">
      <w:pPr>
        <w:pStyle w:val="ESBodyText"/>
        <w:jc w:val="both"/>
      </w:pPr>
      <w:r>
        <w:t xml:space="preserve">An </w:t>
      </w:r>
      <w:r w:rsidR="00606D8A">
        <w:t>a</w:t>
      </w:r>
      <w:r>
        <w:t xml:space="preserve">uthorised </w:t>
      </w:r>
      <w:r w:rsidR="00606D8A">
        <w:t>d</w:t>
      </w:r>
      <w:r>
        <w:t xml:space="preserve">elegate is </w:t>
      </w:r>
      <w:r w:rsidRPr="00B81ADD">
        <w:t xml:space="preserve">an individual or entity granted authority to act on behalf of another entity, typically within contractual or </w:t>
      </w:r>
      <w:hyperlink r:id="rId24" w:history="1">
        <w:r w:rsidRPr="00D879BD">
          <w:rPr>
            <w:rStyle w:val="Hyperlink"/>
          </w:rPr>
          <w:t>legal frameworks</w:t>
        </w:r>
      </w:hyperlink>
      <w:r w:rsidRPr="00B81ADD">
        <w:t>.</w:t>
      </w:r>
      <w:r>
        <w:t xml:space="preserve"> </w:t>
      </w:r>
    </w:p>
    <w:p w14:paraId="28F83C8C" w14:textId="77777777" w:rsidR="007D712E" w:rsidRDefault="007D712E" w:rsidP="007D712E">
      <w:pPr>
        <w:pStyle w:val="VCAAHeading5"/>
        <w:numPr>
          <w:ilvl w:val="1"/>
          <w:numId w:val="20"/>
        </w:numPr>
        <w:jc w:val="both"/>
      </w:pPr>
      <w:bookmarkStart w:id="17" w:name="_Toc178071220"/>
      <w:bookmarkStart w:id="18" w:name="_Toc178071690"/>
      <w:bookmarkStart w:id="19" w:name="_Toc178071691"/>
      <w:bookmarkEnd w:id="17"/>
      <w:bookmarkEnd w:id="18"/>
      <w:r w:rsidRPr="008C1D28">
        <w:t>Employees</w:t>
      </w:r>
      <w:bookmarkEnd w:id="19"/>
    </w:p>
    <w:p w14:paraId="56379921" w14:textId="77777777" w:rsidR="007D712E" w:rsidRPr="00D7508D" w:rsidRDefault="007D712E" w:rsidP="4C62A720">
      <w:pPr>
        <w:pStyle w:val="VCAAbody"/>
        <w:rPr>
          <w:rFonts w:asciiTheme="minorHAnsi" w:hAnsiTheme="minorHAnsi" w:cstheme="minorBidi"/>
          <w:sz w:val="18"/>
          <w:szCs w:val="18"/>
          <w:lang w:eastAsia="en-AU"/>
        </w:rPr>
      </w:pPr>
      <w:r w:rsidRPr="4C62A720">
        <w:rPr>
          <w:rFonts w:asciiTheme="minorHAnsi" w:hAnsiTheme="minorHAnsi" w:cstheme="minorBidi"/>
          <w:sz w:val="18"/>
          <w:szCs w:val="18"/>
          <w:lang w:eastAsia="en-AU"/>
        </w:rPr>
        <w:t>Employees are responsible for:</w:t>
      </w:r>
    </w:p>
    <w:p w14:paraId="2DFA71C3" w14:textId="29A3E677" w:rsidR="007D712E" w:rsidRDefault="00606D8A" w:rsidP="007D712E">
      <w:pPr>
        <w:pStyle w:val="ESBodyText"/>
        <w:numPr>
          <w:ilvl w:val="0"/>
          <w:numId w:val="22"/>
        </w:numPr>
        <w:jc w:val="both"/>
        <w:rPr>
          <w:b/>
        </w:rPr>
      </w:pPr>
      <w:r>
        <w:t>f</w:t>
      </w:r>
      <w:r w:rsidR="007D712E">
        <w:t xml:space="preserve">amiliarising </w:t>
      </w:r>
      <w:r w:rsidR="007D712E" w:rsidRPr="00A9706A">
        <w:t>themselves with th</w:t>
      </w:r>
      <w:r w:rsidR="007D712E">
        <w:t>is</w:t>
      </w:r>
      <w:r w:rsidR="007D712E" w:rsidRPr="00A9706A">
        <w:t xml:space="preserve"> </w:t>
      </w:r>
      <w:r w:rsidR="007D712E">
        <w:t>guideline</w:t>
      </w:r>
    </w:p>
    <w:p w14:paraId="7BEB1975" w14:textId="4B1DA1B8" w:rsidR="007D712E" w:rsidRDefault="00606D8A" w:rsidP="00362B1C">
      <w:pPr>
        <w:pStyle w:val="ESBodyText"/>
        <w:numPr>
          <w:ilvl w:val="0"/>
          <w:numId w:val="22"/>
        </w:numPr>
        <w:rPr>
          <w:b/>
        </w:rPr>
      </w:pPr>
      <w:r>
        <w:t>a</w:t>
      </w:r>
      <w:r w:rsidR="007D712E" w:rsidRPr="00A9706A">
        <w:t>ccurately disclos</w:t>
      </w:r>
      <w:r w:rsidR="007D712E">
        <w:t>ing</w:t>
      </w:r>
      <w:r w:rsidR="007D712E" w:rsidRPr="00A9706A">
        <w:t xml:space="preserve"> their prior service details during the onboarding process</w:t>
      </w:r>
      <w:r w:rsidR="007D712E">
        <w:t xml:space="preserve"> to</w:t>
      </w:r>
      <w:r w:rsidR="007D712E" w:rsidRPr="00A9706A">
        <w:t xml:space="preserve"> ensur</w:t>
      </w:r>
      <w:r w:rsidR="007D712E">
        <w:t>e</w:t>
      </w:r>
      <w:r w:rsidR="007D712E" w:rsidRPr="00A9706A">
        <w:t xml:space="preserve"> </w:t>
      </w:r>
      <w:r w:rsidR="007D712E">
        <w:t>accuracy</w:t>
      </w:r>
      <w:r w:rsidR="007D712E" w:rsidRPr="00A9706A">
        <w:t xml:space="preserve"> in the</w:t>
      </w:r>
      <w:r w:rsidR="007D712E">
        <w:t>ir</w:t>
      </w:r>
      <w:r w:rsidR="007D712E" w:rsidRPr="00A9706A">
        <w:t xml:space="preserve"> employment history</w:t>
      </w:r>
    </w:p>
    <w:p w14:paraId="053C929F" w14:textId="4A0BC8F0" w:rsidR="007D712E" w:rsidRDefault="00B52B0A" w:rsidP="00362B1C">
      <w:pPr>
        <w:pStyle w:val="ESBodyText"/>
        <w:numPr>
          <w:ilvl w:val="0"/>
          <w:numId w:val="22"/>
        </w:numPr>
      </w:pPr>
      <w:r>
        <w:t xml:space="preserve">clarifying </w:t>
      </w:r>
      <w:r w:rsidR="007D712E" w:rsidRPr="00A9706A">
        <w:t>any uncertainties or queries regarding the recognition of prior service from the</w:t>
      </w:r>
      <w:r w:rsidR="007D712E">
        <w:t xml:space="preserve"> </w:t>
      </w:r>
      <w:bookmarkStart w:id="20" w:name="_Toc164854729"/>
      <w:r w:rsidR="007D712E">
        <w:fldChar w:fldCharType="begin"/>
      </w:r>
      <w:r w:rsidR="007D712E">
        <w:instrText>HYPERLINK "https://eduvic.sharepoint.com/sites/CommunicationsUnit/Shared Documents/General/HR policies and guidelines/VCAA HR Policies and Guidelines/Batch 3 Policies and Guidelines/VCAA.HR@education.vic.gov.au"</w:instrText>
      </w:r>
      <w:r w:rsidR="007D712E">
        <w:fldChar w:fldCharType="separate"/>
      </w:r>
      <w:r w:rsidR="007D712E" w:rsidRPr="00F86D23">
        <w:rPr>
          <w:rStyle w:val="Hyperlink"/>
        </w:rPr>
        <w:t>VCAA.HR@education.vic.gov.au</w:t>
      </w:r>
      <w:r w:rsidR="007D712E">
        <w:fldChar w:fldCharType="end"/>
      </w:r>
      <w:r w:rsidR="007D712E">
        <w:t xml:space="preserve"> or </w:t>
      </w:r>
      <w:r w:rsidR="007D712E">
        <w:rPr>
          <w:color w:val="0070C0"/>
          <w:u w:val="single"/>
        </w:rPr>
        <w:t>1800 718 320</w:t>
      </w:r>
      <w:r w:rsidR="006607EE">
        <w:rPr>
          <w:color w:val="0070C0"/>
          <w:u w:val="single"/>
        </w:rPr>
        <w:t>.</w:t>
      </w:r>
    </w:p>
    <w:p w14:paraId="7FD18DA3" w14:textId="412884CA" w:rsidR="007D712E" w:rsidRDefault="007D712E" w:rsidP="00362B1C">
      <w:pPr>
        <w:pStyle w:val="VCAAHeading2"/>
        <w:numPr>
          <w:ilvl w:val="0"/>
          <w:numId w:val="20"/>
        </w:numPr>
        <w:ind w:left="357" w:hanging="357"/>
        <w:contextualSpacing w:val="0"/>
        <w:jc w:val="both"/>
      </w:pPr>
      <w:bookmarkStart w:id="21" w:name="_Toc178071692"/>
      <w:r>
        <w:t>Expectations</w:t>
      </w:r>
      <w:bookmarkEnd w:id="21"/>
      <w:bookmarkEnd w:id="20"/>
    </w:p>
    <w:p w14:paraId="2533A90B" w14:textId="77777777" w:rsidR="007D712E" w:rsidRPr="000F6F9D" w:rsidRDefault="007D712E" w:rsidP="007D712E">
      <w:pPr>
        <w:pStyle w:val="VCAAHeading5"/>
        <w:numPr>
          <w:ilvl w:val="1"/>
          <w:numId w:val="20"/>
        </w:numPr>
        <w:jc w:val="both"/>
      </w:pPr>
      <w:bookmarkStart w:id="22" w:name="_Toc178071693"/>
      <w:r w:rsidRPr="000F6F9D">
        <w:t>Statement</w:t>
      </w:r>
      <w:bookmarkEnd w:id="22"/>
    </w:p>
    <w:p w14:paraId="49E8C404" w14:textId="77777777" w:rsidR="007D712E" w:rsidRDefault="007D712E" w:rsidP="007D712E">
      <w:pPr>
        <w:pStyle w:val="ESBodyText"/>
        <w:jc w:val="both"/>
        <w:rPr>
          <w:b/>
          <w:lang w:val="en-AU"/>
        </w:rPr>
      </w:pPr>
      <w:r>
        <w:rPr>
          <w:lang w:val="en-AU"/>
        </w:rPr>
        <w:t xml:space="preserve">The </w:t>
      </w:r>
      <w:r w:rsidRPr="000F6F9D">
        <w:rPr>
          <w:lang w:val="en-AU"/>
        </w:rPr>
        <w:t>VCAA acknowledges the valuable contributions of its employees and respects the diversity of experiences they bring to the organi</w:t>
      </w:r>
      <w:r>
        <w:rPr>
          <w:lang w:val="en-AU"/>
        </w:rPr>
        <w:t>s</w:t>
      </w:r>
      <w:r w:rsidRPr="000F6F9D">
        <w:rPr>
          <w:lang w:val="en-AU"/>
        </w:rPr>
        <w:t xml:space="preserve">ation. </w:t>
      </w:r>
      <w:r w:rsidRPr="00402D34">
        <w:rPr>
          <w:lang w:val="en-AU"/>
        </w:rPr>
        <w:t>However, in the interest</w:t>
      </w:r>
      <w:r>
        <w:rPr>
          <w:lang w:val="en-AU"/>
        </w:rPr>
        <w:t>s</w:t>
      </w:r>
      <w:r w:rsidRPr="00402D34">
        <w:rPr>
          <w:lang w:val="en-AU"/>
        </w:rPr>
        <w:t xml:space="preserve"> of maintaining a consistent and equitable approach to leave entitlements, the VCAA will </w:t>
      </w:r>
      <w:r w:rsidRPr="003618B6">
        <w:rPr>
          <w:lang w:val="en-AU"/>
        </w:rPr>
        <w:t xml:space="preserve">only </w:t>
      </w:r>
      <w:r w:rsidRPr="00402D34">
        <w:rPr>
          <w:lang w:val="en-AU"/>
        </w:rPr>
        <w:t>recognise prior service for leave purposes</w:t>
      </w:r>
      <w:r w:rsidRPr="003618B6">
        <w:rPr>
          <w:lang w:val="en-AU"/>
        </w:rPr>
        <w:t xml:space="preserve"> in limited circumstances, as stated below</w:t>
      </w:r>
      <w:r w:rsidRPr="00402D34">
        <w:rPr>
          <w:lang w:val="en-AU"/>
        </w:rPr>
        <w:t>.</w:t>
      </w:r>
    </w:p>
    <w:p w14:paraId="01B4B010" w14:textId="49BFCC12" w:rsidR="007D712E" w:rsidRDefault="007D712E" w:rsidP="007D712E">
      <w:pPr>
        <w:pStyle w:val="VCAAHeading5"/>
        <w:numPr>
          <w:ilvl w:val="1"/>
          <w:numId w:val="20"/>
        </w:numPr>
        <w:jc w:val="both"/>
      </w:pPr>
      <w:bookmarkStart w:id="23" w:name="_Toc178071694"/>
      <w:r w:rsidRPr="003267EC">
        <w:t>Recognition of</w:t>
      </w:r>
      <w:r>
        <w:t xml:space="preserve"> prior service for</w:t>
      </w:r>
      <w:r w:rsidRPr="003267EC">
        <w:t xml:space="preserve"> </w:t>
      </w:r>
      <w:r w:rsidR="00606D8A">
        <w:t>f</w:t>
      </w:r>
      <w:r>
        <w:t xml:space="preserve">ixed </w:t>
      </w:r>
      <w:r w:rsidR="00606D8A">
        <w:t>t</w:t>
      </w:r>
      <w:r>
        <w:t xml:space="preserve">erm </w:t>
      </w:r>
      <w:r w:rsidR="00606D8A">
        <w:t>c</w:t>
      </w:r>
      <w:r>
        <w:t>ontracts</w:t>
      </w:r>
      <w:bookmarkEnd w:id="23"/>
    </w:p>
    <w:p w14:paraId="0BD30ACA" w14:textId="138F321A" w:rsidR="007D712E" w:rsidRPr="008770D4" w:rsidRDefault="007D712E" w:rsidP="007D712E">
      <w:pPr>
        <w:pStyle w:val="ESBodyText"/>
        <w:jc w:val="both"/>
      </w:pPr>
      <w:r w:rsidRPr="008770D4">
        <w:rPr>
          <w:lang w:val="en-AU"/>
        </w:rPr>
        <w:t xml:space="preserve">Employees moving to the VCAA on fixed term employment from </w:t>
      </w:r>
      <w:r w:rsidRPr="00D0268F">
        <w:rPr>
          <w:lang w:val="en-AU"/>
        </w:rPr>
        <w:t>another Victorian Public Service (</w:t>
      </w:r>
      <w:r w:rsidRPr="00C6657A">
        <w:rPr>
          <w:bCs/>
          <w:lang w:val="en-AU"/>
        </w:rPr>
        <w:t>VPS</w:t>
      </w:r>
      <w:r w:rsidRPr="00D0268F">
        <w:rPr>
          <w:lang w:val="en-AU"/>
        </w:rPr>
        <w:t>) entity,</w:t>
      </w:r>
      <w:r w:rsidRPr="008770D4">
        <w:rPr>
          <w:lang w:val="en-AU"/>
        </w:rPr>
        <w:t xml:space="preserve"> with no break in service</w:t>
      </w:r>
      <w:r w:rsidRPr="008770D4">
        <w:t xml:space="preserve">, will have prior accrued long service, annual and personal/carers leave balances transferred automatically through the </w:t>
      </w:r>
      <w:r w:rsidR="00606D8A">
        <w:t>t</w:t>
      </w:r>
      <w:r w:rsidRPr="008770D4">
        <w:t xml:space="preserve">ransfer of </w:t>
      </w:r>
      <w:r w:rsidR="00606D8A">
        <w:t>p</w:t>
      </w:r>
      <w:r w:rsidRPr="008770D4">
        <w:t>ersonnel process.</w:t>
      </w:r>
    </w:p>
    <w:p w14:paraId="3A51AAF9" w14:textId="77777777" w:rsidR="007D712E" w:rsidRPr="008770D4" w:rsidRDefault="007D712E" w:rsidP="007D712E">
      <w:pPr>
        <w:pStyle w:val="ESBodyText"/>
        <w:jc w:val="both"/>
        <w:rPr>
          <w:lang w:val="en-AU"/>
        </w:rPr>
      </w:pPr>
      <w:r>
        <w:t xml:space="preserve">If there is a </w:t>
      </w:r>
      <w:r w:rsidRPr="008770D4">
        <w:t>break in service</w:t>
      </w:r>
      <w:r>
        <w:t>, which occurs</w:t>
      </w:r>
      <w:r w:rsidRPr="008770D4">
        <w:t xml:space="preserve"> when the employee stops working (excluding approved leave) for one or more</w:t>
      </w:r>
      <w:r>
        <w:t xml:space="preserve"> days</w:t>
      </w:r>
      <w:r w:rsidRPr="008770D4">
        <w:t xml:space="preserve"> before starting work with </w:t>
      </w:r>
      <w:r>
        <w:t xml:space="preserve">the VCAA, the previous </w:t>
      </w:r>
      <w:r w:rsidRPr="008770D4">
        <w:t xml:space="preserve">VPS employer will pay out any </w:t>
      </w:r>
      <w:r>
        <w:t xml:space="preserve">applicable </w:t>
      </w:r>
      <w:r w:rsidRPr="008770D4">
        <w:t>entitlements</w:t>
      </w:r>
      <w:r>
        <w:t xml:space="preserve"> to the employee</w:t>
      </w:r>
      <w:r w:rsidRPr="008770D4">
        <w:t>.</w:t>
      </w:r>
    </w:p>
    <w:p w14:paraId="6A18D6C8" w14:textId="4E83B406" w:rsidR="007D712E" w:rsidRPr="003267EC" w:rsidRDefault="007D712E" w:rsidP="007D712E">
      <w:pPr>
        <w:pStyle w:val="VCAAHeading5"/>
        <w:numPr>
          <w:ilvl w:val="1"/>
          <w:numId w:val="20"/>
        </w:numPr>
        <w:jc w:val="both"/>
      </w:pPr>
      <w:bookmarkStart w:id="24" w:name="_Toc178071695"/>
      <w:r w:rsidRPr="003267EC">
        <w:t xml:space="preserve">Recognition of </w:t>
      </w:r>
      <w:r w:rsidR="00606D8A">
        <w:t>c</w:t>
      </w:r>
      <w:r w:rsidRPr="003267EC">
        <w:t xml:space="preserve">asual </w:t>
      </w:r>
      <w:r w:rsidR="00E661DA">
        <w:t>e</w:t>
      </w:r>
      <w:r w:rsidRPr="003267EC">
        <w:t xml:space="preserve">mployment for </w:t>
      </w:r>
      <w:r w:rsidR="00E661DA">
        <w:t>l</w:t>
      </w:r>
      <w:r w:rsidRPr="003267EC">
        <w:t xml:space="preserve">ong </w:t>
      </w:r>
      <w:r w:rsidR="00E661DA">
        <w:t>s</w:t>
      </w:r>
      <w:r w:rsidRPr="003267EC">
        <w:t xml:space="preserve">ervice </w:t>
      </w:r>
      <w:r w:rsidR="00E661DA">
        <w:t>l</w:t>
      </w:r>
      <w:r w:rsidRPr="003267EC">
        <w:t xml:space="preserve">eave </w:t>
      </w:r>
      <w:r w:rsidR="00E661DA">
        <w:t>p</w:t>
      </w:r>
      <w:r w:rsidRPr="003267EC">
        <w:t>urposes</w:t>
      </w:r>
      <w:bookmarkEnd w:id="24"/>
    </w:p>
    <w:p w14:paraId="55F49A63" w14:textId="7235E1A2" w:rsidR="007D712E" w:rsidRDefault="007D712E" w:rsidP="007D712E">
      <w:pPr>
        <w:pStyle w:val="ESBodyText"/>
        <w:jc w:val="both"/>
        <w:rPr>
          <w:lang w:val="en-AU"/>
        </w:rPr>
      </w:pPr>
      <w:r w:rsidRPr="02B80369">
        <w:rPr>
          <w:lang w:val="en-AU"/>
        </w:rPr>
        <w:t xml:space="preserve">A casual employee will accrue long service leave if their service meets the definition of </w:t>
      </w:r>
      <w:r w:rsidR="00B52B0A" w:rsidRPr="02B80369">
        <w:rPr>
          <w:lang w:val="en-AU"/>
        </w:rPr>
        <w:t>‘</w:t>
      </w:r>
      <w:r w:rsidRPr="02B80369">
        <w:rPr>
          <w:lang w:val="en-AU"/>
        </w:rPr>
        <w:t>continuous employment</w:t>
      </w:r>
      <w:r w:rsidR="00B52B0A" w:rsidRPr="02B80369">
        <w:rPr>
          <w:lang w:val="en-AU"/>
        </w:rPr>
        <w:t>’</w:t>
      </w:r>
      <w:r w:rsidRPr="02B80369">
        <w:rPr>
          <w:lang w:val="en-AU"/>
        </w:rPr>
        <w:t xml:space="preserve"> as set out under section 12 of the </w:t>
      </w:r>
      <w:r w:rsidRPr="02B80369">
        <w:rPr>
          <w:i/>
          <w:iCs/>
          <w:lang w:val="en-AU"/>
        </w:rPr>
        <w:t>Long Service Leave Act 2018</w:t>
      </w:r>
      <w:r w:rsidRPr="02B80369">
        <w:rPr>
          <w:lang w:val="en-AU"/>
        </w:rPr>
        <w:t xml:space="preserve"> (Vic). This means that there must not be a gap in service of more than 3 months. The hours worked by a casual employee will be converted to equivalent </w:t>
      </w:r>
      <w:r w:rsidR="1F58153E" w:rsidRPr="02B80369">
        <w:rPr>
          <w:lang w:val="en-AU"/>
        </w:rPr>
        <w:t>full-time</w:t>
      </w:r>
      <w:r w:rsidRPr="02B80369">
        <w:rPr>
          <w:lang w:val="en-AU"/>
        </w:rPr>
        <w:t xml:space="preserve"> service.</w:t>
      </w:r>
    </w:p>
    <w:p w14:paraId="23D398BD" w14:textId="3EA2B305" w:rsidR="007D712E" w:rsidRDefault="007D712E" w:rsidP="007D712E">
      <w:pPr>
        <w:pStyle w:val="ESBodyText"/>
        <w:jc w:val="both"/>
        <w:rPr>
          <w:lang w:val="en-AU"/>
        </w:rPr>
      </w:pPr>
      <w:r>
        <w:rPr>
          <w:lang w:val="en-AU"/>
        </w:rPr>
        <w:t>The continuous employment of a casual employee will be broken in the following circumstances</w:t>
      </w:r>
      <w:r w:rsidR="00E661DA">
        <w:rPr>
          <w:lang w:val="en-AU"/>
        </w:rPr>
        <w:t>.</w:t>
      </w:r>
      <w:r>
        <w:rPr>
          <w:lang w:val="en-AU"/>
        </w:rPr>
        <w:t xml:space="preserve"> </w:t>
      </w:r>
    </w:p>
    <w:p w14:paraId="07975D29" w14:textId="4EE5855B" w:rsidR="007D712E" w:rsidRPr="00B30DD4" w:rsidRDefault="00E661DA" w:rsidP="007D712E">
      <w:pPr>
        <w:pStyle w:val="ESBodyText"/>
        <w:numPr>
          <w:ilvl w:val="0"/>
          <w:numId w:val="23"/>
        </w:numPr>
        <w:jc w:val="both"/>
        <w:rPr>
          <w:b/>
          <w:lang w:val="en-AU"/>
        </w:rPr>
      </w:pPr>
      <w:r>
        <w:rPr>
          <w:lang w:val="en-AU"/>
        </w:rPr>
        <w:t>a</w:t>
      </w:r>
      <w:r w:rsidR="007D712E" w:rsidRPr="00B30DD4">
        <w:rPr>
          <w:lang w:val="en-AU"/>
        </w:rPr>
        <w:t xml:space="preserve"> period of suspension from duty for disciplinary reasons</w:t>
      </w:r>
    </w:p>
    <w:p w14:paraId="54DDA0D8" w14:textId="023B1DA1" w:rsidR="007D712E" w:rsidRPr="00B30DD4" w:rsidRDefault="00E661DA" w:rsidP="007D712E">
      <w:pPr>
        <w:pStyle w:val="ESBodyText"/>
        <w:numPr>
          <w:ilvl w:val="0"/>
          <w:numId w:val="23"/>
        </w:numPr>
        <w:jc w:val="both"/>
        <w:rPr>
          <w:b/>
          <w:lang w:val="en-AU"/>
        </w:rPr>
      </w:pPr>
      <w:r>
        <w:rPr>
          <w:lang w:val="en-AU"/>
        </w:rPr>
        <w:t>a</w:t>
      </w:r>
      <w:r w:rsidR="007D712E" w:rsidRPr="00B30DD4">
        <w:rPr>
          <w:lang w:val="en-AU"/>
        </w:rPr>
        <w:t>ny period of service prior to the employee having been dismissed for disciplinary reasons</w:t>
      </w:r>
    </w:p>
    <w:p w14:paraId="55706C16" w14:textId="1A449C2E" w:rsidR="007D712E" w:rsidRPr="00B30DD4" w:rsidRDefault="00E661DA" w:rsidP="007D712E">
      <w:pPr>
        <w:pStyle w:val="ESBodyText"/>
        <w:numPr>
          <w:ilvl w:val="0"/>
          <w:numId w:val="23"/>
        </w:numPr>
        <w:jc w:val="both"/>
        <w:rPr>
          <w:b/>
          <w:lang w:val="en-AU"/>
        </w:rPr>
      </w:pPr>
      <w:r>
        <w:rPr>
          <w:lang w:val="en-AU"/>
        </w:rPr>
        <w:t>a</w:t>
      </w:r>
      <w:r w:rsidR="007D712E" w:rsidRPr="00B30DD4">
        <w:rPr>
          <w:lang w:val="en-AU"/>
        </w:rPr>
        <w:t>ny period of service during which a pension is payable under the</w:t>
      </w:r>
      <w:r w:rsidR="007D712E">
        <w:rPr>
          <w:lang w:val="en-AU"/>
        </w:rPr>
        <w:t xml:space="preserve"> </w:t>
      </w:r>
      <w:r w:rsidR="007D712E" w:rsidRPr="00B30DD4">
        <w:rPr>
          <w:i/>
          <w:iCs/>
          <w:lang w:val="en-AU"/>
        </w:rPr>
        <w:t>State Superannuation Act 1988</w:t>
      </w:r>
      <w:r w:rsidR="007D712E">
        <w:rPr>
          <w:i/>
          <w:iCs/>
          <w:lang w:val="en-AU"/>
        </w:rPr>
        <w:t xml:space="preserve"> </w:t>
      </w:r>
      <w:r w:rsidR="007D712E" w:rsidRPr="00B30DD4">
        <w:rPr>
          <w:lang w:val="en-AU"/>
        </w:rPr>
        <w:t xml:space="preserve">where an employee is retired on the grounds of ill health, other than the first </w:t>
      </w:r>
      <w:r>
        <w:rPr>
          <w:lang w:val="en-AU"/>
        </w:rPr>
        <w:t>12</w:t>
      </w:r>
      <w:r w:rsidRPr="00B30DD4">
        <w:rPr>
          <w:lang w:val="en-AU"/>
        </w:rPr>
        <w:t xml:space="preserve"> </w:t>
      </w:r>
      <w:r w:rsidR="007D712E" w:rsidRPr="00B30DD4">
        <w:rPr>
          <w:lang w:val="en-AU"/>
        </w:rPr>
        <w:t>months during which a pension is paid</w:t>
      </w:r>
    </w:p>
    <w:p w14:paraId="54EF7E3A" w14:textId="0795970A" w:rsidR="007D712E" w:rsidRPr="00B30DD4" w:rsidRDefault="00E661DA" w:rsidP="007D712E">
      <w:pPr>
        <w:pStyle w:val="ESBodyText"/>
        <w:numPr>
          <w:ilvl w:val="0"/>
          <w:numId w:val="23"/>
        </w:numPr>
        <w:jc w:val="both"/>
        <w:rPr>
          <w:b/>
          <w:lang w:val="en-AU"/>
        </w:rPr>
      </w:pPr>
      <w:r>
        <w:rPr>
          <w:lang w:val="en-AU"/>
        </w:rPr>
        <w:t>a</w:t>
      </w:r>
      <w:r w:rsidR="007D712E">
        <w:rPr>
          <w:lang w:val="en-AU"/>
        </w:rPr>
        <w:t>n</w:t>
      </w:r>
      <w:r w:rsidR="007D712E" w:rsidRPr="00B30DD4">
        <w:rPr>
          <w:lang w:val="en-AU"/>
        </w:rPr>
        <w:t xml:space="preserve">y period of service prior to the employee's termination if </w:t>
      </w:r>
      <w:r w:rsidR="007D712E">
        <w:rPr>
          <w:lang w:val="en-AU"/>
        </w:rPr>
        <w:t>they</w:t>
      </w:r>
      <w:r w:rsidR="007D712E" w:rsidRPr="00B30DD4">
        <w:rPr>
          <w:lang w:val="en-AU"/>
        </w:rPr>
        <w:t xml:space="preserve"> received a sum characterised as a voluntary departure incentive that was additional to entitlements under any Act or Award</w:t>
      </w:r>
    </w:p>
    <w:p w14:paraId="02CA690A" w14:textId="1AB9C2D4" w:rsidR="007D712E" w:rsidRPr="00E73A2B" w:rsidRDefault="00E661DA" w:rsidP="007D712E">
      <w:pPr>
        <w:pStyle w:val="ESBodyText"/>
        <w:numPr>
          <w:ilvl w:val="0"/>
          <w:numId w:val="23"/>
        </w:numPr>
        <w:jc w:val="both"/>
        <w:rPr>
          <w:b/>
          <w:lang w:val="en-AU"/>
        </w:rPr>
      </w:pPr>
      <w:r>
        <w:rPr>
          <w:lang w:val="en-AU"/>
        </w:rPr>
        <w:t>a</w:t>
      </w:r>
      <w:r w:rsidR="007D712E" w:rsidRPr="00B30DD4">
        <w:rPr>
          <w:lang w:val="en-AU"/>
        </w:rPr>
        <w:t>ny absence from duty when the employee was in receipt of weekly payments of compensation under the</w:t>
      </w:r>
      <w:r w:rsidR="007D712E">
        <w:rPr>
          <w:lang w:val="en-AU"/>
        </w:rPr>
        <w:t xml:space="preserve"> </w:t>
      </w:r>
      <w:r w:rsidR="007D712E" w:rsidRPr="00B30DD4">
        <w:rPr>
          <w:i/>
          <w:iCs/>
          <w:lang w:val="en-AU"/>
        </w:rPr>
        <w:t>Accident Compensation Act 1985</w:t>
      </w:r>
      <w:r w:rsidR="007D712E">
        <w:rPr>
          <w:lang w:val="en-AU"/>
        </w:rPr>
        <w:t xml:space="preserve"> (</w:t>
      </w:r>
      <w:r w:rsidR="007D712E" w:rsidRPr="00B30DD4">
        <w:rPr>
          <w:lang w:val="en-AU"/>
        </w:rPr>
        <w:t xml:space="preserve">Vic), other than the first </w:t>
      </w:r>
      <w:r>
        <w:rPr>
          <w:lang w:val="en-AU"/>
        </w:rPr>
        <w:t>12</w:t>
      </w:r>
      <w:r w:rsidRPr="00B30DD4">
        <w:rPr>
          <w:lang w:val="en-AU"/>
        </w:rPr>
        <w:t xml:space="preserve"> </w:t>
      </w:r>
      <w:r w:rsidR="007D712E" w:rsidRPr="00B30DD4">
        <w:rPr>
          <w:lang w:val="en-AU"/>
        </w:rPr>
        <w:t>months of that period.</w:t>
      </w:r>
    </w:p>
    <w:p w14:paraId="2A2C62AD" w14:textId="77777777" w:rsidR="007D712E" w:rsidRPr="00B30DD4" w:rsidRDefault="007D712E" w:rsidP="6C48DA23">
      <w:pPr>
        <w:pStyle w:val="ESBodyText"/>
        <w:jc w:val="both"/>
        <w:rPr>
          <w:b/>
          <w:lang w:val="en-AU"/>
        </w:rPr>
      </w:pPr>
      <w:r w:rsidRPr="6C48DA23">
        <w:rPr>
          <w:lang w:val="en-AU"/>
        </w:rPr>
        <w:t xml:space="preserve">Casual employees are paid a 25% casual loading in addition to their hourly rate, in lieu of public holidays not worked and all paid leave entitlements, other than long service leave. Casual employees will not be entitled to paid leave, with the exception of long service leave. </w:t>
      </w:r>
    </w:p>
    <w:p w14:paraId="2D75B4A0" w14:textId="37E527A4" w:rsidR="6C48DA23" w:rsidRDefault="6C48DA23" w:rsidP="6C48DA23">
      <w:pPr>
        <w:pStyle w:val="ESBodyText"/>
        <w:jc w:val="both"/>
        <w:rPr>
          <w:lang w:val="en-AU"/>
        </w:rPr>
      </w:pPr>
    </w:p>
    <w:p w14:paraId="31A3979E" w14:textId="6DD859AA" w:rsidR="56C0D14F" w:rsidRDefault="56C0D14F" w:rsidP="56C0D14F">
      <w:pPr>
        <w:pStyle w:val="ESBodyText"/>
        <w:jc w:val="both"/>
        <w:rPr>
          <w:lang w:val="en-AU"/>
        </w:rPr>
      </w:pPr>
    </w:p>
    <w:p w14:paraId="03D2499D" w14:textId="42781A59" w:rsidR="007D712E" w:rsidRPr="00CD10F7" w:rsidRDefault="007D712E" w:rsidP="007D712E">
      <w:pPr>
        <w:pStyle w:val="VCAAHeading5"/>
        <w:numPr>
          <w:ilvl w:val="1"/>
          <w:numId w:val="20"/>
        </w:numPr>
        <w:jc w:val="both"/>
      </w:pPr>
      <w:bookmarkStart w:id="25" w:name="_Toc178071696"/>
      <w:r w:rsidRPr="4C62A720">
        <w:rPr>
          <w:lang w:val="en-US"/>
        </w:rPr>
        <w:t xml:space="preserve">Recognising VPS previous service following a break in service under 12 months for </w:t>
      </w:r>
      <w:r w:rsidR="006607EE" w:rsidRPr="4C62A720">
        <w:rPr>
          <w:lang w:val="en-US"/>
        </w:rPr>
        <w:t>l</w:t>
      </w:r>
      <w:r w:rsidRPr="4C62A720">
        <w:rPr>
          <w:lang w:val="en-US"/>
        </w:rPr>
        <w:t xml:space="preserve">ong </w:t>
      </w:r>
      <w:r w:rsidR="006607EE" w:rsidRPr="4C62A720">
        <w:rPr>
          <w:lang w:val="en-US"/>
        </w:rPr>
        <w:t>s</w:t>
      </w:r>
      <w:r w:rsidRPr="4C62A720">
        <w:rPr>
          <w:lang w:val="en-US"/>
        </w:rPr>
        <w:t xml:space="preserve">ervice </w:t>
      </w:r>
      <w:r w:rsidR="006607EE" w:rsidRPr="4C62A720">
        <w:rPr>
          <w:lang w:val="en-US"/>
        </w:rPr>
        <w:t>l</w:t>
      </w:r>
      <w:r w:rsidRPr="4C62A720">
        <w:rPr>
          <w:lang w:val="en-US"/>
        </w:rPr>
        <w:t xml:space="preserve">eave </w:t>
      </w:r>
      <w:r w:rsidR="006607EE" w:rsidRPr="4C62A720">
        <w:rPr>
          <w:lang w:val="en-US"/>
        </w:rPr>
        <w:t>p</w:t>
      </w:r>
      <w:r w:rsidRPr="4C62A720">
        <w:rPr>
          <w:lang w:val="en-US"/>
        </w:rPr>
        <w:t>urposes</w:t>
      </w:r>
      <w:bookmarkEnd w:id="25"/>
    </w:p>
    <w:p w14:paraId="355ED072" w14:textId="29A79785" w:rsidR="007D712E" w:rsidRDefault="007D712E" w:rsidP="02B80369">
      <w:pPr>
        <w:pStyle w:val="ESBodyText"/>
        <w:jc w:val="both"/>
        <w:rPr>
          <w:b/>
          <w:bCs/>
        </w:rPr>
      </w:pPr>
      <w:r>
        <w:t xml:space="preserve">In line with 62.8(a) of the </w:t>
      </w:r>
      <w:hyperlink r:id="rId25">
        <w:r w:rsidRPr="02B80369">
          <w:rPr>
            <w:rStyle w:val="Hyperlink"/>
          </w:rPr>
          <w:t>VPS Agreement</w:t>
        </w:r>
      </w:hyperlink>
      <w:r>
        <w:t xml:space="preserve">, previous VPS service which concluded less than 12 months prior to an employee commencing with the VCAA can be recognised for long service leave purposes only. </w:t>
      </w:r>
    </w:p>
    <w:p w14:paraId="116F790A" w14:textId="4DBEDC57" w:rsidR="007D712E" w:rsidRDefault="007D712E" w:rsidP="007D712E">
      <w:pPr>
        <w:pStyle w:val="ESBodyText"/>
        <w:jc w:val="both"/>
        <w:rPr>
          <w:b/>
        </w:rPr>
      </w:pPr>
      <w:r w:rsidRPr="00974598">
        <w:t xml:space="preserve">Applications must be made within the first </w:t>
      </w:r>
      <w:r w:rsidR="00E661DA">
        <w:t>6</w:t>
      </w:r>
      <w:r w:rsidR="00E661DA" w:rsidRPr="00974598">
        <w:t xml:space="preserve"> </w:t>
      </w:r>
      <w:r w:rsidRPr="00974598">
        <w:t xml:space="preserve">months of starting work at </w:t>
      </w:r>
      <w:r>
        <w:t>the VCAA</w:t>
      </w:r>
      <w:r w:rsidRPr="00974598">
        <w:t>.</w:t>
      </w:r>
      <w:r>
        <w:t xml:space="preserve"> </w:t>
      </w:r>
      <w:r w:rsidRPr="00974598">
        <w:t xml:space="preserve">To facilitate this, </w:t>
      </w:r>
      <w:r>
        <w:t>employees</w:t>
      </w:r>
      <w:r w:rsidRPr="00974598">
        <w:t xml:space="preserve"> will be requested to provide detail</w:t>
      </w:r>
      <w:r>
        <w:t>s</w:t>
      </w:r>
      <w:r w:rsidRPr="00974598">
        <w:t xml:space="preserve"> in the</w:t>
      </w:r>
      <w:r>
        <w:t>ir eduPay portal.</w:t>
      </w:r>
    </w:p>
    <w:p w14:paraId="7C831D04" w14:textId="77777777" w:rsidR="007D712E" w:rsidRDefault="007D712E" w:rsidP="007D712E">
      <w:pPr>
        <w:pStyle w:val="ESBodyText"/>
        <w:jc w:val="both"/>
        <w:rPr>
          <w:lang w:val="en-AU"/>
        </w:rPr>
      </w:pPr>
      <w:r w:rsidRPr="00974598">
        <w:t xml:space="preserve">In this instance, any </w:t>
      </w:r>
      <w:r>
        <w:t xml:space="preserve">other </w:t>
      </w:r>
      <w:r w:rsidRPr="00974598">
        <w:t>entitlements would have been paid out by the previous VPS employer.</w:t>
      </w:r>
    </w:p>
    <w:p w14:paraId="4CFD1EFC" w14:textId="7832A5C8" w:rsidR="007D712E" w:rsidRDefault="007D712E" w:rsidP="00C6657A">
      <w:pPr>
        <w:pStyle w:val="VCAAHeading5"/>
        <w:numPr>
          <w:ilvl w:val="1"/>
          <w:numId w:val="20"/>
        </w:numPr>
        <w:jc w:val="both"/>
      </w:pPr>
      <w:bookmarkStart w:id="26" w:name="_Toc178071697"/>
      <w:r w:rsidRPr="4C62A720">
        <w:rPr>
          <w:lang w:val="en-US"/>
        </w:rPr>
        <w:t xml:space="preserve">Recognising other non-VPS previous service for </w:t>
      </w:r>
      <w:r w:rsidR="006607EE" w:rsidRPr="4C62A720">
        <w:rPr>
          <w:lang w:val="en-US"/>
        </w:rPr>
        <w:t>l</w:t>
      </w:r>
      <w:r w:rsidRPr="4C62A720">
        <w:rPr>
          <w:lang w:val="en-US"/>
        </w:rPr>
        <w:t xml:space="preserve">ong </w:t>
      </w:r>
      <w:r w:rsidR="006607EE" w:rsidRPr="4C62A720">
        <w:rPr>
          <w:lang w:val="en-US"/>
        </w:rPr>
        <w:t>s</w:t>
      </w:r>
      <w:r w:rsidRPr="4C62A720">
        <w:rPr>
          <w:lang w:val="en-US"/>
        </w:rPr>
        <w:t xml:space="preserve">ervice </w:t>
      </w:r>
      <w:r w:rsidR="006607EE" w:rsidRPr="4C62A720">
        <w:rPr>
          <w:lang w:val="en-US"/>
        </w:rPr>
        <w:t>l</w:t>
      </w:r>
      <w:r w:rsidRPr="4C62A720">
        <w:rPr>
          <w:lang w:val="en-US"/>
        </w:rPr>
        <w:t xml:space="preserve">eave </w:t>
      </w:r>
      <w:r w:rsidR="006607EE" w:rsidRPr="4C62A720">
        <w:rPr>
          <w:lang w:val="en-US"/>
        </w:rPr>
        <w:t>p</w:t>
      </w:r>
      <w:r w:rsidRPr="4C62A720">
        <w:rPr>
          <w:lang w:val="en-US"/>
        </w:rPr>
        <w:t>urposes</w:t>
      </w:r>
      <w:bookmarkEnd w:id="26"/>
    </w:p>
    <w:p w14:paraId="259A7F0B" w14:textId="77777777" w:rsidR="007D712E" w:rsidRPr="00665FC0" w:rsidRDefault="007D712E" w:rsidP="007D712E">
      <w:pPr>
        <w:pStyle w:val="ESBodyText"/>
        <w:jc w:val="both"/>
        <w:rPr>
          <w:b/>
        </w:rPr>
      </w:pPr>
      <w:r>
        <w:t xml:space="preserve">For the purposes of the accrual of long service leave only, the </w:t>
      </w:r>
      <w:r w:rsidRPr="00665FC0">
        <w:t xml:space="preserve">VCAA may recognise prior service from non-VPS entities if the previous employer is one of the organisations listed in clause </w:t>
      </w:r>
      <w:r>
        <w:t>62.9</w:t>
      </w:r>
      <w:r w:rsidRPr="00665FC0">
        <w:t xml:space="preserve"> of the VPS Agreement, and the period of employment was concluded less than 12 months prior to the employee commencing with VCAA. </w:t>
      </w:r>
    </w:p>
    <w:p w14:paraId="33088624" w14:textId="4A0EEA3C" w:rsidR="007D712E" w:rsidRPr="00665FC0" w:rsidRDefault="007D712E" w:rsidP="007D712E">
      <w:pPr>
        <w:pStyle w:val="ESBodyText"/>
        <w:jc w:val="both"/>
        <w:rPr>
          <w:b/>
        </w:rPr>
      </w:pPr>
      <w:r w:rsidRPr="00665FC0">
        <w:t xml:space="preserve">Applications must be made within the first </w:t>
      </w:r>
      <w:r w:rsidR="00E661DA">
        <w:t>6</w:t>
      </w:r>
      <w:r w:rsidR="00E661DA" w:rsidRPr="00665FC0">
        <w:t xml:space="preserve"> </w:t>
      </w:r>
      <w:r w:rsidRPr="00665FC0">
        <w:t xml:space="preserve">months of starting work at </w:t>
      </w:r>
      <w:r>
        <w:t xml:space="preserve">the </w:t>
      </w:r>
      <w:r w:rsidRPr="00665FC0">
        <w:t xml:space="preserve">VCAA. To facilitate this, </w:t>
      </w:r>
      <w:r>
        <w:t>employees</w:t>
      </w:r>
      <w:r w:rsidRPr="00665FC0">
        <w:t xml:space="preserve"> will be requested to provide detail</w:t>
      </w:r>
      <w:r>
        <w:t>s</w:t>
      </w:r>
      <w:r w:rsidRPr="00665FC0">
        <w:t xml:space="preserve"> in the</w:t>
      </w:r>
      <w:r>
        <w:t>ir eduPay portal.</w:t>
      </w:r>
    </w:p>
    <w:p w14:paraId="690ECEF2" w14:textId="77777777" w:rsidR="007D712E" w:rsidRPr="008770D4" w:rsidRDefault="007D712E" w:rsidP="02B80369">
      <w:pPr>
        <w:pStyle w:val="ESBodyText"/>
        <w:jc w:val="both"/>
        <w:rPr>
          <w:b/>
          <w:bCs/>
        </w:rPr>
      </w:pPr>
      <w:r>
        <w:t xml:space="preserve">VCAA Human Resources will review the </w:t>
      </w:r>
      <w:bookmarkStart w:id="27" w:name="_Int_8By0GR5r"/>
      <w:r>
        <w:t>application</w:t>
      </w:r>
      <w:bookmarkEnd w:id="27"/>
      <w:r>
        <w:t xml:space="preserve"> and the final decision will be made by the Human Resources Manager. The details of any recognised service will be confirmed in writing. The VCAA does not accept the transfer of annual leave, long service leave or personal/carers leave balances from organisations outside the VPS (other than as set out above).</w:t>
      </w:r>
    </w:p>
    <w:p w14:paraId="7825F8C5" w14:textId="393CCDF3" w:rsidR="007D712E" w:rsidRDefault="007D712E" w:rsidP="007D712E">
      <w:pPr>
        <w:pStyle w:val="VCAAHeading5"/>
        <w:numPr>
          <w:ilvl w:val="1"/>
          <w:numId w:val="20"/>
        </w:numPr>
        <w:jc w:val="both"/>
      </w:pPr>
      <w:bookmarkStart w:id="28" w:name="_Toc178071698"/>
      <w:r w:rsidRPr="4C62A720">
        <w:rPr>
          <w:lang w:val="en-US"/>
        </w:rPr>
        <w:t xml:space="preserve">Futher </w:t>
      </w:r>
      <w:r w:rsidR="006607EE" w:rsidRPr="4C62A720">
        <w:rPr>
          <w:lang w:val="en-US"/>
        </w:rPr>
        <w:t>a</w:t>
      </w:r>
      <w:r w:rsidRPr="4C62A720">
        <w:rPr>
          <w:lang w:val="en-US"/>
        </w:rPr>
        <w:t>ssistance</w:t>
      </w:r>
      <w:bookmarkEnd w:id="28"/>
    </w:p>
    <w:p w14:paraId="63C59C1E" w14:textId="77777777" w:rsidR="007D712E" w:rsidRDefault="007D712E" w:rsidP="007D712E">
      <w:pPr>
        <w:pStyle w:val="ESBodyText"/>
        <w:jc w:val="both"/>
      </w:pPr>
      <w:r w:rsidRPr="00B30DD4">
        <w:t>Any questions or concerns regarding this gui</w:t>
      </w:r>
      <w:r>
        <w:t>d</w:t>
      </w:r>
      <w:r w:rsidRPr="00B30DD4">
        <w:t>e</w:t>
      </w:r>
      <w:r>
        <w:t>line</w:t>
      </w:r>
      <w:r w:rsidRPr="00B30DD4">
        <w:t xml:space="preserve"> can be directed to </w:t>
      </w:r>
      <w:r>
        <w:t>VCAA Human Resources.</w:t>
      </w:r>
    </w:p>
    <w:p w14:paraId="2F032329" w14:textId="77777777" w:rsidR="007D712E" w:rsidRPr="00362B1C" w:rsidRDefault="007D712E" w:rsidP="00362B1C">
      <w:pPr>
        <w:pStyle w:val="VCAAHeading2"/>
        <w:numPr>
          <w:ilvl w:val="0"/>
          <w:numId w:val="20"/>
        </w:numPr>
        <w:ind w:left="357" w:hanging="357"/>
        <w:contextualSpacing w:val="0"/>
        <w:jc w:val="both"/>
      </w:pPr>
      <w:bookmarkStart w:id="29" w:name="_Toc163483876"/>
      <w:bookmarkStart w:id="30" w:name="_Toc163569462"/>
      <w:bookmarkStart w:id="31" w:name="_Toc164160051"/>
      <w:bookmarkStart w:id="32" w:name="_Toc164854730"/>
      <w:bookmarkStart w:id="33" w:name="_Toc178071699"/>
      <w:bookmarkStart w:id="34" w:name="_Hlk163466920"/>
      <w:r w:rsidRPr="00362B1C">
        <w:t xml:space="preserve">Managing this </w:t>
      </w:r>
      <w:bookmarkEnd w:id="29"/>
      <w:bookmarkEnd w:id="30"/>
      <w:bookmarkEnd w:id="31"/>
      <w:r w:rsidRPr="00362B1C">
        <w:t>guideline</w:t>
      </w:r>
      <w:bookmarkEnd w:id="32"/>
      <w:bookmarkEnd w:id="33"/>
    </w:p>
    <w:p w14:paraId="2668A3D4" w14:textId="77777777" w:rsidR="007D712E" w:rsidRPr="00CD10F7" w:rsidRDefault="007D712E" w:rsidP="3CD9E997">
      <w:pPr>
        <w:pStyle w:val="VCAAHeading5"/>
        <w:numPr>
          <w:ilvl w:val="1"/>
          <w:numId w:val="20"/>
        </w:numPr>
        <w:jc w:val="both"/>
        <w:rPr>
          <w:lang w:val="en-US"/>
        </w:rPr>
      </w:pPr>
      <w:bookmarkStart w:id="35" w:name="_Toc178071700"/>
      <w:r w:rsidRPr="3CD9E997">
        <w:rPr>
          <w:lang w:val="en-US"/>
        </w:rPr>
        <w:t>Authorisation</w:t>
      </w:r>
      <w:bookmarkEnd w:id="35"/>
    </w:p>
    <w:p w14:paraId="1761BDE1" w14:textId="77777777" w:rsidR="007D712E" w:rsidRDefault="007D712E" w:rsidP="007D712E">
      <w:pPr>
        <w:pStyle w:val="ESBodyText"/>
        <w:spacing w:line="276" w:lineRule="auto"/>
        <w:jc w:val="both"/>
        <w:rPr>
          <w:rStyle w:val="normaltextrun"/>
        </w:rPr>
      </w:pPr>
      <w:r w:rsidRPr="001E7676">
        <w:rPr>
          <w:rStyle w:val="normaltextrun"/>
        </w:rPr>
        <w:t xml:space="preserve">This </w:t>
      </w:r>
      <w:r>
        <w:rPr>
          <w:rStyle w:val="normaltextrun"/>
        </w:rPr>
        <w:t>guideline</w:t>
      </w:r>
      <w:r w:rsidRPr="001E7676">
        <w:rPr>
          <w:rStyle w:val="normaltextrun"/>
        </w:rPr>
        <w:t xml:space="preserve"> is issued under the authority of the Chief Executive Officer.</w:t>
      </w:r>
    </w:p>
    <w:p w14:paraId="1BBE2D9E" w14:textId="77777777" w:rsidR="007D712E" w:rsidRPr="00C6657A" w:rsidRDefault="007D712E" w:rsidP="00C6657A">
      <w:pPr>
        <w:pStyle w:val="VCAAHeading5"/>
        <w:numPr>
          <w:ilvl w:val="1"/>
          <w:numId w:val="20"/>
        </w:numPr>
        <w:jc w:val="both"/>
      </w:pPr>
      <w:r w:rsidRPr="00C6657A">
        <w:t xml:space="preserve"> </w:t>
      </w:r>
      <w:bookmarkStart w:id="36" w:name="_Toc178071701"/>
      <w:r w:rsidRPr="00C6657A">
        <w:t>Accountability for the guideline</w:t>
      </w:r>
      <w:bookmarkEnd w:id="36"/>
    </w:p>
    <w:p w14:paraId="69E8C7CF" w14:textId="77777777" w:rsidR="007D712E" w:rsidRDefault="007D712E" w:rsidP="007D712E">
      <w:pPr>
        <w:pStyle w:val="ESBodyText"/>
        <w:spacing w:line="276" w:lineRule="auto"/>
        <w:jc w:val="both"/>
        <w:rPr>
          <w:sz w:val="20"/>
          <w:szCs w:val="20"/>
        </w:rPr>
      </w:pPr>
      <w:r>
        <w:rPr>
          <w:rStyle w:val="normaltextrun"/>
          <w:color w:val="000000"/>
        </w:rPr>
        <w:t>The owner is VCAA Human Resources who reports to the Chief Executive Officer on the management of this guideline.</w:t>
      </w:r>
    </w:p>
    <w:p w14:paraId="22463FFF" w14:textId="77777777" w:rsidR="007D712E" w:rsidRDefault="007D712E" w:rsidP="007D712E">
      <w:pPr>
        <w:pStyle w:val="ESBodyText"/>
        <w:spacing w:line="276" w:lineRule="auto"/>
        <w:jc w:val="both"/>
        <w:rPr>
          <w:sz w:val="20"/>
          <w:szCs w:val="20"/>
        </w:rPr>
      </w:pPr>
      <w:r>
        <w:rPr>
          <w:rStyle w:val="normaltextrun"/>
          <w:color w:val="000000"/>
        </w:rPr>
        <w:t>The owner is responsible for:</w:t>
      </w:r>
    </w:p>
    <w:p w14:paraId="7C11CD69" w14:textId="2A44C965" w:rsidR="007D712E" w:rsidRDefault="00E661DA" w:rsidP="007D712E">
      <w:pPr>
        <w:pStyle w:val="ESBodyText"/>
        <w:numPr>
          <w:ilvl w:val="0"/>
          <w:numId w:val="25"/>
        </w:numPr>
        <w:spacing w:line="276" w:lineRule="auto"/>
        <w:jc w:val="both"/>
      </w:pPr>
      <w:r>
        <w:rPr>
          <w:rStyle w:val="normaltextrun"/>
          <w:color w:val="000000"/>
          <w:lang w:val="en-GB"/>
        </w:rPr>
        <w:t>d</w:t>
      </w:r>
      <w:r w:rsidR="007D712E">
        <w:rPr>
          <w:rStyle w:val="normaltextrun"/>
          <w:color w:val="000000"/>
          <w:lang w:val="en-GB"/>
        </w:rPr>
        <w:t>evelopment and regular review of this guideline</w:t>
      </w:r>
    </w:p>
    <w:p w14:paraId="520222B0" w14:textId="0A64084B" w:rsidR="007D712E" w:rsidRDefault="00E661DA" w:rsidP="007D712E">
      <w:pPr>
        <w:pStyle w:val="ESBodyText"/>
        <w:numPr>
          <w:ilvl w:val="0"/>
          <w:numId w:val="25"/>
        </w:numPr>
        <w:spacing w:line="276" w:lineRule="auto"/>
        <w:jc w:val="both"/>
      </w:pPr>
      <w:r>
        <w:rPr>
          <w:rStyle w:val="normaltextrun"/>
          <w:color w:val="000000"/>
          <w:lang w:val="en-GB"/>
        </w:rPr>
        <w:t>d</w:t>
      </w:r>
      <w:r w:rsidR="007D712E">
        <w:rPr>
          <w:rStyle w:val="normaltextrun"/>
          <w:color w:val="000000"/>
          <w:lang w:val="en-GB"/>
        </w:rPr>
        <w:t>evelopment of protocols, processes and guidelines to support implementation</w:t>
      </w:r>
    </w:p>
    <w:p w14:paraId="3B596CE1" w14:textId="1F44B6BE" w:rsidR="4C62A720" w:rsidRDefault="00E661DA" w:rsidP="4C62A720">
      <w:pPr>
        <w:pStyle w:val="ESBodyText"/>
        <w:numPr>
          <w:ilvl w:val="0"/>
          <w:numId w:val="25"/>
        </w:numPr>
        <w:spacing w:line="276" w:lineRule="auto"/>
        <w:jc w:val="both"/>
        <w:rPr>
          <w:rStyle w:val="normaltextrun"/>
        </w:rPr>
      </w:pPr>
      <w:r w:rsidRPr="4C62A720">
        <w:rPr>
          <w:rStyle w:val="normaltextrun"/>
          <w:color w:val="000000" w:themeColor="text1"/>
          <w:lang w:val="en-GB"/>
        </w:rPr>
        <w:t>m</w:t>
      </w:r>
      <w:r w:rsidR="007D712E" w:rsidRPr="4C62A720">
        <w:rPr>
          <w:rStyle w:val="normaltextrun"/>
          <w:color w:val="000000" w:themeColor="text1"/>
          <w:lang w:val="en-GB"/>
        </w:rPr>
        <w:t>onitoring compliance of applicable employees, organisational units, and/or locations</w:t>
      </w:r>
      <w:r w:rsidR="007D712E" w:rsidRPr="4C62A720">
        <w:rPr>
          <w:rStyle w:val="eop"/>
          <w:color w:val="000000" w:themeColor="text1"/>
        </w:rPr>
        <w:t>.</w:t>
      </w:r>
    </w:p>
    <w:p w14:paraId="22DD25FB" w14:textId="77777777" w:rsidR="007D712E" w:rsidRPr="00C6657A" w:rsidRDefault="007D712E" w:rsidP="00C6657A">
      <w:pPr>
        <w:pStyle w:val="VCAAHeading5"/>
        <w:numPr>
          <w:ilvl w:val="1"/>
          <w:numId w:val="20"/>
        </w:numPr>
        <w:jc w:val="both"/>
      </w:pPr>
      <w:bookmarkStart w:id="37" w:name="_Toc178071702"/>
      <w:r w:rsidRPr="00C6657A">
        <w:t>Important dates</w:t>
      </w:r>
      <w:bookmarkEnd w:id="37"/>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6"/>
        <w:gridCol w:w="4652"/>
      </w:tblGrid>
      <w:tr w:rsidR="007D712E" w:rsidRPr="001E7676" w14:paraId="589BA0B2" w14:textId="77777777" w:rsidTr="56C0D14F">
        <w:trPr>
          <w:trHeight w:val="300"/>
        </w:trPr>
        <w:tc>
          <w:tcPr>
            <w:tcW w:w="4815" w:type="dxa"/>
            <w:shd w:val="clear" w:color="auto" w:fill="auto"/>
            <w:hideMark/>
          </w:tcPr>
          <w:p w14:paraId="1906CBDA" w14:textId="7CB49E61"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w:t>
            </w:r>
          </w:p>
        </w:tc>
        <w:tc>
          <w:tcPr>
            <w:tcW w:w="4800" w:type="dxa"/>
            <w:shd w:val="clear" w:color="auto" w:fill="auto"/>
            <w:hideMark/>
          </w:tcPr>
          <w:p w14:paraId="34C7307B" w14:textId="382CDAD6"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007D712E" w:rsidRPr="001E7676" w14:paraId="7F06E5BC" w14:textId="77777777" w:rsidTr="56C0D14F">
        <w:trPr>
          <w:trHeight w:val="300"/>
        </w:trPr>
        <w:tc>
          <w:tcPr>
            <w:tcW w:w="4815" w:type="dxa"/>
            <w:shd w:val="clear" w:color="auto" w:fill="auto"/>
            <w:hideMark/>
          </w:tcPr>
          <w:p w14:paraId="6570A77A" w14:textId="2BD4174A"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w:t>
            </w:r>
          </w:p>
        </w:tc>
        <w:tc>
          <w:tcPr>
            <w:tcW w:w="4800" w:type="dxa"/>
            <w:shd w:val="clear" w:color="auto" w:fill="auto"/>
            <w:hideMark/>
          </w:tcPr>
          <w:p w14:paraId="2DD5D2DB" w14:textId="028E39AB"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007D712E" w:rsidRPr="001E7676" w14:paraId="1ACF1C16" w14:textId="77777777" w:rsidTr="56C0D14F">
        <w:trPr>
          <w:trHeight w:val="300"/>
        </w:trPr>
        <w:tc>
          <w:tcPr>
            <w:tcW w:w="4815" w:type="dxa"/>
            <w:shd w:val="clear" w:color="auto" w:fill="auto"/>
            <w:hideMark/>
          </w:tcPr>
          <w:p w14:paraId="46A856C1" w14:textId="2547090C"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w:t>
            </w:r>
          </w:p>
        </w:tc>
        <w:tc>
          <w:tcPr>
            <w:tcW w:w="4800" w:type="dxa"/>
            <w:shd w:val="clear" w:color="auto" w:fill="auto"/>
            <w:hideMark/>
          </w:tcPr>
          <w:p w14:paraId="431514E3" w14:textId="3132E67B" w:rsidR="007D712E" w:rsidRPr="001E7676" w:rsidRDefault="007D712E" w:rsidP="00C20890">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w:t>
            </w:r>
          </w:p>
        </w:tc>
      </w:tr>
    </w:tbl>
    <w:p w14:paraId="7A3D312A" w14:textId="288BFC52" w:rsidR="56C0D14F" w:rsidRDefault="56C0D14F" w:rsidP="56C0D14F">
      <w:pPr>
        <w:pStyle w:val="VCAAHeading2"/>
        <w:ind w:left="360"/>
        <w:jc w:val="both"/>
      </w:pPr>
    </w:p>
    <w:p w14:paraId="188228CB" w14:textId="5ED340DA" w:rsidR="56C0D14F" w:rsidRDefault="56C0D14F" w:rsidP="56C0D14F">
      <w:pPr>
        <w:pStyle w:val="VCAAbody"/>
      </w:pPr>
    </w:p>
    <w:p w14:paraId="167546BF" w14:textId="77777777" w:rsidR="007D712E" w:rsidRDefault="007D712E" w:rsidP="007D712E">
      <w:pPr>
        <w:pStyle w:val="VCAAHeading2"/>
        <w:numPr>
          <w:ilvl w:val="0"/>
          <w:numId w:val="20"/>
        </w:numPr>
        <w:jc w:val="both"/>
      </w:pPr>
      <w:bookmarkStart w:id="38" w:name="_Toc163483878"/>
      <w:bookmarkStart w:id="39" w:name="_Toc163569463"/>
      <w:bookmarkStart w:id="40" w:name="_Toc164160052"/>
      <w:bookmarkStart w:id="41" w:name="_Toc164854731"/>
      <w:bookmarkStart w:id="42" w:name="_Toc178071703"/>
      <w:bookmarkEnd w:id="34"/>
      <w:r w:rsidRPr="56C0D14F">
        <w:rPr>
          <w:rStyle w:val="normaltextrun"/>
        </w:rPr>
        <w:t>Related documents</w:t>
      </w:r>
      <w:bookmarkEnd w:id="38"/>
      <w:bookmarkEnd w:id="39"/>
      <w:bookmarkEnd w:id="40"/>
      <w:bookmarkEnd w:id="41"/>
      <w:bookmarkEnd w:id="42"/>
    </w:p>
    <w:p w14:paraId="2C27BD31" w14:textId="77777777" w:rsidR="007D712E" w:rsidRDefault="007D712E" w:rsidP="007D712E">
      <w:pPr>
        <w:pStyle w:val="ESBodyText"/>
        <w:numPr>
          <w:ilvl w:val="0"/>
          <w:numId w:val="24"/>
        </w:numPr>
        <w:jc w:val="both"/>
        <w:rPr>
          <w:rFonts w:cstheme="minorHAnsi"/>
          <w:bCs/>
          <w:lang w:val="en-AU"/>
        </w:rPr>
      </w:pPr>
      <w:r w:rsidRPr="003618B6">
        <w:rPr>
          <w:rFonts w:cstheme="minorHAnsi"/>
          <w:bCs/>
          <w:i/>
          <w:lang w:val="en-AU"/>
        </w:rPr>
        <w:t xml:space="preserve">Long Service Leave Act </w:t>
      </w:r>
      <w:r w:rsidRPr="00C6657A">
        <w:rPr>
          <w:rFonts w:cstheme="minorHAnsi"/>
          <w:bCs/>
          <w:i/>
          <w:iCs/>
          <w:lang w:val="en-AU"/>
        </w:rPr>
        <w:t>2018</w:t>
      </w:r>
      <w:r>
        <w:rPr>
          <w:rFonts w:cstheme="minorHAnsi"/>
          <w:bCs/>
          <w:lang w:val="en-AU"/>
        </w:rPr>
        <w:t xml:space="preserve"> (Vic)</w:t>
      </w:r>
    </w:p>
    <w:p w14:paraId="0B91D64C" w14:textId="77777777" w:rsidR="007D712E" w:rsidRDefault="007D712E" w:rsidP="007D712E">
      <w:pPr>
        <w:pStyle w:val="ESBodyText"/>
        <w:numPr>
          <w:ilvl w:val="0"/>
          <w:numId w:val="24"/>
        </w:numPr>
        <w:jc w:val="both"/>
        <w:rPr>
          <w:rFonts w:cstheme="minorHAnsi"/>
          <w:bCs/>
          <w:lang w:val="en-AU"/>
        </w:rPr>
      </w:pPr>
      <w:r w:rsidRPr="003618B6">
        <w:rPr>
          <w:rFonts w:cstheme="minorHAnsi"/>
          <w:bCs/>
          <w:i/>
          <w:lang w:val="en-AU"/>
        </w:rPr>
        <w:t>Accident Compensation Act 1985</w:t>
      </w:r>
      <w:r>
        <w:rPr>
          <w:rFonts w:cstheme="minorHAnsi"/>
          <w:bCs/>
          <w:lang w:val="en-AU"/>
        </w:rPr>
        <w:t xml:space="preserve"> </w:t>
      </w:r>
      <w:r w:rsidRPr="008770D4">
        <w:rPr>
          <w:rFonts w:cstheme="minorHAnsi"/>
          <w:bCs/>
          <w:lang w:val="en-AU"/>
        </w:rPr>
        <w:t>(Vic)</w:t>
      </w:r>
    </w:p>
    <w:p w14:paraId="74D6DEBF" w14:textId="77777777" w:rsidR="007D712E" w:rsidRPr="003618B6" w:rsidRDefault="007D712E" w:rsidP="007D712E">
      <w:pPr>
        <w:pStyle w:val="ESBodyText"/>
        <w:numPr>
          <w:ilvl w:val="0"/>
          <w:numId w:val="24"/>
        </w:numPr>
        <w:jc w:val="both"/>
        <w:rPr>
          <w:rFonts w:cstheme="minorHAnsi"/>
          <w:bCs/>
          <w:color w:val="242424"/>
        </w:rPr>
      </w:pPr>
      <w:r w:rsidRPr="003618B6">
        <w:rPr>
          <w:rFonts w:cstheme="minorHAnsi"/>
          <w:bCs/>
          <w:i/>
          <w:lang w:val="en-AU"/>
        </w:rPr>
        <w:t>State Superannuation Act 1988</w:t>
      </w:r>
      <w:r>
        <w:rPr>
          <w:rFonts w:cstheme="minorHAnsi"/>
          <w:bCs/>
          <w:lang w:val="en-AU"/>
        </w:rPr>
        <w:t xml:space="preserve"> (Vic)</w:t>
      </w:r>
    </w:p>
    <w:p w14:paraId="722C4DFA" w14:textId="77777777" w:rsidR="007D712E" w:rsidRPr="003618B6" w:rsidRDefault="007D712E" w:rsidP="007D712E">
      <w:pPr>
        <w:pStyle w:val="ESBodyText"/>
        <w:numPr>
          <w:ilvl w:val="0"/>
          <w:numId w:val="24"/>
        </w:numPr>
        <w:jc w:val="both"/>
        <w:rPr>
          <w:rFonts w:cstheme="minorHAnsi"/>
          <w:bCs/>
          <w:color w:val="242424"/>
        </w:rPr>
      </w:pPr>
      <w:r>
        <w:rPr>
          <w:rFonts w:cstheme="minorHAnsi"/>
          <w:bCs/>
          <w:lang w:val="en-AU"/>
        </w:rPr>
        <w:t>Victorian Public Service Enterprise Agreement 2020</w:t>
      </w:r>
    </w:p>
    <w:p w14:paraId="28B8751F" w14:textId="62570656" w:rsidR="007D712E" w:rsidRPr="008770D4" w:rsidRDefault="007D712E" w:rsidP="007D712E">
      <w:pPr>
        <w:pStyle w:val="ESBodyText"/>
        <w:numPr>
          <w:ilvl w:val="0"/>
          <w:numId w:val="24"/>
        </w:numPr>
        <w:jc w:val="both"/>
        <w:rPr>
          <w:rFonts w:cstheme="minorHAnsi"/>
          <w:bCs/>
          <w:color w:val="242424"/>
        </w:rPr>
      </w:pPr>
      <w:r>
        <w:t xml:space="preserve">Ministerial Order No. 1451 </w:t>
      </w:r>
      <w:r w:rsidR="006607EE">
        <w:t>–</w:t>
      </w:r>
      <w:r>
        <w:t xml:space="preserve"> Victorian Curriculum and Assessment Authority employees (Employment Conditions, Salaries, Allowances, Selection and Conduct) Order 2023</w:t>
      </w:r>
    </w:p>
    <w:sectPr w:rsidR="007D712E" w:rsidRPr="008770D4" w:rsidSect="007D712E">
      <w:headerReference w:type="even" r:id="rId26"/>
      <w:headerReference w:type="default" r:id="rId27"/>
      <w:footerReference w:type="default" r:id="rId28"/>
      <w:headerReference w:type="first" r:id="rId29"/>
      <w:pgSz w:w="11900" w:h="16840" w:code="9"/>
      <w:pgMar w:top="1134" w:right="1134"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E002" w14:textId="77777777" w:rsidR="00350E9A" w:rsidRDefault="00350E9A" w:rsidP="00304EA1">
      <w:pPr>
        <w:spacing w:after="0" w:line="240" w:lineRule="auto"/>
      </w:pPr>
      <w:r>
        <w:separator/>
      </w:r>
    </w:p>
  </w:endnote>
  <w:endnote w:type="continuationSeparator" w:id="0">
    <w:p w14:paraId="5A60258B" w14:textId="77777777" w:rsidR="00350E9A" w:rsidRDefault="00350E9A" w:rsidP="00304EA1">
      <w:pPr>
        <w:spacing w:after="0" w:line="240" w:lineRule="auto"/>
      </w:pPr>
      <w:r>
        <w:continuationSeparator/>
      </w:r>
    </w:p>
  </w:endnote>
  <w:endnote w:type="continuationNotice" w:id="1">
    <w:p w14:paraId="013480B6" w14:textId="77777777" w:rsidR="00C83622" w:rsidRDefault="00C83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D712E" w:rsidRPr="00D0381D" w14:paraId="53037EBE" w14:textId="77777777" w:rsidTr="00C20890">
      <w:tc>
        <w:tcPr>
          <w:tcW w:w="3285" w:type="dxa"/>
          <w:tcMar>
            <w:left w:w="0" w:type="dxa"/>
            <w:right w:w="0" w:type="dxa"/>
          </w:tcMar>
        </w:tcPr>
        <w:p w14:paraId="4A106543" w14:textId="77777777" w:rsidR="007D712E" w:rsidRPr="00D0381D" w:rsidRDefault="007D712E" w:rsidP="007D712E">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720998C6" w14:textId="77777777" w:rsidR="007D712E" w:rsidRPr="00D0381D" w:rsidRDefault="007D712E" w:rsidP="007D712E">
          <w:pPr>
            <w:tabs>
              <w:tab w:val="right" w:pos="9639"/>
            </w:tabs>
            <w:rPr>
              <w:color w:val="999999" w:themeColor="accent2"/>
              <w:sz w:val="18"/>
              <w:szCs w:val="18"/>
            </w:rPr>
          </w:pPr>
        </w:p>
      </w:tc>
      <w:tc>
        <w:tcPr>
          <w:tcW w:w="3285" w:type="dxa"/>
          <w:tcMar>
            <w:left w:w="0" w:type="dxa"/>
            <w:right w:w="0" w:type="dxa"/>
          </w:tcMar>
        </w:tcPr>
        <w:p w14:paraId="7536D12C" w14:textId="77777777" w:rsidR="007D712E" w:rsidRPr="009B3B87" w:rsidRDefault="007D712E" w:rsidP="007D712E">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14:paraId="2C656CEC" w14:textId="32CA0E85" w:rsidR="007D712E" w:rsidRPr="007D712E" w:rsidRDefault="007D712E" w:rsidP="007D712E">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017DCD5" wp14:editId="0E7FCDFE">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08EA" w14:textId="77777777" w:rsidR="00350E9A" w:rsidRDefault="00350E9A" w:rsidP="00304EA1">
      <w:pPr>
        <w:spacing w:after="0" w:line="240" w:lineRule="auto"/>
      </w:pPr>
      <w:r>
        <w:separator/>
      </w:r>
    </w:p>
  </w:footnote>
  <w:footnote w:type="continuationSeparator" w:id="0">
    <w:p w14:paraId="4B573D11" w14:textId="77777777" w:rsidR="00350E9A" w:rsidRDefault="00350E9A" w:rsidP="00304EA1">
      <w:pPr>
        <w:spacing w:after="0" w:line="240" w:lineRule="auto"/>
      </w:pPr>
      <w:r>
        <w:continuationSeparator/>
      </w:r>
    </w:p>
  </w:footnote>
  <w:footnote w:type="continuationNotice" w:id="1">
    <w:p w14:paraId="4E81B965" w14:textId="77777777" w:rsidR="00C83622" w:rsidRDefault="00C83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p w14:paraId="586607E3" w14:textId="6908F52E" w:rsidR="00350E9A" w:rsidRPr="00322123" w:rsidRDefault="00946D73" w:rsidP="00A11696">
        <w:r>
          <w:t>Recognition of prior service for leave purposes Guideline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303971FA" w:rsidR="00350E9A" w:rsidRPr="00A77F1C" w:rsidRDefault="00C173C0" w:rsidP="00707E68">
    <w:pPr>
      <w:pStyle w:val="Captionsandfootnotes"/>
      <w:tabs>
        <w:tab w:val="left" w:pos="1650"/>
      </w:tabs>
      <w:rPr>
        <w:color w:val="999999" w:themeColor="accent2"/>
      </w:rPr>
    </w:pPr>
    <w:sdt>
      <w:sdtPr>
        <w:alias w:val="Title"/>
        <w:tag w:val=""/>
        <w:id w:val="-343869721"/>
        <w:placeholder>
          <w:docPart w:val="FCCFAC90966E7A439E98612076D82DAF"/>
        </w:placeholder>
        <w:dataBinding w:prefixMappings="xmlns:ns0='http://purl.org/dc/elements/1.1/' xmlns:ns1='http://schemas.openxmlformats.org/package/2006/metadata/core-properties' " w:xpath="/ns1:coreProperties[1]/ns0:title[1]" w:storeItemID="{6C3C8BC8-F283-45AE-878A-BAB7291924A1}"/>
        <w:text/>
      </w:sdtPr>
      <w:sdtContent>
        <w:r w:rsidR="00946D73">
          <w:t>Recognition of prior service for leave purposes Guideline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DF22" w14:textId="77777777" w:rsidR="007D712E" w:rsidRDefault="007D71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D366" w14:textId="77777777" w:rsidR="007D712E" w:rsidRPr="003E29B5" w:rsidRDefault="007D712E" w:rsidP="00C20890">
    <w:pP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8F6F" w14:textId="77777777" w:rsidR="007D712E" w:rsidRDefault="007D712E">
    <w:pPr>
      <w:pStyle w:val="Header"/>
    </w:pPr>
  </w:p>
</w:hdr>
</file>

<file path=word/intelligence2.xml><?xml version="1.0" encoding="utf-8"?>
<int2:intelligence xmlns:int2="http://schemas.microsoft.com/office/intelligence/2020/intelligence" xmlns:oel="http://schemas.microsoft.com/office/2019/extlst">
  <int2:observations>
    <int2:textHash int2:hashCode="nRSox3TdiEm2GZ" int2:id="WISSjmNo">
      <int2:state int2:value="Rejected" int2:type="AugLoop_Text_Critique"/>
    </int2:textHash>
    <int2:textHash int2:hashCode="hSsXQmZcBnZqni" int2:id="YLHTPfdV">
      <int2:state int2:value="Rejected" int2:type="AugLoop_Text_Critique"/>
    </int2:textHash>
    <int2:textHash int2:hashCode="xQy+KnIliT8rxm" int2:id="YjbR53Uf">
      <int2:state int2:value="Rejected" int2:type="AugLoop_Text_Critique"/>
    </int2:textHash>
    <int2:textHash int2:hashCode="oeff1ehZcQUllU" int2:id="cGMBOAmv">
      <int2:state int2:value="Rejected" int2:type="AugLoop_Text_Critique"/>
    </int2:textHash>
    <int2:textHash int2:hashCode="hN6B5b8f/AaH/i" int2:id="vw4fYsAb">
      <int2:state int2:value="Rejected" int2:type="AugLoop_Text_Critique"/>
    </int2:textHash>
    <int2:bookmark int2:bookmarkName="_Int_8By0GR5r" int2:invalidationBookmarkName="" int2:hashCode="0gBcwgbMv97fK+" int2:id="MzNb1zL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E7900"/>
    <w:multiLevelType w:val="hybridMultilevel"/>
    <w:tmpl w:val="B346F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52B42B7"/>
    <w:multiLevelType w:val="hybridMultilevel"/>
    <w:tmpl w:val="673A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4C7451"/>
    <w:multiLevelType w:val="hybridMultilevel"/>
    <w:tmpl w:val="26620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581D36"/>
    <w:multiLevelType w:val="multilevel"/>
    <w:tmpl w:val="D3EC90DE"/>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41F4AE3"/>
    <w:multiLevelType w:val="hybridMultilevel"/>
    <w:tmpl w:val="7AC45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355350">
    <w:abstractNumId w:val="23"/>
  </w:num>
  <w:num w:numId="2" w16cid:durableId="116458358">
    <w:abstractNumId w:val="21"/>
  </w:num>
  <w:num w:numId="3" w16cid:durableId="1925257724">
    <w:abstractNumId w:val="15"/>
  </w:num>
  <w:num w:numId="4" w16cid:durableId="214388723">
    <w:abstractNumId w:val="11"/>
  </w:num>
  <w:num w:numId="5" w16cid:durableId="711996426">
    <w:abstractNumId w:val="22"/>
  </w:num>
  <w:num w:numId="6" w16cid:durableId="1236934448">
    <w:abstractNumId w:val="12"/>
  </w:num>
  <w:num w:numId="7" w16cid:durableId="2021656439">
    <w:abstractNumId w:val="10"/>
  </w:num>
  <w:num w:numId="8" w16cid:durableId="329253850">
    <w:abstractNumId w:val="13"/>
  </w:num>
  <w:num w:numId="9" w16cid:durableId="1246761816">
    <w:abstractNumId w:val="20"/>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120954064">
    <w:abstractNumId w:val="18"/>
  </w:num>
  <w:num w:numId="21" w16cid:durableId="1788697291">
    <w:abstractNumId w:val="17"/>
  </w:num>
  <w:num w:numId="22" w16cid:durableId="236982047">
    <w:abstractNumId w:val="14"/>
  </w:num>
  <w:num w:numId="23" w16cid:durableId="999189974">
    <w:abstractNumId w:val="16"/>
  </w:num>
  <w:num w:numId="24" w16cid:durableId="624040521">
    <w:abstractNumId w:val="24"/>
  </w:num>
  <w:num w:numId="25" w16cid:durableId="20477560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1F56D7"/>
    <w:rsid w:val="00205431"/>
    <w:rsid w:val="00210AB7"/>
    <w:rsid w:val="002208AD"/>
    <w:rsid w:val="002214BA"/>
    <w:rsid w:val="002279BA"/>
    <w:rsid w:val="00231558"/>
    <w:rsid w:val="002329F3"/>
    <w:rsid w:val="002402F1"/>
    <w:rsid w:val="0024128D"/>
    <w:rsid w:val="00243F0D"/>
    <w:rsid w:val="00244B0A"/>
    <w:rsid w:val="0024584A"/>
    <w:rsid w:val="0024682A"/>
    <w:rsid w:val="00246892"/>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0E20"/>
    <w:rsid w:val="00362B1C"/>
    <w:rsid w:val="003652CE"/>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13AD"/>
    <w:rsid w:val="00566029"/>
    <w:rsid w:val="00584AEE"/>
    <w:rsid w:val="00586B33"/>
    <w:rsid w:val="005923CB"/>
    <w:rsid w:val="00594838"/>
    <w:rsid w:val="005B391B"/>
    <w:rsid w:val="005C76D0"/>
    <w:rsid w:val="005D3D78"/>
    <w:rsid w:val="005D4C51"/>
    <w:rsid w:val="005E17AB"/>
    <w:rsid w:val="005E2EF0"/>
    <w:rsid w:val="005F504C"/>
    <w:rsid w:val="0060353E"/>
    <w:rsid w:val="00606D8A"/>
    <w:rsid w:val="00613DCB"/>
    <w:rsid w:val="00621305"/>
    <w:rsid w:val="00621DEE"/>
    <w:rsid w:val="0062553D"/>
    <w:rsid w:val="00632FF9"/>
    <w:rsid w:val="00634764"/>
    <w:rsid w:val="00637FBC"/>
    <w:rsid w:val="00644739"/>
    <w:rsid w:val="00646463"/>
    <w:rsid w:val="00650423"/>
    <w:rsid w:val="00654760"/>
    <w:rsid w:val="006607EE"/>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D712E"/>
    <w:rsid w:val="007E1ED2"/>
    <w:rsid w:val="007E5E88"/>
    <w:rsid w:val="008027E3"/>
    <w:rsid w:val="00813C37"/>
    <w:rsid w:val="008154B5"/>
    <w:rsid w:val="00823962"/>
    <w:rsid w:val="00824E05"/>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46D73"/>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A4846"/>
    <w:rsid w:val="00AB2543"/>
    <w:rsid w:val="00AB4E23"/>
    <w:rsid w:val="00AD2E73"/>
    <w:rsid w:val="00AE7137"/>
    <w:rsid w:val="00AF1B9E"/>
    <w:rsid w:val="00AF2955"/>
    <w:rsid w:val="00AF4B2C"/>
    <w:rsid w:val="00B0738F"/>
    <w:rsid w:val="00B26601"/>
    <w:rsid w:val="00B275F7"/>
    <w:rsid w:val="00B352A6"/>
    <w:rsid w:val="00B36D42"/>
    <w:rsid w:val="00B41951"/>
    <w:rsid w:val="00B45199"/>
    <w:rsid w:val="00B45F66"/>
    <w:rsid w:val="00B465C2"/>
    <w:rsid w:val="00B52B0A"/>
    <w:rsid w:val="00B53229"/>
    <w:rsid w:val="00B60AB6"/>
    <w:rsid w:val="00B62480"/>
    <w:rsid w:val="00B65CD8"/>
    <w:rsid w:val="00B81B70"/>
    <w:rsid w:val="00BA10D9"/>
    <w:rsid w:val="00BB238F"/>
    <w:rsid w:val="00BB6346"/>
    <w:rsid w:val="00BD0724"/>
    <w:rsid w:val="00BD4472"/>
    <w:rsid w:val="00BE3DEE"/>
    <w:rsid w:val="00BE5521"/>
    <w:rsid w:val="00BF6F4C"/>
    <w:rsid w:val="00C000D6"/>
    <w:rsid w:val="00C01637"/>
    <w:rsid w:val="00C07962"/>
    <w:rsid w:val="00C07D60"/>
    <w:rsid w:val="00C173C0"/>
    <w:rsid w:val="00C20890"/>
    <w:rsid w:val="00C34684"/>
    <w:rsid w:val="00C53263"/>
    <w:rsid w:val="00C559A6"/>
    <w:rsid w:val="00C65741"/>
    <w:rsid w:val="00C6657A"/>
    <w:rsid w:val="00C73F9D"/>
    <w:rsid w:val="00C75BC5"/>
    <w:rsid w:val="00C75F1D"/>
    <w:rsid w:val="00C77D61"/>
    <w:rsid w:val="00C805B2"/>
    <w:rsid w:val="00C83622"/>
    <w:rsid w:val="00CA02DD"/>
    <w:rsid w:val="00CC2384"/>
    <w:rsid w:val="00CC53F9"/>
    <w:rsid w:val="00CC7529"/>
    <w:rsid w:val="00CD10F7"/>
    <w:rsid w:val="00CD454F"/>
    <w:rsid w:val="00CE4547"/>
    <w:rsid w:val="00D021BF"/>
    <w:rsid w:val="00D030A5"/>
    <w:rsid w:val="00D0381D"/>
    <w:rsid w:val="00D1511A"/>
    <w:rsid w:val="00D338E4"/>
    <w:rsid w:val="00D35538"/>
    <w:rsid w:val="00D47729"/>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D26F8"/>
    <w:rsid w:val="00DE2DC6"/>
    <w:rsid w:val="00DF1AF8"/>
    <w:rsid w:val="00DF4B17"/>
    <w:rsid w:val="00E00F1E"/>
    <w:rsid w:val="00E139C5"/>
    <w:rsid w:val="00E162D2"/>
    <w:rsid w:val="00E23F1D"/>
    <w:rsid w:val="00E34F5D"/>
    <w:rsid w:val="00E36361"/>
    <w:rsid w:val="00E4133C"/>
    <w:rsid w:val="00E42941"/>
    <w:rsid w:val="00E438E3"/>
    <w:rsid w:val="00E44381"/>
    <w:rsid w:val="00E55AE9"/>
    <w:rsid w:val="00E661DA"/>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550C5"/>
    <w:rsid w:val="00F61B8A"/>
    <w:rsid w:val="00F70E0B"/>
    <w:rsid w:val="00F727AB"/>
    <w:rsid w:val="00F81AA4"/>
    <w:rsid w:val="00F83DB5"/>
    <w:rsid w:val="00F86A82"/>
    <w:rsid w:val="00F93694"/>
    <w:rsid w:val="00F9544F"/>
    <w:rsid w:val="00F95799"/>
    <w:rsid w:val="00FA080C"/>
    <w:rsid w:val="00FB56CD"/>
    <w:rsid w:val="00FC2FF6"/>
    <w:rsid w:val="00FD1C20"/>
    <w:rsid w:val="00FD658C"/>
    <w:rsid w:val="02B80369"/>
    <w:rsid w:val="1F58153E"/>
    <w:rsid w:val="3CD9E997"/>
    <w:rsid w:val="4C62A720"/>
    <w:rsid w:val="56C0D14F"/>
    <w:rsid w:val="6C48DA23"/>
    <w:rsid w:val="776A9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VCAAHeading2">
    <w:name w:val="VCAA Heading 2"/>
    <w:next w:val="VCAAbody"/>
    <w:qFormat/>
    <w:rsid w:val="007D712E"/>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D712E"/>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7D712E"/>
    <w:pPr>
      <w:spacing w:before="120" w:after="120" w:line="280" w:lineRule="exact"/>
    </w:pPr>
    <w:rPr>
      <w:rFonts w:asciiTheme="majorHAnsi" w:hAnsiTheme="majorHAnsi" w:cs="Arial"/>
      <w:color w:val="000000" w:themeColor="text1"/>
      <w:sz w:val="20"/>
    </w:rPr>
  </w:style>
  <w:style w:type="paragraph" w:customStyle="1" w:styleId="VCAAbulletlevel2">
    <w:name w:val="VCAA bullet level 2"/>
    <w:basedOn w:val="Normal"/>
    <w:qFormat/>
    <w:rsid w:val="007D712E"/>
    <w:pPr>
      <w:tabs>
        <w:tab w:val="left" w:pos="425"/>
      </w:tabs>
      <w:spacing w:before="60" w:after="60" w:line="280" w:lineRule="exact"/>
      <w:ind w:left="850" w:hanging="425"/>
    </w:pPr>
    <w:rPr>
      <w:rFonts w:asciiTheme="majorHAnsi" w:eastAsia="Times New Roman" w:hAnsiTheme="majorHAnsi" w:cs="Arial"/>
      <w:color w:val="000000" w:themeColor="text1"/>
      <w:kern w:val="22"/>
      <w:sz w:val="20"/>
      <w:lang w:val="en-GB" w:eastAsia="ja-JP"/>
    </w:rPr>
  </w:style>
  <w:style w:type="paragraph" w:customStyle="1" w:styleId="VCAAHeading5">
    <w:name w:val="VCAA Heading 5"/>
    <w:basedOn w:val="Normal"/>
    <w:next w:val="VCAAbody"/>
    <w:qFormat/>
    <w:rsid w:val="007D712E"/>
    <w:pPr>
      <w:spacing w:before="240" w:after="120" w:line="320" w:lineRule="exact"/>
      <w:outlineLvl w:val="5"/>
    </w:pPr>
    <w:rPr>
      <w:rFonts w:ascii="Arial" w:hAnsi="Arial" w:cs="Arial"/>
      <w:color w:val="0F7EB4"/>
      <w:sz w:val="24"/>
      <w:szCs w:val="20"/>
      <w:lang w:val="en" w:eastAsia="en-AU"/>
    </w:rPr>
  </w:style>
  <w:style w:type="character" w:customStyle="1" w:styleId="VCAAbodyChar">
    <w:name w:val="VCAA body Char"/>
    <w:basedOn w:val="DefaultParagraphFont"/>
    <w:link w:val="VCAAbody"/>
    <w:rsid w:val="007D712E"/>
    <w:rPr>
      <w:rFonts w:asciiTheme="majorHAnsi" w:hAnsiTheme="majorHAnsi" w:cs="Arial"/>
      <w:color w:val="000000" w:themeColor="text1"/>
      <w:sz w:val="20"/>
    </w:rPr>
  </w:style>
  <w:style w:type="paragraph" w:customStyle="1" w:styleId="ESBodyText">
    <w:name w:val="ES_Body Text"/>
    <w:basedOn w:val="Normal"/>
    <w:qFormat/>
    <w:rsid w:val="007D712E"/>
    <w:pPr>
      <w:spacing w:after="120" w:line="240" w:lineRule="atLeast"/>
    </w:pPr>
    <w:rPr>
      <w:rFonts w:ascii="Arial" w:eastAsiaTheme="minorEastAsia" w:hAnsi="Arial" w:cs="Arial"/>
      <w:sz w:val="18"/>
      <w:szCs w:val="18"/>
    </w:rPr>
  </w:style>
  <w:style w:type="character" w:customStyle="1" w:styleId="normaltextrun">
    <w:name w:val="normaltextrun"/>
    <w:basedOn w:val="DefaultParagraphFont"/>
    <w:rsid w:val="007D712E"/>
  </w:style>
  <w:style w:type="character" w:customStyle="1" w:styleId="eop">
    <w:name w:val="eop"/>
    <w:basedOn w:val="DefaultParagraphFont"/>
    <w:rsid w:val="007D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vcaa.publications@education.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caa.copyright@edumail.vic.gov.au" TargetMode="External"/><Relationship Id="rId25" Type="http://schemas.openxmlformats.org/officeDocument/2006/relationships/hyperlink" Target="https://www.dtf.vic.gov.au/funds-programs-and-policies/victorian-public-service-enterprise-agreement-2024"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vcaa.vic.edu.au/Pages/HomePage.aspx"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caa.vic.edu.au/Documents/workwithus/HR/VCAADelegationsFramework.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ic.gov.au/proposed-enterprise-agreement-2024"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Footer/Pages/Copyright.aspx"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FCCFAC90966E7A439E98612076D82DAF"/>
        <w:category>
          <w:name w:val="General"/>
          <w:gallery w:val="placeholder"/>
        </w:category>
        <w:types>
          <w:type w:val="bbPlcHdr"/>
        </w:types>
        <w:behaviors>
          <w:behavior w:val="content"/>
        </w:behaviors>
        <w:guid w:val="{0912B276-91A3-9640-BCCE-3CBCC65CBCA2}"/>
      </w:docPartPr>
      <w:docPartBody>
        <w:p w:rsidR="0024584A" w:rsidRDefault="0024584A" w:rsidP="0024584A">
          <w:pPr>
            <w:pStyle w:val="FCCFAC90966E7A439E98612076D82DAF"/>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F56D7"/>
    <w:rsid w:val="0024584A"/>
    <w:rsid w:val="00266E53"/>
    <w:rsid w:val="003652CE"/>
    <w:rsid w:val="004567A0"/>
    <w:rsid w:val="00472EE5"/>
    <w:rsid w:val="00481C96"/>
    <w:rsid w:val="00527FD8"/>
    <w:rsid w:val="0060353E"/>
    <w:rsid w:val="007B2E6C"/>
    <w:rsid w:val="009273EB"/>
    <w:rsid w:val="00A67188"/>
    <w:rsid w:val="00AD2E73"/>
    <w:rsid w:val="00BA10D9"/>
    <w:rsid w:val="00D57C55"/>
    <w:rsid w:val="00DD26F8"/>
    <w:rsid w:val="00F04BA1"/>
    <w:rsid w:val="00F727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84A"/>
    <w:rPr>
      <w:color w:val="808080"/>
    </w:rPr>
  </w:style>
  <w:style w:type="paragraph" w:customStyle="1" w:styleId="75BD38B864049E4CB05FD22C1CB75C76">
    <w:name w:val="75BD38B864049E4CB05FD22C1CB75C76"/>
  </w:style>
  <w:style w:type="paragraph" w:customStyle="1" w:styleId="FCCFAC90966E7A439E98612076D82DAF">
    <w:name w:val="FCCFAC90966E7A439E98612076D82DAF"/>
    <w:rsid w:val="0024584A"/>
    <w:pPr>
      <w:spacing w:after="160" w:line="278" w:lineRule="auto"/>
    </w:pPr>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dcmitype/"/>
    <ds:schemaRef ds:uri="http://purl.org/dc/terms/"/>
    <ds:schemaRef ds:uri="http://schemas.microsoft.com/office/2006/metadata/properties"/>
    <ds:schemaRef ds:uri="1dfda961-1ef8-479d-a039-ba17e335c3a2"/>
    <ds:schemaRef ds:uri="http://schemas.microsoft.com/office/2006/documentManagement/types"/>
    <ds:schemaRef ds:uri="http://www.w3.org/XML/1998/namespace"/>
    <ds:schemaRef ds:uri="603ce84b-db6c-4b71-aec5-1961e312b7c3"/>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FAF6CD25-AE72-4FCA-B46C-3A0437581774}"/>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11115</Characters>
  <Application>Microsoft Office Word</Application>
  <DocSecurity>4</DocSecurity>
  <Lines>92</Lines>
  <Paragraphs>26</Paragraphs>
  <ScaleCrop>false</ScaleCrop>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service for leave purposes Guideline</dc:title>
  <dc:subject/>
  <dc:creator/>
  <cp:keywords/>
  <cp:lastModifiedBy>Shivani Thakur</cp:lastModifiedBy>
  <cp:revision>6</cp:revision>
  <dcterms:created xsi:type="dcterms:W3CDTF">2024-09-24T00:53:00Z</dcterms:created>
  <dcterms:modified xsi:type="dcterms:W3CDTF">2024-09-25T04:16:00Z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