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4C05CD" w:rsidRDefault="00241099" w14:paraId="050E2465" w14:textId="6408DD80">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t>Salary and p</w:t>
              </w:r>
              <w:r w:rsidR="004C05CD">
                <w:t xml:space="preserve">ayroll </w:t>
              </w:r>
              <w:r>
                <w:t>guidelines</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1CECEBB0">
      <w:pPr>
        <w:pStyle w:val="VCAAtrademarkinfo"/>
        <w:rPr>
          <w:lang w:val="en-AU"/>
        </w:rPr>
      </w:pPr>
      <w:r w:rsidRPr="00210AB7">
        <w:rPr>
          <w:lang w:val="en-AU"/>
        </w:rPr>
        <w:t xml:space="preserve">© Victorian Curriculum and Assessment Authority </w:t>
      </w:r>
      <w:r w:rsidR="004C05CD">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241099" w:rsidRDefault="007B04F0" w14:paraId="695B8D56" w14:textId="13D5376C">
      <w:pPr>
        <w:pStyle w:val="TOC1"/>
        <w:tabs>
          <w:tab w:val="left" w:pos="442"/>
        </w:tabs>
        <w:rPr>
          <w:rFonts w:asciiTheme="minorHAnsi" w:hAnsiTheme="minorHAnsi" w:eastAsiaTheme="minorEastAsia" w:cstheme="minorBidi"/>
          <w:b w:val="0"/>
          <w:bCs w:val="0"/>
          <w:kern w:val="2"/>
          <w:sz w:val="22"/>
          <w:szCs w:val="22"/>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1424598">
        <w:r w:rsidRPr="0005013C" w:rsidR="00241099">
          <w:rPr>
            <w:rStyle w:val="Hyperlink"/>
          </w:rPr>
          <w:t>1.</w:t>
        </w:r>
        <w:r w:rsidR="00241099">
          <w:rPr>
            <w:rFonts w:asciiTheme="minorHAnsi" w:hAnsiTheme="minorHAnsi" w:eastAsiaTheme="minorEastAsia" w:cstheme="minorBidi"/>
            <w:b w:val="0"/>
            <w:bCs w:val="0"/>
            <w:kern w:val="2"/>
            <w:sz w:val="22"/>
            <w:szCs w:val="22"/>
            <w14:ligatures w14:val="standardContextual"/>
          </w:rPr>
          <w:tab/>
        </w:r>
        <w:r w:rsidRPr="0005013C" w:rsidR="00241099">
          <w:rPr>
            <w:rStyle w:val="Hyperlink"/>
          </w:rPr>
          <w:t>Overview</w:t>
        </w:r>
        <w:r w:rsidR="00241099">
          <w:rPr>
            <w:webHidden/>
          </w:rPr>
          <w:tab/>
        </w:r>
        <w:r w:rsidR="00241099">
          <w:rPr>
            <w:webHidden/>
          </w:rPr>
          <w:fldChar w:fldCharType="begin"/>
        </w:r>
        <w:r w:rsidR="00241099">
          <w:rPr>
            <w:webHidden/>
          </w:rPr>
          <w:instrText xml:space="preserve"> PAGEREF _Toc171424598 \h </w:instrText>
        </w:r>
        <w:r w:rsidR="00241099">
          <w:rPr>
            <w:webHidden/>
          </w:rPr>
        </w:r>
        <w:r w:rsidR="00241099">
          <w:rPr>
            <w:webHidden/>
          </w:rPr>
          <w:fldChar w:fldCharType="separate"/>
        </w:r>
        <w:r w:rsidR="00241099">
          <w:rPr>
            <w:webHidden/>
          </w:rPr>
          <w:t>1</w:t>
        </w:r>
        <w:r w:rsidR="00241099">
          <w:rPr>
            <w:webHidden/>
          </w:rPr>
          <w:fldChar w:fldCharType="end"/>
        </w:r>
      </w:hyperlink>
    </w:p>
    <w:p w:rsidR="00241099" w:rsidRDefault="00241099" w14:paraId="784A18FF" w14:textId="7D38574D">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599">
        <w:r w:rsidRPr="0005013C">
          <w:rPr>
            <w:rStyle w:val="Hyperlink"/>
          </w:rPr>
          <w:t>2.</w:t>
        </w:r>
        <w:r>
          <w:rPr>
            <w:rFonts w:asciiTheme="minorHAnsi" w:hAnsiTheme="minorHAnsi" w:eastAsiaTheme="minorEastAsia" w:cstheme="minorBidi"/>
            <w:b w:val="0"/>
            <w:bCs w:val="0"/>
            <w:kern w:val="2"/>
            <w:sz w:val="22"/>
            <w:szCs w:val="22"/>
            <w14:ligatures w14:val="standardContextual"/>
          </w:rPr>
          <w:tab/>
        </w:r>
        <w:r w:rsidRPr="0005013C">
          <w:rPr>
            <w:rStyle w:val="Hyperlink"/>
          </w:rPr>
          <w:t>Objectives</w:t>
        </w:r>
        <w:r>
          <w:rPr>
            <w:webHidden/>
          </w:rPr>
          <w:tab/>
        </w:r>
        <w:r>
          <w:rPr>
            <w:webHidden/>
          </w:rPr>
          <w:fldChar w:fldCharType="begin"/>
        </w:r>
        <w:r>
          <w:rPr>
            <w:webHidden/>
          </w:rPr>
          <w:instrText xml:space="preserve"> PAGEREF _Toc171424599 \h </w:instrText>
        </w:r>
        <w:r>
          <w:rPr>
            <w:webHidden/>
          </w:rPr>
        </w:r>
        <w:r>
          <w:rPr>
            <w:webHidden/>
          </w:rPr>
          <w:fldChar w:fldCharType="separate"/>
        </w:r>
        <w:r>
          <w:rPr>
            <w:webHidden/>
          </w:rPr>
          <w:t>1</w:t>
        </w:r>
        <w:r>
          <w:rPr>
            <w:webHidden/>
          </w:rPr>
          <w:fldChar w:fldCharType="end"/>
        </w:r>
      </w:hyperlink>
    </w:p>
    <w:p w:rsidR="00241099" w:rsidRDefault="00241099" w14:paraId="4DADD909" w14:textId="57B4B282">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600">
        <w:r w:rsidRPr="0005013C">
          <w:rPr>
            <w:rStyle w:val="Hyperlink"/>
          </w:rPr>
          <w:t>3.</w:t>
        </w:r>
        <w:r>
          <w:rPr>
            <w:rFonts w:asciiTheme="minorHAnsi" w:hAnsiTheme="minorHAnsi" w:eastAsiaTheme="minorEastAsia" w:cstheme="minorBidi"/>
            <w:b w:val="0"/>
            <w:bCs w:val="0"/>
            <w:kern w:val="2"/>
            <w:sz w:val="22"/>
            <w:szCs w:val="22"/>
            <w14:ligatures w14:val="standardContextual"/>
          </w:rPr>
          <w:tab/>
        </w:r>
        <w:r w:rsidRPr="0005013C">
          <w:rPr>
            <w:rStyle w:val="Hyperlink"/>
          </w:rPr>
          <w:t>Principals</w:t>
        </w:r>
        <w:r>
          <w:rPr>
            <w:webHidden/>
          </w:rPr>
          <w:tab/>
        </w:r>
        <w:r>
          <w:rPr>
            <w:webHidden/>
          </w:rPr>
          <w:fldChar w:fldCharType="begin"/>
        </w:r>
        <w:r>
          <w:rPr>
            <w:webHidden/>
          </w:rPr>
          <w:instrText xml:space="preserve"> PAGEREF _Toc171424600 \h </w:instrText>
        </w:r>
        <w:r>
          <w:rPr>
            <w:webHidden/>
          </w:rPr>
        </w:r>
        <w:r>
          <w:rPr>
            <w:webHidden/>
          </w:rPr>
          <w:fldChar w:fldCharType="separate"/>
        </w:r>
        <w:r>
          <w:rPr>
            <w:webHidden/>
          </w:rPr>
          <w:t>1</w:t>
        </w:r>
        <w:r>
          <w:rPr>
            <w:webHidden/>
          </w:rPr>
          <w:fldChar w:fldCharType="end"/>
        </w:r>
      </w:hyperlink>
    </w:p>
    <w:p w:rsidR="00241099" w:rsidRDefault="00241099" w14:paraId="216C056A" w14:textId="1DE8915C">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1">
        <w:r w:rsidRPr="0005013C">
          <w:rPr>
            <w:rStyle w:val="Hyperlink"/>
          </w:rPr>
          <w:t>3.1.</w:t>
        </w:r>
        <w:r>
          <w:rPr>
            <w:rFonts w:asciiTheme="minorHAnsi" w:hAnsiTheme="minorHAnsi" w:eastAsiaTheme="minorEastAsia" w:cstheme="minorBidi"/>
            <w:kern w:val="2"/>
            <w:sz w:val="22"/>
            <w:szCs w:val="22"/>
            <w14:ligatures w14:val="standardContextual"/>
          </w:rPr>
          <w:tab/>
        </w:r>
        <w:r w:rsidRPr="0005013C">
          <w:rPr>
            <w:rStyle w:val="Hyperlink"/>
          </w:rPr>
          <w:t>Fairness and efficiency</w:t>
        </w:r>
        <w:r>
          <w:rPr>
            <w:webHidden/>
          </w:rPr>
          <w:tab/>
        </w:r>
        <w:r>
          <w:rPr>
            <w:webHidden/>
          </w:rPr>
          <w:fldChar w:fldCharType="begin"/>
        </w:r>
        <w:r>
          <w:rPr>
            <w:webHidden/>
          </w:rPr>
          <w:instrText xml:space="preserve"> PAGEREF _Toc171424601 \h </w:instrText>
        </w:r>
        <w:r>
          <w:rPr>
            <w:webHidden/>
          </w:rPr>
        </w:r>
        <w:r>
          <w:rPr>
            <w:webHidden/>
          </w:rPr>
          <w:fldChar w:fldCharType="separate"/>
        </w:r>
        <w:r>
          <w:rPr>
            <w:webHidden/>
          </w:rPr>
          <w:t>1</w:t>
        </w:r>
        <w:r>
          <w:rPr>
            <w:webHidden/>
          </w:rPr>
          <w:fldChar w:fldCharType="end"/>
        </w:r>
      </w:hyperlink>
    </w:p>
    <w:p w:rsidR="00241099" w:rsidRDefault="00241099" w14:paraId="48187080" w14:textId="600B931E">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2">
        <w:r w:rsidRPr="0005013C">
          <w:rPr>
            <w:rStyle w:val="Hyperlink"/>
          </w:rPr>
          <w:t>3.2.</w:t>
        </w:r>
        <w:r>
          <w:rPr>
            <w:rFonts w:asciiTheme="minorHAnsi" w:hAnsiTheme="minorHAnsi" w:eastAsiaTheme="minorEastAsia" w:cstheme="minorBidi"/>
            <w:kern w:val="2"/>
            <w:sz w:val="22"/>
            <w:szCs w:val="22"/>
            <w14:ligatures w14:val="standardContextual"/>
          </w:rPr>
          <w:tab/>
        </w:r>
        <w:r w:rsidRPr="0005013C">
          <w:rPr>
            <w:rStyle w:val="Hyperlink"/>
          </w:rPr>
          <w:t>Transparency</w:t>
        </w:r>
        <w:r>
          <w:rPr>
            <w:webHidden/>
          </w:rPr>
          <w:tab/>
        </w:r>
        <w:r>
          <w:rPr>
            <w:webHidden/>
          </w:rPr>
          <w:fldChar w:fldCharType="begin"/>
        </w:r>
        <w:r>
          <w:rPr>
            <w:webHidden/>
          </w:rPr>
          <w:instrText xml:space="preserve"> PAGEREF _Toc171424602 \h </w:instrText>
        </w:r>
        <w:r>
          <w:rPr>
            <w:webHidden/>
          </w:rPr>
        </w:r>
        <w:r>
          <w:rPr>
            <w:webHidden/>
          </w:rPr>
          <w:fldChar w:fldCharType="separate"/>
        </w:r>
        <w:r>
          <w:rPr>
            <w:webHidden/>
          </w:rPr>
          <w:t>1</w:t>
        </w:r>
        <w:r>
          <w:rPr>
            <w:webHidden/>
          </w:rPr>
          <w:fldChar w:fldCharType="end"/>
        </w:r>
      </w:hyperlink>
    </w:p>
    <w:p w:rsidR="00241099" w:rsidRDefault="00241099" w14:paraId="6CA0B2CB" w14:textId="4D13D0F2">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3">
        <w:r w:rsidRPr="0005013C">
          <w:rPr>
            <w:rStyle w:val="Hyperlink"/>
          </w:rPr>
          <w:t>3.3.</w:t>
        </w:r>
        <w:r>
          <w:rPr>
            <w:rFonts w:asciiTheme="minorHAnsi" w:hAnsiTheme="minorHAnsi" w:eastAsiaTheme="minorEastAsia" w:cstheme="minorBidi"/>
            <w:kern w:val="2"/>
            <w:sz w:val="22"/>
            <w:szCs w:val="22"/>
            <w14:ligatures w14:val="standardContextual"/>
          </w:rPr>
          <w:tab/>
        </w:r>
        <w:r w:rsidRPr="0005013C">
          <w:rPr>
            <w:rStyle w:val="Hyperlink"/>
          </w:rPr>
          <w:t>Compliance</w:t>
        </w:r>
        <w:r>
          <w:rPr>
            <w:webHidden/>
          </w:rPr>
          <w:tab/>
        </w:r>
        <w:r>
          <w:rPr>
            <w:webHidden/>
          </w:rPr>
          <w:fldChar w:fldCharType="begin"/>
        </w:r>
        <w:r>
          <w:rPr>
            <w:webHidden/>
          </w:rPr>
          <w:instrText xml:space="preserve"> PAGEREF _Toc171424603 \h </w:instrText>
        </w:r>
        <w:r>
          <w:rPr>
            <w:webHidden/>
          </w:rPr>
        </w:r>
        <w:r>
          <w:rPr>
            <w:webHidden/>
          </w:rPr>
          <w:fldChar w:fldCharType="separate"/>
        </w:r>
        <w:r>
          <w:rPr>
            <w:webHidden/>
          </w:rPr>
          <w:t>1</w:t>
        </w:r>
        <w:r>
          <w:rPr>
            <w:webHidden/>
          </w:rPr>
          <w:fldChar w:fldCharType="end"/>
        </w:r>
      </w:hyperlink>
    </w:p>
    <w:p w:rsidR="00241099" w:rsidRDefault="00241099" w14:paraId="6BF7FCD8" w14:textId="2AF17FB9">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4">
        <w:r w:rsidRPr="0005013C">
          <w:rPr>
            <w:rStyle w:val="Hyperlink"/>
          </w:rPr>
          <w:t>3.4.</w:t>
        </w:r>
        <w:r>
          <w:rPr>
            <w:rFonts w:asciiTheme="minorHAnsi" w:hAnsiTheme="minorHAnsi" w:eastAsiaTheme="minorEastAsia" w:cstheme="minorBidi"/>
            <w:kern w:val="2"/>
            <w:sz w:val="22"/>
            <w:szCs w:val="22"/>
            <w14:ligatures w14:val="standardContextual"/>
          </w:rPr>
          <w:tab/>
        </w:r>
        <w:r w:rsidRPr="0005013C">
          <w:rPr>
            <w:rStyle w:val="Hyperlink"/>
          </w:rPr>
          <w:t>Accuracy and consistency</w:t>
        </w:r>
        <w:r>
          <w:rPr>
            <w:webHidden/>
          </w:rPr>
          <w:tab/>
        </w:r>
        <w:r>
          <w:rPr>
            <w:webHidden/>
          </w:rPr>
          <w:fldChar w:fldCharType="begin"/>
        </w:r>
        <w:r>
          <w:rPr>
            <w:webHidden/>
          </w:rPr>
          <w:instrText xml:space="preserve"> PAGEREF _Toc171424604 \h </w:instrText>
        </w:r>
        <w:r>
          <w:rPr>
            <w:webHidden/>
          </w:rPr>
        </w:r>
        <w:r>
          <w:rPr>
            <w:webHidden/>
          </w:rPr>
          <w:fldChar w:fldCharType="separate"/>
        </w:r>
        <w:r>
          <w:rPr>
            <w:webHidden/>
          </w:rPr>
          <w:t>1</w:t>
        </w:r>
        <w:r>
          <w:rPr>
            <w:webHidden/>
          </w:rPr>
          <w:fldChar w:fldCharType="end"/>
        </w:r>
      </w:hyperlink>
    </w:p>
    <w:p w:rsidR="00241099" w:rsidRDefault="00241099" w14:paraId="23ABE847" w14:textId="210069CE">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605">
        <w:r w:rsidRPr="0005013C">
          <w:rPr>
            <w:rStyle w:val="Hyperlink"/>
          </w:rPr>
          <w:t>4.</w:t>
        </w:r>
        <w:r>
          <w:rPr>
            <w:rFonts w:asciiTheme="minorHAnsi" w:hAnsiTheme="minorHAnsi" w:eastAsiaTheme="minorEastAsia" w:cstheme="minorBidi"/>
            <w:b w:val="0"/>
            <w:bCs w:val="0"/>
            <w:kern w:val="2"/>
            <w:sz w:val="22"/>
            <w:szCs w:val="22"/>
            <w14:ligatures w14:val="standardContextual"/>
          </w:rPr>
          <w:tab/>
        </w:r>
        <w:r w:rsidRPr="0005013C">
          <w:rPr>
            <w:rStyle w:val="Hyperlink"/>
          </w:rPr>
          <w:t>Roles and responsibilities</w:t>
        </w:r>
        <w:r>
          <w:rPr>
            <w:webHidden/>
          </w:rPr>
          <w:tab/>
        </w:r>
        <w:r>
          <w:rPr>
            <w:webHidden/>
          </w:rPr>
          <w:fldChar w:fldCharType="begin"/>
        </w:r>
        <w:r>
          <w:rPr>
            <w:webHidden/>
          </w:rPr>
          <w:instrText xml:space="preserve"> PAGEREF _Toc171424605 \h </w:instrText>
        </w:r>
        <w:r>
          <w:rPr>
            <w:webHidden/>
          </w:rPr>
        </w:r>
        <w:r>
          <w:rPr>
            <w:webHidden/>
          </w:rPr>
          <w:fldChar w:fldCharType="separate"/>
        </w:r>
        <w:r>
          <w:rPr>
            <w:webHidden/>
          </w:rPr>
          <w:t>1</w:t>
        </w:r>
        <w:r>
          <w:rPr>
            <w:webHidden/>
          </w:rPr>
          <w:fldChar w:fldCharType="end"/>
        </w:r>
      </w:hyperlink>
    </w:p>
    <w:p w:rsidR="00241099" w:rsidRDefault="00241099" w14:paraId="14FA9E5F" w14:textId="61F41D3A">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6">
        <w:r w:rsidRPr="0005013C">
          <w:rPr>
            <w:rStyle w:val="Hyperlink"/>
          </w:rPr>
          <w:t>4.1.</w:t>
        </w:r>
        <w:r>
          <w:rPr>
            <w:rFonts w:asciiTheme="minorHAnsi" w:hAnsiTheme="minorHAnsi" w:eastAsiaTheme="minorEastAsia" w:cstheme="minorBidi"/>
            <w:kern w:val="2"/>
            <w:sz w:val="22"/>
            <w:szCs w:val="22"/>
            <w14:ligatures w14:val="standardContextual"/>
          </w:rPr>
          <w:tab/>
        </w:r>
        <w:r w:rsidRPr="0005013C">
          <w:rPr>
            <w:rStyle w:val="Hyperlink"/>
          </w:rPr>
          <w:t>The employer</w:t>
        </w:r>
        <w:r>
          <w:rPr>
            <w:webHidden/>
          </w:rPr>
          <w:tab/>
        </w:r>
        <w:r>
          <w:rPr>
            <w:webHidden/>
          </w:rPr>
          <w:fldChar w:fldCharType="begin"/>
        </w:r>
        <w:r>
          <w:rPr>
            <w:webHidden/>
          </w:rPr>
          <w:instrText xml:space="preserve"> PAGEREF _Toc171424606 \h </w:instrText>
        </w:r>
        <w:r>
          <w:rPr>
            <w:webHidden/>
          </w:rPr>
        </w:r>
        <w:r>
          <w:rPr>
            <w:webHidden/>
          </w:rPr>
          <w:fldChar w:fldCharType="separate"/>
        </w:r>
        <w:r>
          <w:rPr>
            <w:webHidden/>
          </w:rPr>
          <w:t>1</w:t>
        </w:r>
        <w:r>
          <w:rPr>
            <w:webHidden/>
          </w:rPr>
          <w:fldChar w:fldCharType="end"/>
        </w:r>
      </w:hyperlink>
    </w:p>
    <w:p w:rsidR="00241099" w:rsidRDefault="00241099" w14:paraId="6D9A6D4A" w14:textId="6F8DDBBB">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7">
        <w:r w:rsidRPr="0005013C">
          <w:rPr>
            <w:rStyle w:val="Hyperlink"/>
          </w:rPr>
          <w:t>4.2.</w:t>
        </w:r>
        <w:r>
          <w:rPr>
            <w:rFonts w:asciiTheme="minorHAnsi" w:hAnsiTheme="minorHAnsi" w:eastAsiaTheme="minorEastAsia" w:cstheme="minorBidi"/>
            <w:kern w:val="2"/>
            <w:sz w:val="22"/>
            <w:szCs w:val="22"/>
            <w14:ligatures w14:val="standardContextual"/>
          </w:rPr>
          <w:tab/>
        </w:r>
        <w:r w:rsidRPr="0005013C">
          <w:rPr>
            <w:rStyle w:val="Hyperlink"/>
          </w:rPr>
          <w:t>Employees</w:t>
        </w:r>
        <w:r>
          <w:rPr>
            <w:webHidden/>
          </w:rPr>
          <w:tab/>
        </w:r>
        <w:r>
          <w:rPr>
            <w:webHidden/>
          </w:rPr>
          <w:fldChar w:fldCharType="begin"/>
        </w:r>
        <w:r>
          <w:rPr>
            <w:webHidden/>
          </w:rPr>
          <w:instrText xml:space="preserve"> PAGEREF _Toc171424607 \h </w:instrText>
        </w:r>
        <w:r>
          <w:rPr>
            <w:webHidden/>
          </w:rPr>
        </w:r>
        <w:r>
          <w:rPr>
            <w:webHidden/>
          </w:rPr>
          <w:fldChar w:fldCharType="separate"/>
        </w:r>
        <w:r>
          <w:rPr>
            <w:webHidden/>
          </w:rPr>
          <w:t>2</w:t>
        </w:r>
        <w:r>
          <w:rPr>
            <w:webHidden/>
          </w:rPr>
          <w:fldChar w:fldCharType="end"/>
        </w:r>
      </w:hyperlink>
    </w:p>
    <w:p w:rsidR="00241099" w:rsidRDefault="00241099" w14:paraId="585F945C" w14:textId="7476CBEA">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608">
        <w:r w:rsidRPr="0005013C">
          <w:rPr>
            <w:rStyle w:val="Hyperlink"/>
          </w:rPr>
          <w:t>5.</w:t>
        </w:r>
        <w:r>
          <w:rPr>
            <w:rFonts w:asciiTheme="minorHAnsi" w:hAnsiTheme="minorHAnsi" w:eastAsiaTheme="minorEastAsia" w:cstheme="minorBidi"/>
            <w:b w:val="0"/>
            <w:bCs w:val="0"/>
            <w:kern w:val="2"/>
            <w:sz w:val="22"/>
            <w:szCs w:val="22"/>
            <w14:ligatures w14:val="standardContextual"/>
          </w:rPr>
          <w:tab/>
        </w:r>
        <w:r w:rsidRPr="0005013C">
          <w:rPr>
            <w:rStyle w:val="Hyperlink"/>
          </w:rPr>
          <w:t>Expectations</w:t>
        </w:r>
        <w:r>
          <w:rPr>
            <w:webHidden/>
          </w:rPr>
          <w:tab/>
        </w:r>
        <w:r>
          <w:rPr>
            <w:webHidden/>
          </w:rPr>
          <w:fldChar w:fldCharType="begin"/>
        </w:r>
        <w:r>
          <w:rPr>
            <w:webHidden/>
          </w:rPr>
          <w:instrText xml:space="preserve"> PAGEREF _Toc171424608 \h </w:instrText>
        </w:r>
        <w:r>
          <w:rPr>
            <w:webHidden/>
          </w:rPr>
        </w:r>
        <w:r>
          <w:rPr>
            <w:webHidden/>
          </w:rPr>
          <w:fldChar w:fldCharType="separate"/>
        </w:r>
        <w:r>
          <w:rPr>
            <w:webHidden/>
          </w:rPr>
          <w:t>2</w:t>
        </w:r>
        <w:r>
          <w:rPr>
            <w:webHidden/>
          </w:rPr>
          <w:fldChar w:fldCharType="end"/>
        </w:r>
      </w:hyperlink>
    </w:p>
    <w:p w:rsidR="00241099" w:rsidRDefault="00241099" w14:paraId="65CB7D96" w14:textId="246C4E8A">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09">
        <w:r w:rsidRPr="0005013C">
          <w:rPr>
            <w:rStyle w:val="Hyperlink"/>
          </w:rPr>
          <w:t>5.1.</w:t>
        </w:r>
        <w:r>
          <w:rPr>
            <w:rFonts w:asciiTheme="minorHAnsi" w:hAnsiTheme="minorHAnsi" w:eastAsiaTheme="minorEastAsia" w:cstheme="minorBidi"/>
            <w:kern w:val="2"/>
            <w:sz w:val="22"/>
            <w:szCs w:val="22"/>
            <w14:ligatures w14:val="standardContextual"/>
          </w:rPr>
          <w:tab/>
        </w:r>
        <w:r w:rsidRPr="0005013C">
          <w:rPr>
            <w:rStyle w:val="Hyperlink"/>
          </w:rPr>
          <w:t>Payment of salary</w:t>
        </w:r>
        <w:r>
          <w:rPr>
            <w:webHidden/>
          </w:rPr>
          <w:tab/>
        </w:r>
        <w:r>
          <w:rPr>
            <w:webHidden/>
          </w:rPr>
          <w:fldChar w:fldCharType="begin"/>
        </w:r>
        <w:r>
          <w:rPr>
            <w:webHidden/>
          </w:rPr>
          <w:instrText xml:space="preserve"> PAGEREF _Toc171424609 \h </w:instrText>
        </w:r>
        <w:r>
          <w:rPr>
            <w:webHidden/>
          </w:rPr>
        </w:r>
        <w:r>
          <w:rPr>
            <w:webHidden/>
          </w:rPr>
          <w:fldChar w:fldCharType="separate"/>
        </w:r>
        <w:r>
          <w:rPr>
            <w:webHidden/>
          </w:rPr>
          <w:t>2</w:t>
        </w:r>
        <w:r>
          <w:rPr>
            <w:webHidden/>
          </w:rPr>
          <w:fldChar w:fldCharType="end"/>
        </w:r>
      </w:hyperlink>
    </w:p>
    <w:p w:rsidR="00241099" w:rsidRDefault="00241099" w14:paraId="4A9DE079" w14:textId="67C0D45C">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0">
        <w:r w:rsidRPr="0005013C">
          <w:rPr>
            <w:rStyle w:val="Hyperlink"/>
          </w:rPr>
          <w:t>5.2.</w:t>
        </w:r>
        <w:r>
          <w:rPr>
            <w:rFonts w:asciiTheme="minorHAnsi" w:hAnsiTheme="minorHAnsi" w:eastAsiaTheme="minorEastAsia" w:cstheme="minorBidi"/>
            <w:kern w:val="2"/>
            <w:sz w:val="22"/>
            <w:szCs w:val="22"/>
            <w14:ligatures w14:val="standardContextual"/>
          </w:rPr>
          <w:tab/>
        </w:r>
        <w:r w:rsidRPr="0005013C">
          <w:rPr>
            <w:rStyle w:val="Hyperlink"/>
          </w:rPr>
          <w:t>Changing account details</w:t>
        </w:r>
        <w:r>
          <w:rPr>
            <w:webHidden/>
          </w:rPr>
          <w:tab/>
        </w:r>
        <w:r>
          <w:rPr>
            <w:webHidden/>
          </w:rPr>
          <w:fldChar w:fldCharType="begin"/>
        </w:r>
        <w:r>
          <w:rPr>
            <w:webHidden/>
          </w:rPr>
          <w:instrText xml:space="preserve"> PAGEREF _Toc171424610 \h </w:instrText>
        </w:r>
        <w:r>
          <w:rPr>
            <w:webHidden/>
          </w:rPr>
        </w:r>
        <w:r>
          <w:rPr>
            <w:webHidden/>
          </w:rPr>
          <w:fldChar w:fldCharType="separate"/>
        </w:r>
        <w:r>
          <w:rPr>
            <w:webHidden/>
          </w:rPr>
          <w:t>2</w:t>
        </w:r>
        <w:r>
          <w:rPr>
            <w:webHidden/>
          </w:rPr>
          <w:fldChar w:fldCharType="end"/>
        </w:r>
      </w:hyperlink>
    </w:p>
    <w:p w:rsidR="00241099" w:rsidRDefault="00241099" w14:paraId="25B95AE6" w14:textId="3A0EF48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1">
        <w:r w:rsidRPr="0005013C">
          <w:rPr>
            <w:rStyle w:val="Hyperlink"/>
          </w:rPr>
          <w:t>5.3.</w:t>
        </w:r>
        <w:r>
          <w:rPr>
            <w:rFonts w:asciiTheme="minorHAnsi" w:hAnsiTheme="minorHAnsi" w:eastAsiaTheme="minorEastAsia" w:cstheme="minorBidi"/>
            <w:kern w:val="2"/>
            <w:sz w:val="22"/>
            <w:szCs w:val="22"/>
            <w14:ligatures w14:val="standardContextual"/>
          </w:rPr>
          <w:tab/>
        </w:r>
        <w:r w:rsidRPr="0005013C">
          <w:rPr>
            <w:rStyle w:val="Hyperlink"/>
          </w:rPr>
          <w:t>Overpayments</w:t>
        </w:r>
        <w:r>
          <w:rPr>
            <w:webHidden/>
          </w:rPr>
          <w:tab/>
        </w:r>
        <w:r>
          <w:rPr>
            <w:webHidden/>
          </w:rPr>
          <w:fldChar w:fldCharType="begin"/>
        </w:r>
        <w:r>
          <w:rPr>
            <w:webHidden/>
          </w:rPr>
          <w:instrText xml:space="preserve"> PAGEREF _Toc171424611 \h </w:instrText>
        </w:r>
        <w:r>
          <w:rPr>
            <w:webHidden/>
          </w:rPr>
        </w:r>
        <w:r>
          <w:rPr>
            <w:webHidden/>
          </w:rPr>
          <w:fldChar w:fldCharType="separate"/>
        </w:r>
        <w:r>
          <w:rPr>
            <w:webHidden/>
          </w:rPr>
          <w:t>2</w:t>
        </w:r>
        <w:r>
          <w:rPr>
            <w:webHidden/>
          </w:rPr>
          <w:fldChar w:fldCharType="end"/>
        </w:r>
      </w:hyperlink>
    </w:p>
    <w:p w:rsidR="00241099" w:rsidRDefault="00241099" w14:paraId="52E0F455" w14:textId="0CD87DE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2">
        <w:r w:rsidRPr="0005013C">
          <w:rPr>
            <w:rStyle w:val="Hyperlink"/>
          </w:rPr>
          <w:t>5.4.</w:t>
        </w:r>
        <w:r>
          <w:rPr>
            <w:rFonts w:asciiTheme="minorHAnsi" w:hAnsiTheme="minorHAnsi" w:eastAsiaTheme="minorEastAsia" w:cstheme="minorBidi"/>
            <w:kern w:val="2"/>
            <w:sz w:val="22"/>
            <w:szCs w:val="22"/>
            <w14:ligatures w14:val="standardContextual"/>
          </w:rPr>
          <w:tab/>
        </w:r>
        <w:r w:rsidRPr="0005013C">
          <w:rPr>
            <w:rStyle w:val="Hyperlink"/>
          </w:rPr>
          <w:t>Timesheet submission</w:t>
        </w:r>
        <w:r>
          <w:rPr>
            <w:webHidden/>
          </w:rPr>
          <w:tab/>
        </w:r>
        <w:r>
          <w:rPr>
            <w:webHidden/>
          </w:rPr>
          <w:fldChar w:fldCharType="begin"/>
        </w:r>
        <w:r>
          <w:rPr>
            <w:webHidden/>
          </w:rPr>
          <w:instrText xml:space="preserve"> PAGEREF _Toc171424612 \h </w:instrText>
        </w:r>
        <w:r>
          <w:rPr>
            <w:webHidden/>
          </w:rPr>
        </w:r>
        <w:r>
          <w:rPr>
            <w:webHidden/>
          </w:rPr>
          <w:fldChar w:fldCharType="separate"/>
        </w:r>
        <w:r>
          <w:rPr>
            <w:webHidden/>
          </w:rPr>
          <w:t>3</w:t>
        </w:r>
        <w:r>
          <w:rPr>
            <w:webHidden/>
          </w:rPr>
          <w:fldChar w:fldCharType="end"/>
        </w:r>
      </w:hyperlink>
    </w:p>
    <w:p w:rsidR="00241099" w:rsidRDefault="00241099" w14:paraId="1B0A455C" w14:textId="07F17CFA">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3">
        <w:r w:rsidRPr="0005013C">
          <w:rPr>
            <w:rStyle w:val="Hyperlink"/>
          </w:rPr>
          <w:t>5.5.</w:t>
        </w:r>
        <w:r>
          <w:rPr>
            <w:rFonts w:asciiTheme="minorHAnsi" w:hAnsiTheme="minorHAnsi" w:eastAsiaTheme="minorEastAsia" w:cstheme="minorBidi"/>
            <w:kern w:val="2"/>
            <w:sz w:val="22"/>
            <w:szCs w:val="22"/>
            <w14:ligatures w14:val="standardContextual"/>
          </w:rPr>
          <w:tab/>
        </w:r>
        <w:r w:rsidRPr="0005013C">
          <w:rPr>
            <w:rStyle w:val="Hyperlink"/>
          </w:rPr>
          <w:t>Rejected direct credit</w:t>
        </w:r>
        <w:r>
          <w:rPr>
            <w:webHidden/>
          </w:rPr>
          <w:tab/>
        </w:r>
        <w:r>
          <w:rPr>
            <w:webHidden/>
          </w:rPr>
          <w:fldChar w:fldCharType="begin"/>
        </w:r>
        <w:r>
          <w:rPr>
            <w:webHidden/>
          </w:rPr>
          <w:instrText xml:space="preserve"> PAGEREF _Toc171424613 \h </w:instrText>
        </w:r>
        <w:r>
          <w:rPr>
            <w:webHidden/>
          </w:rPr>
        </w:r>
        <w:r>
          <w:rPr>
            <w:webHidden/>
          </w:rPr>
          <w:fldChar w:fldCharType="separate"/>
        </w:r>
        <w:r>
          <w:rPr>
            <w:webHidden/>
          </w:rPr>
          <w:t>3</w:t>
        </w:r>
        <w:r>
          <w:rPr>
            <w:webHidden/>
          </w:rPr>
          <w:fldChar w:fldCharType="end"/>
        </w:r>
      </w:hyperlink>
    </w:p>
    <w:p w:rsidR="00241099" w:rsidRDefault="00241099" w14:paraId="7413A426" w14:textId="0D404A7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4">
        <w:r w:rsidRPr="0005013C">
          <w:rPr>
            <w:rStyle w:val="Hyperlink"/>
          </w:rPr>
          <w:t>5.6.</w:t>
        </w:r>
        <w:r>
          <w:rPr>
            <w:rFonts w:asciiTheme="minorHAnsi" w:hAnsiTheme="minorHAnsi" w:eastAsiaTheme="minorEastAsia" w:cstheme="minorBidi"/>
            <w:kern w:val="2"/>
            <w:sz w:val="22"/>
            <w:szCs w:val="22"/>
            <w14:ligatures w14:val="standardContextual"/>
          </w:rPr>
          <w:tab/>
        </w:r>
        <w:r w:rsidRPr="0005013C">
          <w:rPr>
            <w:rStyle w:val="Hyperlink"/>
          </w:rPr>
          <w:t>Rejected payment</w:t>
        </w:r>
        <w:r>
          <w:rPr>
            <w:webHidden/>
          </w:rPr>
          <w:tab/>
        </w:r>
        <w:r>
          <w:rPr>
            <w:webHidden/>
          </w:rPr>
          <w:fldChar w:fldCharType="begin"/>
        </w:r>
        <w:r>
          <w:rPr>
            <w:webHidden/>
          </w:rPr>
          <w:instrText xml:space="preserve"> PAGEREF _Toc171424614 \h </w:instrText>
        </w:r>
        <w:r>
          <w:rPr>
            <w:webHidden/>
          </w:rPr>
        </w:r>
        <w:r>
          <w:rPr>
            <w:webHidden/>
          </w:rPr>
          <w:fldChar w:fldCharType="separate"/>
        </w:r>
        <w:r>
          <w:rPr>
            <w:webHidden/>
          </w:rPr>
          <w:t>4</w:t>
        </w:r>
        <w:r>
          <w:rPr>
            <w:webHidden/>
          </w:rPr>
          <w:fldChar w:fldCharType="end"/>
        </w:r>
      </w:hyperlink>
    </w:p>
    <w:p w:rsidR="00241099" w:rsidRDefault="00241099" w14:paraId="308D3BD1" w14:textId="7B01F2AB">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15">
        <w:r w:rsidRPr="0005013C">
          <w:rPr>
            <w:rStyle w:val="Hyperlink"/>
          </w:rPr>
          <w:t>5.7.</w:t>
        </w:r>
        <w:r>
          <w:rPr>
            <w:rFonts w:asciiTheme="minorHAnsi" w:hAnsiTheme="minorHAnsi" w:eastAsiaTheme="minorEastAsia" w:cstheme="minorBidi"/>
            <w:kern w:val="2"/>
            <w:sz w:val="22"/>
            <w:szCs w:val="22"/>
            <w14:ligatures w14:val="standardContextual"/>
          </w:rPr>
          <w:tab/>
        </w:r>
        <w:r w:rsidRPr="0005013C">
          <w:rPr>
            <w:rStyle w:val="Hyperlink"/>
          </w:rPr>
          <w:t>Income statement</w:t>
        </w:r>
        <w:r>
          <w:rPr>
            <w:webHidden/>
          </w:rPr>
          <w:tab/>
        </w:r>
        <w:r>
          <w:rPr>
            <w:webHidden/>
          </w:rPr>
          <w:fldChar w:fldCharType="begin"/>
        </w:r>
        <w:r>
          <w:rPr>
            <w:webHidden/>
          </w:rPr>
          <w:instrText xml:space="preserve"> PAGEREF _Toc171424615 \h </w:instrText>
        </w:r>
        <w:r>
          <w:rPr>
            <w:webHidden/>
          </w:rPr>
        </w:r>
        <w:r>
          <w:rPr>
            <w:webHidden/>
          </w:rPr>
          <w:fldChar w:fldCharType="separate"/>
        </w:r>
        <w:r>
          <w:rPr>
            <w:webHidden/>
          </w:rPr>
          <w:t>4</w:t>
        </w:r>
        <w:r>
          <w:rPr>
            <w:webHidden/>
          </w:rPr>
          <w:fldChar w:fldCharType="end"/>
        </w:r>
      </w:hyperlink>
    </w:p>
    <w:p w:rsidR="00241099" w:rsidRDefault="00241099" w14:paraId="353C9E10" w14:textId="137E8865">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16">
        <w:r w:rsidRPr="0005013C">
          <w:rPr>
            <w:rStyle w:val="Hyperlink"/>
          </w:rPr>
          <w:t>5.7.1.</w:t>
        </w:r>
        <w:r>
          <w:rPr>
            <w:rFonts w:asciiTheme="minorHAnsi" w:hAnsiTheme="minorHAnsi" w:eastAsiaTheme="minorEastAsia" w:cstheme="minorBidi"/>
            <w:kern w:val="2"/>
            <w:sz w:val="22"/>
            <w:szCs w:val="22"/>
            <w14:ligatures w14:val="standardContextual"/>
          </w:rPr>
          <w:tab/>
        </w:r>
        <w:r w:rsidRPr="0005013C">
          <w:rPr>
            <w:rStyle w:val="Hyperlink"/>
          </w:rPr>
          <w:t>Availability of an income statement</w:t>
        </w:r>
        <w:r>
          <w:rPr>
            <w:webHidden/>
          </w:rPr>
          <w:tab/>
        </w:r>
        <w:r>
          <w:rPr>
            <w:webHidden/>
          </w:rPr>
          <w:fldChar w:fldCharType="begin"/>
        </w:r>
        <w:r>
          <w:rPr>
            <w:webHidden/>
          </w:rPr>
          <w:instrText xml:space="preserve"> PAGEREF _Toc171424616 \h </w:instrText>
        </w:r>
        <w:r>
          <w:rPr>
            <w:webHidden/>
          </w:rPr>
        </w:r>
        <w:r>
          <w:rPr>
            <w:webHidden/>
          </w:rPr>
          <w:fldChar w:fldCharType="separate"/>
        </w:r>
        <w:r>
          <w:rPr>
            <w:webHidden/>
          </w:rPr>
          <w:t>4</w:t>
        </w:r>
        <w:r>
          <w:rPr>
            <w:webHidden/>
          </w:rPr>
          <w:fldChar w:fldCharType="end"/>
        </w:r>
      </w:hyperlink>
    </w:p>
    <w:p w:rsidR="00241099" w:rsidRDefault="00241099" w14:paraId="71889D2F" w14:textId="732906AB">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17">
        <w:r w:rsidRPr="0005013C">
          <w:rPr>
            <w:rStyle w:val="Hyperlink"/>
          </w:rPr>
          <w:t>5.7.2.</w:t>
        </w:r>
        <w:r>
          <w:rPr>
            <w:rFonts w:asciiTheme="minorHAnsi" w:hAnsiTheme="minorHAnsi" w:eastAsiaTheme="minorEastAsia" w:cstheme="minorBidi"/>
            <w:kern w:val="2"/>
            <w:sz w:val="22"/>
            <w:szCs w:val="22"/>
            <w14:ligatures w14:val="standardContextual"/>
          </w:rPr>
          <w:tab/>
        </w:r>
        <w:r w:rsidRPr="0005013C">
          <w:rPr>
            <w:rStyle w:val="Hyperlink"/>
          </w:rPr>
          <w:t>Terminating employment</w:t>
        </w:r>
        <w:r>
          <w:rPr>
            <w:webHidden/>
          </w:rPr>
          <w:tab/>
        </w:r>
        <w:r>
          <w:rPr>
            <w:webHidden/>
          </w:rPr>
          <w:fldChar w:fldCharType="begin"/>
        </w:r>
        <w:r>
          <w:rPr>
            <w:webHidden/>
          </w:rPr>
          <w:instrText xml:space="preserve"> PAGEREF _Toc171424617 \h </w:instrText>
        </w:r>
        <w:r>
          <w:rPr>
            <w:webHidden/>
          </w:rPr>
        </w:r>
        <w:r>
          <w:rPr>
            <w:webHidden/>
          </w:rPr>
          <w:fldChar w:fldCharType="separate"/>
        </w:r>
        <w:r>
          <w:rPr>
            <w:webHidden/>
          </w:rPr>
          <w:t>4</w:t>
        </w:r>
        <w:r>
          <w:rPr>
            <w:webHidden/>
          </w:rPr>
          <w:fldChar w:fldCharType="end"/>
        </w:r>
      </w:hyperlink>
    </w:p>
    <w:p w:rsidR="00241099" w:rsidRDefault="00241099" w14:paraId="2102F7F5" w14:textId="724544E1">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18">
        <w:r w:rsidRPr="0005013C">
          <w:rPr>
            <w:rStyle w:val="Hyperlink"/>
          </w:rPr>
          <w:t>5.7.3.</w:t>
        </w:r>
        <w:r>
          <w:rPr>
            <w:rFonts w:asciiTheme="minorHAnsi" w:hAnsiTheme="minorHAnsi" w:eastAsiaTheme="minorEastAsia" w:cstheme="minorBidi"/>
            <w:kern w:val="2"/>
            <w:sz w:val="22"/>
            <w:szCs w:val="22"/>
            <w14:ligatures w14:val="standardContextual"/>
          </w:rPr>
          <w:tab/>
        </w:r>
        <w:r w:rsidRPr="0005013C">
          <w:rPr>
            <w:rStyle w:val="Hyperlink"/>
          </w:rPr>
          <w:t>Replacement of lost or damaged summaries</w:t>
        </w:r>
        <w:r>
          <w:rPr>
            <w:webHidden/>
          </w:rPr>
          <w:tab/>
        </w:r>
        <w:r>
          <w:rPr>
            <w:webHidden/>
          </w:rPr>
          <w:fldChar w:fldCharType="begin"/>
        </w:r>
        <w:r>
          <w:rPr>
            <w:webHidden/>
          </w:rPr>
          <w:instrText xml:space="preserve"> PAGEREF _Toc171424618 \h </w:instrText>
        </w:r>
        <w:r>
          <w:rPr>
            <w:webHidden/>
          </w:rPr>
        </w:r>
        <w:r>
          <w:rPr>
            <w:webHidden/>
          </w:rPr>
          <w:fldChar w:fldCharType="separate"/>
        </w:r>
        <w:r>
          <w:rPr>
            <w:webHidden/>
          </w:rPr>
          <w:t>4</w:t>
        </w:r>
        <w:r>
          <w:rPr>
            <w:webHidden/>
          </w:rPr>
          <w:fldChar w:fldCharType="end"/>
        </w:r>
      </w:hyperlink>
    </w:p>
    <w:p w:rsidR="00241099" w:rsidRDefault="00241099" w14:paraId="09EF2A6E" w14:textId="79C24F7F">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19">
        <w:r w:rsidRPr="0005013C">
          <w:rPr>
            <w:rStyle w:val="Hyperlink"/>
          </w:rPr>
          <w:t>5.7.4.</w:t>
        </w:r>
        <w:r>
          <w:rPr>
            <w:rFonts w:asciiTheme="minorHAnsi" w:hAnsiTheme="minorHAnsi" w:eastAsiaTheme="minorEastAsia" w:cstheme="minorBidi"/>
            <w:kern w:val="2"/>
            <w:sz w:val="22"/>
            <w:szCs w:val="22"/>
            <w14:ligatures w14:val="standardContextual"/>
          </w:rPr>
          <w:tab/>
        </w:r>
        <w:r w:rsidRPr="0005013C">
          <w:rPr>
            <w:rStyle w:val="Hyperlink"/>
          </w:rPr>
          <w:t>Request for replacement PAYG summary</w:t>
        </w:r>
        <w:r>
          <w:rPr>
            <w:webHidden/>
          </w:rPr>
          <w:tab/>
        </w:r>
        <w:r>
          <w:rPr>
            <w:webHidden/>
          </w:rPr>
          <w:fldChar w:fldCharType="begin"/>
        </w:r>
        <w:r>
          <w:rPr>
            <w:webHidden/>
          </w:rPr>
          <w:instrText xml:space="preserve"> PAGEREF _Toc171424619 \h </w:instrText>
        </w:r>
        <w:r>
          <w:rPr>
            <w:webHidden/>
          </w:rPr>
        </w:r>
        <w:r>
          <w:rPr>
            <w:webHidden/>
          </w:rPr>
          <w:fldChar w:fldCharType="separate"/>
        </w:r>
        <w:r>
          <w:rPr>
            <w:webHidden/>
          </w:rPr>
          <w:t>4</w:t>
        </w:r>
        <w:r>
          <w:rPr>
            <w:webHidden/>
          </w:rPr>
          <w:fldChar w:fldCharType="end"/>
        </w:r>
      </w:hyperlink>
    </w:p>
    <w:p w:rsidR="00241099" w:rsidRDefault="00241099" w14:paraId="373B68D2" w14:textId="65FE861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20">
        <w:r w:rsidRPr="0005013C">
          <w:rPr>
            <w:rStyle w:val="Hyperlink"/>
          </w:rPr>
          <w:t>5.8.</w:t>
        </w:r>
        <w:r>
          <w:rPr>
            <w:rFonts w:asciiTheme="minorHAnsi" w:hAnsiTheme="minorHAnsi" w:eastAsiaTheme="minorEastAsia" w:cstheme="minorBidi"/>
            <w:kern w:val="2"/>
            <w:sz w:val="22"/>
            <w:szCs w:val="22"/>
            <w14:ligatures w14:val="standardContextual"/>
          </w:rPr>
          <w:tab/>
        </w:r>
        <w:r w:rsidRPr="0005013C">
          <w:rPr>
            <w:rStyle w:val="Hyperlink"/>
          </w:rPr>
          <w:t>Superannuation</w:t>
        </w:r>
        <w:r>
          <w:rPr>
            <w:webHidden/>
          </w:rPr>
          <w:tab/>
        </w:r>
        <w:r>
          <w:rPr>
            <w:webHidden/>
          </w:rPr>
          <w:fldChar w:fldCharType="begin"/>
        </w:r>
        <w:r>
          <w:rPr>
            <w:webHidden/>
          </w:rPr>
          <w:instrText xml:space="preserve"> PAGEREF _Toc171424620 \h </w:instrText>
        </w:r>
        <w:r>
          <w:rPr>
            <w:webHidden/>
          </w:rPr>
        </w:r>
        <w:r>
          <w:rPr>
            <w:webHidden/>
          </w:rPr>
          <w:fldChar w:fldCharType="separate"/>
        </w:r>
        <w:r>
          <w:rPr>
            <w:webHidden/>
          </w:rPr>
          <w:t>4</w:t>
        </w:r>
        <w:r>
          <w:rPr>
            <w:webHidden/>
          </w:rPr>
          <w:fldChar w:fldCharType="end"/>
        </w:r>
      </w:hyperlink>
    </w:p>
    <w:p w:rsidR="00241099" w:rsidRDefault="00241099" w14:paraId="7D31163A" w14:textId="5478612D">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1">
        <w:r w:rsidRPr="0005013C">
          <w:rPr>
            <w:rStyle w:val="Hyperlink"/>
          </w:rPr>
          <w:t>5.8.1.</w:t>
        </w:r>
        <w:r>
          <w:rPr>
            <w:rFonts w:asciiTheme="minorHAnsi" w:hAnsiTheme="minorHAnsi" w:eastAsiaTheme="minorEastAsia" w:cstheme="minorBidi"/>
            <w:kern w:val="2"/>
            <w:sz w:val="22"/>
            <w:szCs w:val="22"/>
            <w14:ligatures w14:val="standardContextual"/>
          </w:rPr>
          <w:tab/>
        </w:r>
        <w:r w:rsidRPr="0005013C">
          <w:rPr>
            <w:rStyle w:val="Hyperlink"/>
            <w:lang w:val="en-US"/>
          </w:rPr>
          <w:t>ESSSuper defined benefit funds acc</w:t>
        </w:r>
        <w:r>
          <w:rPr>
            <w:webHidden/>
          </w:rPr>
          <w:tab/>
        </w:r>
        <w:r>
          <w:rPr>
            <w:webHidden/>
          </w:rPr>
          <w:fldChar w:fldCharType="begin"/>
        </w:r>
        <w:r>
          <w:rPr>
            <w:webHidden/>
          </w:rPr>
          <w:instrText xml:space="preserve"> PAGEREF _Toc171424621 \h </w:instrText>
        </w:r>
        <w:r>
          <w:rPr>
            <w:webHidden/>
          </w:rPr>
        </w:r>
        <w:r>
          <w:rPr>
            <w:webHidden/>
          </w:rPr>
          <w:fldChar w:fldCharType="separate"/>
        </w:r>
        <w:r>
          <w:rPr>
            <w:webHidden/>
          </w:rPr>
          <w:t>5</w:t>
        </w:r>
        <w:r>
          <w:rPr>
            <w:webHidden/>
          </w:rPr>
          <w:fldChar w:fldCharType="end"/>
        </w:r>
      </w:hyperlink>
    </w:p>
    <w:p w:rsidR="00241099" w:rsidRDefault="00241099" w14:paraId="5F2EBC62" w14:textId="500AA68B">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2">
        <w:r w:rsidRPr="0005013C">
          <w:rPr>
            <w:rStyle w:val="Hyperlink"/>
          </w:rPr>
          <w:t>5.8.2.</w:t>
        </w:r>
        <w:r>
          <w:rPr>
            <w:rFonts w:asciiTheme="minorHAnsi" w:hAnsiTheme="minorHAnsi" w:eastAsiaTheme="minorEastAsia" w:cstheme="minorBidi"/>
            <w:kern w:val="2"/>
            <w:sz w:val="22"/>
            <w:szCs w:val="22"/>
            <w14:ligatures w14:val="standardContextual"/>
          </w:rPr>
          <w:tab/>
        </w:r>
        <w:r w:rsidRPr="0005013C">
          <w:rPr>
            <w:rStyle w:val="Hyperlink"/>
          </w:rPr>
          <w:t>Accumulation fund members</w:t>
        </w:r>
        <w:r>
          <w:rPr>
            <w:webHidden/>
          </w:rPr>
          <w:tab/>
        </w:r>
        <w:r>
          <w:rPr>
            <w:webHidden/>
          </w:rPr>
          <w:fldChar w:fldCharType="begin"/>
        </w:r>
        <w:r>
          <w:rPr>
            <w:webHidden/>
          </w:rPr>
          <w:instrText xml:space="preserve"> PAGEREF _Toc171424622 \h </w:instrText>
        </w:r>
        <w:r>
          <w:rPr>
            <w:webHidden/>
          </w:rPr>
        </w:r>
        <w:r>
          <w:rPr>
            <w:webHidden/>
          </w:rPr>
          <w:fldChar w:fldCharType="separate"/>
        </w:r>
        <w:r>
          <w:rPr>
            <w:webHidden/>
          </w:rPr>
          <w:t>5</w:t>
        </w:r>
        <w:r>
          <w:rPr>
            <w:webHidden/>
          </w:rPr>
          <w:fldChar w:fldCharType="end"/>
        </w:r>
      </w:hyperlink>
    </w:p>
    <w:p w:rsidR="00241099" w:rsidRDefault="00241099" w14:paraId="1EFDEB9F" w14:textId="5ADC3848">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3">
        <w:r w:rsidRPr="0005013C">
          <w:rPr>
            <w:rStyle w:val="Hyperlink"/>
          </w:rPr>
          <w:t>5.8.3.</w:t>
        </w:r>
        <w:r>
          <w:rPr>
            <w:rFonts w:asciiTheme="minorHAnsi" w:hAnsiTheme="minorHAnsi" w:eastAsiaTheme="minorEastAsia" w:cstheme="minorBidi"/>
            <w:kern w:val="2"/>
            <w:sz w:val="22"/>
            <w:szCs w:val="22"/>
            <w14:ligatures w14:val="standardContextual"/>
          </w:rPr>
          <w:tab/>
        </w:r>
        <w:r w:rsidRPr="0005013C">
          <w:rPr>
            <w:rStyle w:val="Hyperlink"/>
          </w:rPr>
          <w:t>Salary sacrificing to superannuation</w:t>
        </w:r>
        <w:r>
          <w:rPr>
            <w:webHidden/>
          </w:rPr>
          <w:tab/>
        </w:r>
        <w:r>
          <w:rPr>
            <w:webHidden/>
          </w:rPr>
          <w:fldChar w:fldCharType="begin"/>
        </w:r>
        <w:r>
          <w:rPr>
            <w:webHidden/>
          </w:rPr>
          <w:instrText xml:space="preserve"> PAGEREF _Toc171424623 \h </w:instrText>
        </w:r>
        <w:r>
          <w:rPr>
            <w:webHidden/>
          </w:rPr>
        </w:r>
        <w:r>
          <w:rPr>
            <w:webHidden/>
          </w:rPr>
          <w:fldChar w:fldCharType="separate"/>
        </w:r>
        <w:r>
          <w:rPr>
            <w:webHidden/>
          </w:rPr>
          <w:t>5</w:t>
        </w:r>
        <w:r>
          <w:rPr>
            <w:webHidden/>
          </w:rPr>
          <w:fldChar w:fldCharType="end"/>
        </w:r>
      </w:hyperlink>
    </w:p>
    <w:p w:rsidR="00241099" w:rsidRDefault="00241099" w14:paraId="0E44FB72" w14:textId="7E91436E">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4">
        <w:r w:rsidRPr="0005013C">
          <w:rPr>
            <w:rStyle w:val="Hyperlink"/>
          </w:rPr>
          <w:t>5.8.4.</w:t>
        </w:r>
        <w:r>
          <w:rPr>
            <w:rFonts w:asciiTheme="minorHAnsi" w:hAnsiTheme="minorHAnsi" w:eastAsiaTheme="minorEastAsia" w:cstheme="minorBidi"/>
            <w:kern w:val="2"/>
            <w:sz w:val="22"/>
            <w:szCs w:val="22"/>
            <w14:ligatures w14:val="standardContextual"/>
          </w:rPr>
          <w:tab/>
        </w:r>
        <w:r w:rsidRPr="0005013C">
          <w:rPr>
            <w:rStyle w:val="Hyperlink"/>
          </w:rPr>
          <w:t>Employee contributions on leave without pay</w:t>
        </w:r>
        <w:r>
          <w:rPr>
            <w:webHidden/>
          </w:rPr>
          <w:tab/>
        </w:r>
        <w:r>
          <w:rPr>
            <w:webHidden/>
          </w:rPr>
          <w:fldChar w:fldCharType="begin"/>
        </w:r>
        <w:r>
          <w:rPr>
            <w:webHidden/>
          </w:rPr>
          <w:instrText xml:space="preserve"> PAGEREF _Toc171424624 \h </w:instrText>
        </w:r>
        <w:r>
          <w:rPr>
            <w:webHidden/>
          </w:rPr>
        </w:r>
        <w:r>
          <w:rPr>
            <w:webHidden/>
          </w:rPr>
          <w:fldChar w:fldCharType="separate"/>
        </w:r>
        <w:r>
          <w:rPr>
            <w:webHidden/>
          </w:rPr>
          <w:t>5</w:t>
        </w:r>
        <w:r>
          <w:rPr>
            <w:webHidden/>
          </w:rPr>
          <w:fldChar w:fldCharType="end"/>
        </w:r>
      </w:hyperlink>
    </w:p>
    <w:p w:rsidR="00241099" w:rsidRDefault="00241099" w14:paraId="076EFF3D" w14:textId="2A35F74E">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5">
        <w:r w:rsidRPr="0005013C">
          <w:rPr>
            <w:rStyle w:val="Hyperlink"/>
          </w:rPr>
          <w:t>5.8.5.</w:t>
        </w:r>
        <w:r>
          <w:rPr>
            <w:rFonts w:asciiTheme="minorHAnsi" w:hAnsiTheme="minorHAnsi" w:eastAsiaTheme="minorEastAsia" w:cstheme="minorBidi"/>
            <w:kern w:val="2"/>
            <w:sz w:val="22"/>
            <w:szCs w:val="22"/>
            <w14:ligatures w14:val="standardContextual"/>
          </w:rPr>
          <w:tab/>
        </w:r>
        <w:r w:rsidRPr="0005013C">
          <w:rPr>
            <w:rStyle w:val="Hyperlink"/>
          </w:rPr>
          <w:t>Cessation of employment</w:t>
        </w:r>
        <w:r>
          <w:rPr>
            <w:webHidden/>
          </w:rPr>
          <w:tab/>
        </w:r>
        <w:r>
          <w:rPr>
            <w:webHidden/>
          </w:rPr>
          <w:fldChar w:fldCharType="begin"/>
        </w:r>
        <w:r>
          <w:rPr>
            <w:webHidden/>
          </w:rPr>
          <w:instrText xml:space="preserve"> PAGEREF _Toc171424625 \h </w:instrText>
        </w:r>
        <w:r>
          <w:rPr>
            <w:webHidden/>
          </w:rPr>
        </w:r>
        <w:r>
          <w:rPr>
            <w:webHidden/>
          </w:rPr>
          <w:fldChar w:fldCharType="separate"/>
        </w:r>
        <w:r>
          <w:rPr>
            <w:webHidden/>
          </w:rPr>
          <w:t>5</w:t>
        </w:r>
        <w:r>
          <w:rPr>
            <w:webHidden/>
          </w:rPr>
          <w:fldChar w:fldCharType="end"/>
        </w:r>
      </w:hyperlink>
    </w:p>
    <w:p w:rsidR="00241099" w:rsidRDefault="00241099" w14:paraId="48426AD3" w14:textId="1E99404A">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6">
        <w:r w:rsidRPr="0005013C">
          <w:rPr>
            <w:rStyle w:val="Hyperlink"/>
          </w:rPr>
          <w:t>5.8.6.</w:t>
        </w:r>
        <w:r>
          <w:rPr>
            <w:rFonts w:asciiTheme="minorHAnsi" w:hAnsiTheme="minorHAnsi" w:eastAsiaTheme="minorEastAsia" w:cstheme="minorBidi"/>
            <w:kern w:val="2"/>
            <w:sz w:val="22"/>
            <w:szCs w:val="22"/>
            <w14:ligatures w14:val="standardContextual"/>
          </w:rPr>
          <w:tab/>
        </w:r>
        <w:r w:rsidRPr="0005013C">
          <w:rPr>
            <w:rStyle w:val="Hyperlink"/>
            <w:lang w:val="en-US"/>
          </w:rPr>
          <w:t>New employees with previous ESSSuper membership</w:t>
        </w:r>
        <w:r>
          <w:rPr>
            <w:webHidden/>
          </w:rPr>
          <w:tab/>
        </w:r>
        <w:r>
          <w:rPr>
            <w:webHidden/>
          </w:rPr>
          <w:fldChar w:fldCharType="begin"/>
        </w:r>
        <w:r>
          <w:rPr>
            <w:webHidden/>
          </w:rPr>
          <w:instrText xml:space="preserve"> PAGEREF _Toc171424626 \h </w:instrText>
        </w:r>
        <w:r>
          <w:rPr>
            <w:webHidden/>
          </w:rPr>
        </w:r>
        <w:r>
          <w:rPr>
            <w:webHidden/>
          </w:rPr>
          <w:fldChar w:fldCharType="separate"/>
        </w:r>
        <w:r>
          <w:rPr>
            <w:webHidden/>
          </w:rPr>
          <w:t>5</w:t>
        </w:r>
        <w:r>
          <w:rPr>
            <w:webHidden/>
          </w:rPr>
          <w:fldChar w:fldCharType="end"/>
        </w:r>
      </w:hyperlink>
    </w:p>
    <w:p w:rsidR="00241099" w:rsidRDefault="00241099" w14:paraId="37090C2D" w14:textId="402DCF7D">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7">
        <w:r w:rsidRPr="0005013C">
          <w:rPr>
            <w:rStyle w:val="Hyperlink"/>
          </w:rPr>
          <w:t>5.8.7.</w:t>
        </w:r>
        <w:r>
          <w:rPr>
            <w:rFonts w:asciiTheme="minorHAnsi" w:hAnsiTheme="minorHAnsi" w:eastAsiaTheme="minorEastAsia" w:cstheme="minorBidi"/>
            <w:kern w:val="2"/>
            <w:sz w:val="22"/>
            <w:szCs w:val="22"/>
            <w14:ligatures w14:val="standardContextual"/>
          </w:rPr>
          <w:tab/>
        </w:r>
        <w:r w:rsidRPr="0005013C">
          <w:rPr>
            <w:rStyle w:val="Hyperlink"/>
          </w:rPr>
          <w:t>New employees and choice of fund</w:t>
        </w:r>
        <w:r>
          <w:rPr>
            <w:webHidden/>
          </w:rPr>
          <w:tab/>
        </w:r>
        <w:r>
          <w:rPr>
            <w:webHidden/>
          </w:rPr>
          <w:fldChar w:fldCharType="begin"/>
        </w:r>
        <w:r>
          <w:rPr>
            <w:webHidden/>
          </w:rPr>
          <w:instrText xml:space="preserve"> PAGEREF _Toc171424627 \h </w:instrText>
        </w:r>
        <w:r>
          <w:rPr>
            <w:webHidden/>
          </w:rPr>
        </w:r>
        <w:r>
          <w:rPr>
            <w:webHidden/>
          </w:rPr>
          <w:fldChar w:fldCharType="separate"/>
        </w:r>
        <w:r>
          <w:rPr>
            <w:webHidden/>
          </w:rPr>
          <w:t>5</w:t>
        </w:r>
        <w:r>
          <w:rPr>
            <w:webHidden/>
          </w:rPr>
          <w:fldChar w:fldCharType="end"/>
        </w:r>
      </w:hyperlink>
    </w:p>
    <w:p w:rsidR="00241099" w:rsidRDefault="00241099" w14:paraId="7124E6EC" w14:textId="0BA8D765">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8">
        <w:r w:rsidRPr="0005013C">
          <w:rPr>
            <w:rStyle w:val="Hyperlink"/>
          </w:rPr>
          <w:t>5.8.8.</w:t>
        </w:r>
        <w:r>
          <w:rPr>
            <w:rFonts w:asciiTheme="minorHAnsi" w:hAnsiTheme="minorHAnsi" w:eastAsiaTheme="minorEastAsia" w:cstheme="minorBidi"/>
            <w:kern w:val="2"/>
            <w:sz w:val="22"/>
            <w:szCs w:val="22"/>
            <w14:ligatures w14:val="standardContextual"/>
          </w:rPr>
          <w:tab/>
        </w:r>
        <w:r w:rsidRPr="0005013C">
          <w:rPr>
            <w:rStyle w:val="Hyperlink"/>
          </w:rPr>
          <w:t>Self-managed superannuation funds</w:t>
        </w:r>
        <w:r>
          <w:rPr>
            <w:webHidden/>
          </w:rPr>
          <w:tab/>
        </w:r>
        <w:r>
          <w:rPr>
            <w:webHidden/>
          </w:rPr>
          <w:fldChar w:fldCharType="begin"/>
        </w:r>
        <w:r>
          <w:rPr>
            <w:webHidden/>
          </w:rPr>
          <w:instrText xml:space="preserve"> PAGEREF _Toc171424628 \h </w:instrText>
        </w:r>
        <w:r>
          <w:rPr>
            <w:webHidden/>
          </w:rPr>
        </w:r>
        <w:r>
          <w:rPr>
            <w:webHidden/>
          </w:rPr>
          <w:fldChar w:fldCharType="separate"/>
        </w:r>
        <w:r>
          <w:rPr>
            <w:webHidden/>
          </w:rPr>
          <w:t>6</w:t>
        </w:r>
        <w:r>
          <w:rPr>
            <w:webHidden/>
          </w:rPr>
          <w:fldChar w:fldCharType="end"/>
        </w:r>
      </w:hyperlink>
    </w:p>
    <w:p w:rsidR="00241099" w:rsidRDefault="00241099" w14:paraId="2FBBDE00" w14:textId="0FEA9AEE">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29">
        <w:r w:rsidRPr="0005013C">
          <w:rPr>
            <w:rStyle w:val="Hyperlink"/>
          </w:rPr>
          <w:t>5.8.9.</w:t>
        </w:r>
        <w:r>
          <w:rPr>
            <w:rFonts w:asciiTheme="minorHAnsi" w:hAnsiTheme="minorHAnsi" w:eastAsiaTheme="minorEastAsia" w:cstheme="minorBidi"/>
            <w:kern w:val="2"/>
            <w:sz w:val="22"/>
            <w:szCs w:val="22"/>
            <w14:ligatures w14:val="standardContextual"/>
          </w:rPr>
          <w:tab/>
        </w:r>
        <w:r w:rsidRPr="0005013C">
          <w:rPr>
            <w:rStyle w:val="Hyperlink"/>
          </w:rPr>
          <w:t>Compliance check for SMSFs</w:t>
        </w:r>
        <w:r>
          <w:rPr>
            <w:webHidden/>
          </w:rPr>
          <w:tab/>
        </w:r>
        <w:r>
          <w:rPr>
            <w:webHidden/>
          </w:rPr>
          <w:fldChar w:fldCharType="begin"/>
        </w:r>
        <w:r>
          <w:rPr>
            <w:webHidden/>
          </w:rPr>
          <w:instrText xml:space="preserve"> PAGEREF _Toc171424629 \h </w:instrText>
        </w:r>
        <w:r>
          <w:rPr>
            <w:webHidden/>
          </w:rPr>
        </w:r>
        <w:r>
          <w:rPr>
            <w:webHidden/>
          </w:rPr>
          <w:fldChar w:fldCharType="separate"/>
        </w:r>
        <w:r>
          <w:rPr>
            <w:webHidden/>
          </w:rPr>
          <w:t>6</w:t>
        </w:r>
        <w:r>
          <w:rPr>
            <w:webHidden/>
          </w:rPr>
          <w:fldChar w:fldCharType="end"/>
        </w:r>
      </w:hyperlink>
    </w:p>
    <w:p w:rsidR="00241099" w:rsidRDefault="00241099" w14:paraId="55407FFD" w14:textId="6CA798AE">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30">
        <w:r w:rsidRPr="0005013C">
          <w:rPr>
            <w:rStyle w:val="Hyperlink"/>
          </w:rPr>
          <w:t>5.8.10.</w:t>
        </w:r>
        <w:r>
          <w:rPr>
            <w:rFonts w:asciiTheme="minorHAnsi" w:hAnsiTheme="minorHAnsi" w:eastAsiaTheme="minorEastAsia" w:cstheme="minorBidi"/>
            <w:kern w:val="2"/>
            <w:sz w:val="22"/>
            <w:szCs w:val="22"/>
            <w14:ligatures w14:val="standardContextual"/>
          </w:rPr>
          <w:tab/>
        </w:r>
        <w:r w:rsidRPr="0005013C">
          <w:rPr>
            <w:rStyle w:val="Hyperlink"/>
          </w:rPr>
          <w:t>Electronic service address (ESA) for SMSFs</w:t>
        </w:r>
        <w:r>
          <w:rPr>
            <w:webHidden/>
          </w:rPr>
          <w:tab/>
        </w:r>
        <w:r>
          <w:rPr>
            <w:webHidden/>
          </w:rPr>
          <w:fldChar w:fldCharType="begin"/>
        </w:r>
        <w:r>
          <w:rPr>
            <w:webHidden/>
          </w:rPr>
          <w:instrText xml:space="preserve"> PAGEREF _Toc171424630 \h </w:instrText>
        </w:r>
        <w:r>
          <w:rPr>
            <w:webHidden/>
          </w:rPr>
        </w:r>
        <w:r>
          <w:rPr>
            <w:webHidden/>
          </w:rPr>
          <w:fldChar w:fldCharType="separate"/>
        </w:r>
        <w:r>
          <w:rPr>
            <w:webHidden/>
          </w:rPr>
          <w:t>6</w:t>
        </w:r>
        <w:r>
          <w:rPr>
            <w:webHidden/>
          </w:rPr>
          <w:fldChar w:fldCharType="end"/>
        </w:r>
      </w:hyperlink>
    </w:p>
    <w:p w:rsidR="00241099" w:rsidRDefault="00241099" w14:paraId="267AEC85" w14:textId="288BE9C9">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31">
        <w:r w:rsidRPr="0005013C">
          <w:rPr>
            <w:rStyle w:val="Hyperlink"/>
          </w:rPr>
          <w:t>5.9.</w:t>
        </w:r>
        <w:r>
          <w:rPr>
            <w:rFonts w:asciiTheme="minorHAnsi" w:hAnsiTheme="minorHAnsi" w:eastAsiaTheme="minorEastAsia" w:cstheme="minorBidi"/>
            <w:kern w:val="2"/>
            <w:sz w:val="22"/>
            <w:szCs w:val="22"/>
            <w14:ligatures w14:val="standardContextual"/>
          </w:rPr>
          <w:tab/>
        </w:r>
        <w:r w:rsidRPr="0005013C">
          <w:rPr>
            <w:rStyle w:val="Hyperlink"/>
            <w:lang w:val="en-US"/>
          </w:rPr>
          <w:t>Additional information</w:t>
        </w:r>
        <w:r>
          <w:rPr>
            <w:webHidden/>
          </w:rPr>
          <w:tab/>
        </w:r>
        <w:r>
          <w:rPr>
            <w:webHidden/>
          </w:rPr>
          <w:fldChar w:fldCharType="begin"/>
        </w:r>
        <w:r>
          <w:rPr>
            <w:webHidden/>
          </w:rPr>
          <w:instrText xml:space="preserve"> PAGEREF _Toc171424631 \h </w:instrText>
        </w:r>
        <w:r>
          <w:rPr>
            <w:webHidden/>
          </w:rPr>
        </w:r>
        <w:r>
          <w:rPr>
            <w:webHidden/>
          </w:rPr>
          <w:fldChar w:fldCharType="separate"/>
        </w:r>
        <w:r>
          <w:rPr>
            <w:webHidden/>
          </w:rPr>
          <w:t>6</w:t>
        </w:r>
        <w:r>
          <w:rPr>
            <w:webHidden/>
          </w:rPr>
          <w:fldChar w:fldCharType="end"/>
        </w:r>
      </w:hyperlink>
    </w:p>
    <w:p w:rsidR="00241099" w:rsidRDefault="00241099" w14:paraId="54D07B76" w14:textId="1269F526">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32">
        <w:r w:rsidRPr="0005013C">
          <w:rPr>
            <w:rStyle w:val="Hyperlink"/>
          </w:rPr>
          <w:t>5.10.</w:t>
        </w:r>
        <w:r>
          <w:rPr>
            <w:rFonts w:asciiTheme="minorHAnsi" w:hAnsiTheme="minorHAnsi" w:eastAsiaTheme="minorEastAsia" w:cstheme="minorBidi"/>
            <w:kern w:val="2"/>
            <w:sz w:val="22"/>
            <w:szCs w:val="22"/>
            <w14:ligatures w14:val="standardContextual"/>
          </w:rPr>
          <w:tab/>
        </w:r>
        <w:r w:rsidRPr="0005013C">
          <w:rPr>
            <w:rStyle w:val="Hyperlink"/>
          </w:rPr>
          <w:t>Privacy</w:t>
        </w:r>
        <w:r>
          <w:rPr>
            <w:webHidden/>
          </w:rPr>
          <w:tab/>
        </w:r>
        <w:r>
          <w:rPr>
            <w:webHidden/>
          </w:rPr>
          <w:fldChar w:fldCharType="begin"/>
        </w:r>
        <w:r>
          <w:rPr>
            <w:webHidden/>
          </w:rPr>
          <w:instrText xml:space="preserve"> PAGEREF _Toc171424632 \h </w:instrText>
        </w:r>
        <w:r>
          <w:rPr>
            <w:webHidden/>
          </w:rPr>
        </w:r>
        <w:r>
          <w:rPr>
            <w:webHidden/>
          </w:rPr>
          <w:fldChar w:fldCharType="separate"/>
        </w:r>
        <w:r>
          <w:rPr>
            <w:webHidden/>
          </w:rPr>
          <w:t>6</w:t>
        </w:r>
        <w:r>
          <w:rPr>
            <w:webHidden/>
          </w:rPr>
          <w:fldChar w:fldCharType="end"/>
        </w:r>
      </w:hyperlink>
    </w:p>
    <w:p w:rsidR="00241099" w:rsidRDefault="00241099" w14:paraId="5D1D5334" w14:textId="74257318">
      <w:pPr>
        <w:pStyle w:val="TOC2"/>
        <w:tabs>
          <w:tab w:val="left" w:pos="1320"/>
        </w:tabs>
        <w:rPr>
          <w:rFonts w:asciiTheme="minorHAnsi" w:hAnsiTheme="minorHAnsi" w:eastAsiaTheme="minorEastAsia" w:cstheme="minorBidi"/>
          <w:kern w:val="2"/>
          <w:sz w:val="22"/>
          <w:szCs w:val="22"/>
          <w14:ligatures w14:val="standardContextual"/>
        </w:rPr>
      </w:pPr>
      <w:hyperlink w:history="1" w:anchor="_Toc171424633">
        <w:r w:rsidRPr="0005013C">
          <w:rPr>
            <w:rStyle w:val="Hyperlink"/>
          </w:rPr>
          <w:t>5.11.</w:t>
        </w:r>
        <w:r>
          <w:rPr>
            <w:rFonts w:asciiTheme="minorHAnsi" w:hAnsiTheme="minorHAnsi" w:eastAsiaTheme="minorEastAsia" w:cstheme="minorBidi"/>
            <w:kern w:val="2"/>
            <w:sz w:val="22"/>
            <w:szCs w:val="22"/>
            <w14:ligatures w14:val="standardContextual"/>
          </w:rPr>
          <w:tab/>
        </w:r>
        <w:r w:rsidRPr="0005013C">
          <w:rPr>
            <w:rStyle w:val="Hyperlink"/>
          </w:rPr>
          <w:t>Definitions</w:t>
        </w:r>
        <w:r>
          <w:rPr>
            <w:webHidden/>
          </w:rPr>
          <w:tab/>
        </w:r>
        <w:r>
          <w:rPr>
            <w:webHidden/>
          </w:rPr>
          <w:fldChar w:fldCharType="begin"/>
        </w:r>
        <w:r>
          <w:rPr>
            <w:webHidden/>
          </w:rPr>
          <w:instrText xml:space="preserve"> PAGEREF _Toc171424633 \h </w:instrText>
        </w:r>
        <w:r>
          <w:rPr>
            <w:webHidden/>
          </w:rPr>
        </w:r>
        <w:r>
          <w:rPr>
            <w:webHidden/>
          </w:rPr>
          <w:fldChar w:fldCharType="separate"/>
        </w:r>
        <w:r>
          <w:rPr>
            <w:webHidden/>
          </w:rPr>
          <w:t>6</w:t>
        </w:r>
        <w:r>
          <w:rPr>
            <w:webHidden/>
          </w:rPr>
          <w:fldChar w:fldCharType="end"/>
        </w:r>
      </w:hyperlink>
    </w:p>
    <w:p w:rsidR="00241099" w:rsidRDefault="00241099" w14:paraId="490DDCF7" w14:textId="3979628D">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634">
        <w:r w:rsidRPr="0005013C">
          <w:rPr>
            <w:rStyle w:val="Hyperlink"/>
          </w:rPr>
          <w:t>6.</w:t>
        </w:r>
        <w:r>
          <w:rPr>
            <w:rFonts w:asciiTheme="minorHAnsi" w:hAnsiTheme="minorHAnsi" w:eastAsiaTheme="minorEastAsia" w:cstheme="minorBidi"/>
            <w:b w:val="0"/>
            <w:bCs w:val="0"/>
            <w:kern w:val="2"/>
            <w:sz w:val="22"/>
            <w:szCs w:val="22"/>
            <w14:ligatures w14:val="standardContextual"/>
          </w:rPr>
          <w:tab/>
        </w:r>
        <w:r w:rsidRPr="0005013C">
          <w:rPr>
            <w:rStyle w:val="Hyperlink"/>
            <w:shd w:val="clear" w:color="auto" w:fill="FFFFFF"/>
          </w:rPr>
          <w:t>Managing the guidelines</w:t>
        </w:r>
        <w:r>
          <w:rPr>
            <w:webHidden/>
          </w:rPr>
          <w:tab/>
        </w:r>
        <w:r>
          <w:rPr>
            <w:webHidden/>
          </w:rPr>
          <w:fldChar w:fldCharType="begin"/>
        </w:r>
        <w:r>
          <w:rPr>
            <w:webHidden/>
          </w:rPr>
          <w:instrText xml:space="preserve"> PAGEREF _Toc171424634 \h </w:instrText>
        </w:r>
        <w:r>
          <w:rPr>
            <w:webHidden/>
          </w:rPr>
        </w:r>
        <w:r>
          <w:rPr>
            <w:webHidden/>
          </w:rPr>
          <w:fldChar w:fldCharType="separate"/>
        </w:r>
        <w:r>
          <w:rPr>
            <w:webHidden/>
          </w:rPr>
          <w:t>7</w:t>
        </w:r>
        <w:r>
          <w:rPr>
            <w:webHidden/>
          </w:rPr>
          <w:fldChar w:fldCharType="end"/>
        </w:r>
      </w:hyperlink>
    </w:p>
    <w:p w:rsidR="00241099" w:rsidRDefault="00241099" w14:paraId="33E2B8DD" w14:textId="51E2105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35">
        <w:r w:rsidRPr="0005013C">
          <w:rPr>
            <w:rStyle w:val="Hyperlink"/>
          </w:rPr>
          <w:t>6.1.</w:t>
        </w:r>
        <w:r>
          <w:rPr>
            <w:rFonts w:asciiTheme="minorHAnsi" w:hAnsiTheme="minorHAnsi" w:eastAsiaTheme="minorEastAsia" w:cstheme="minorBidi"/>
            <w:kern w:val="2"/>
            <w:sz w:val="22"/>
            <w:szCs w:val="22"/>
            <w14:ligatures w14:val="standardContextual"/>
          </w:rPr>
          <w:tab/>
        </w:r>
        <w:r w:rsidRPr="0005013C">
          <w:rPr>
            <w:rStyle w:val="Hyperlink"/>
          </w:rPr>
          <w:t>Authorisation</w:t>
        </w:r>
        <w:r>
          <w:rPr>
            <w:webHidden/>
          </w:rPr>
          <w:tab/>
        </w:r>
        <w:r>
          <w:rPr>
            <w:webHidden/>
          </w:rPr>
          <w:fldChar w:fldCharType="begin"/>
        </w:r>
        <w:r>
          <w:rPr>
            <w:webHidden/>
          </w:rPr>
          <w:instrText xml:space="preserve"> PAGEREF _Toc171424635 \h </w:instrText>
        </w:r>
        <w:r>
          <w:rPr>
            <w:webHidden/>
          </w:rPr>
        </w:r>
        <w:r>
          <w:rPr>
            <w:webHidden/>
          </w:rPr>
          <w:fldChar w:fldCharType="separate"/>
        </w:r>
        <w:r>
          <w:rPr>
            <w:webHidden/>
          </w:rPr>
          <w:t>7</w:t>
        </w:r>
        <w:r>
          <w:rPr>
            <w:webHidden/>
          </w:rPr>
          <w:fldChar w:fldCharType="end"/>
        </w:r>
      </w:hyperlink>
    </w:p>
    <w:p w:rsidR="00241099" w:rsidRDefault="00241099" w14:paraId="1BDAB48E" w14:textId="6E0EE123">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36">
        <w:r w:rsidRPr="0005013C">
          <w:rPr>
            <w:rStyle w:val="Hyperlink"/>
          </w:rPr>
          <w:t>6.2.</w:t>
        </w:r>
        <w:r>
          <w:rPr>
            <w:rFonts w:asciiTheme="minorHAnsi" w:hAnsiTheme="minorHAnsi" w:eastAsiaTheme="minorEastAsia" w:cstheme="minorBidi"/>
            <w:kern w:val="2"/>
            <w:sz w:val="22"/>
            <w:szCs w:val="22"/>
            <w14:ligatures w14:val="standardContextual"/>
          </w:rPr>
          <w:tab/>
        </w:r>
        <w:r w:rsidRPr="0005013C">
          <w:rPr>
            <w:rStyle w:val="Hyperlink"/>
          </w:rPr>
          <w:t>Accountability for the guidelines</w:t>
        </w:r>
        <w:r>
          <w:rPr>
            <w:webHidden/>
          </w:rPr>
          <w:tab/>
        </w:r>
        <w:r>
          <w:rPr>
            <w:webHidden/>
          </w:rPr>
          <w:fldChar w:fldCharType="begin"/>
        </w:r>
        <w:r>
          <w:rPr>
            <w:webHidden/>
          </w:rPr>
          <w:instrText xml:space="preserve"> PAGEREF _Toc171424636 \h </w:instrText>
        </w:r>
        <w:r>
          <w:rPr>
            <w:webHidden/>
          </w:rPr>
        </w:r>
        <w:r>
          <w:rPr>
            <w:webHidden/>
          </w:rPr>
          <w:fldChar w:fldCharType="separate"/>
        </w:r>
        <w:r>
          <w:rPr>
            <w:webHidden/>
          </w:rPr>
          <w:t>7</w:t>
        </w:r>
        <w:r>
          <w:rPr>
            <w:webHidden/>
          </w:rPr>
          <w:fldChar w:fldCharType="end"/>
        </w:r>
      </w:hyperlink>
    </w:p>
    <w:p w:rsidR="00241099" w:rsidRDefault="00241099" w14:paraId="304D5CE4" w14:textId="4B12D0DA">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4637">
        <w:r w:rsidRPr="0005013C">
          <w:rPr>
            <w:rStyle w:val="Hyperlink"/>
          </w:rPr>
          <w:t>6.3.</w:t>
        </w:r>
        <w:r>
          <w:rPr>
            <w:rFonts w:asciiTheme="minorHAnsi" w:hAnsiTheme="minorHAnsi" w:eastAsiaTheme="minorEastAsia" w:cstheme="minorBidi"/>
            <w:kern w:val="2"/>
            <w:sz w:val="22"/>
            <w:szCs w:val="22"/>
            <w14:ligatures w14:val="standardContextual"/>
          </w:rPr>
          <w:tab/>
        </w:r>
        <w:r w:rsidRPr="0005013C">
          <w:rPr>
            <w:rStyle w:val="Hyperlink"/>
          </w:rPr>
          <w:t>Important dates</w:t>
        </w:r>
        <w:r>
          <w:rPr>
            <w:webHidden/>
          </w:rPr>
          <w:tab/>
        </w:r>
        <w:r>
          <w:rPr>
            <w:webHidden/>
          </w:rPr>
          <w:fldChar w:fldCharType="begin"/>
        </w:r>
        <w:r>
          <w:rPr>
            <w:webHidden/>
          </w:rPr>
          <w:instrText xml:space="preserve"> PAGEREF _Toc171424637 \h </w:instrText>
        </w:r>
        <w:r>
          <w:rPr>
            <w:webHidden/>
          </w:rPr>
        </w:r>
        <w:r>
          <w:rPr>
            <w:webHidden/>
          </w:rPr>
          <w:fldChar w:fldCharType="separate"/>
        </w:r>
        <w:r>
          <w:rPr>
            <w:webHidden/>
          </w:rPr>
          <w:t>7</w:t>
        </w:r>
        <w:r>
          <w:rPr>
            <w:webHidden/>
          </w:rPr>
          <w:fldChar w:fldCharType="end"/>
        </w:r>
      </w:hyperlink>
    </w:p>
    <w:p w:rsidR="00241099" w:rsidRDefault="00241099" w14:paraId="22F15E3D" w14:textId="3CDD58E0">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4638">
        <w:r w:rsidRPr="0005013C">
          <w:rPr>
            <w:rStyle w:val="Hyperlink"/>
          </w:rPr>
          <w:t>7.</w:t>
        </w:r>
        <w:r>
          <w:rPr>
            <w:rFonts w:asciiTheme="minorHAnsi" w:hAnsiTheme="minorHAnsi" w:eastAsiaTheme="minorEastAsia" w:cstheme="minorBidi"/>
            <w:b w:val="0"/>
            <w:bCs w:val="0"/>
            <w:kern w:val="2"/>
            <w:sz w:val="22"/>
            <w:szCs w:val="22"/>
            <w14:ligatures w14:val="standardContextual"/>
          </w:rPr>
          <w:tab/>
        </w:r>
        <w:r w:rsidRPr="0005013C">
          <w:rPr>
            <w:rStyle w:val="Hyperlink"/>
          </w:rPr>
          <w:t>Related documents</w:t>
        </w:r>
        <w:r>
          <w:rPr>
            <w:webHidden/>
          </w:rPr>
          <w:tab/>
        </w:r>
        <w:r>
          <w:rPr>
            <w:webHidden/>
          </w:rPr>
          <w:fldChar w:fldCharType="begin"/>
        </w:r>
        <w:r>
          <w:rPr>
            <w:webHidden/>
          </w:rPr>
          <w:instrText xml:space="preserve"> PAGEREF _Toc171424638 \h </w:instrText>
        </w:r>
        <w:r>
          <w:rPr>
            <w:webHidden/>
          </w:rPr>
        </w:r>
        <w:r>
          <w:rPr>
            <w:webHidden/>
          </w:rPr>
          <w:fldChar w:fldCharType="separate"/>
        </w:r>
        <w:r>
          <w:rPr>
            <w:webHidden/>
          </w:rPr>
          <w:t>7</w:t>
        </w:r>
        <w:r>
          <w:rPr>
            <w:webHidden/>
          </w:rPr>
          <w:fldChar w:fldCharType="end"/>
        </w:r>
      </w:hyperlink>
    </w:p>
    <w:p w:rsidRPr="000F5CEC" w:rsidR="00DB1C96" w:rsidP="00D86551" w:rsidRDefault="007B04F0" w14:paraId="1E8BFB1A" w14:textId="20B9019C">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004C05CD" w:rsidP="004C05CD" w:rsidRDefault="004C05CD" w14:paraId="7F36FB73" w14:textId="77777777">
      <w:pPr>
        <w:pStyle w:val="VCAAHeading2"/>
        <w:numPr>
          <w:ilvl w:val="0"/>
          <w:numId w:val="20"/>
        </w:numPr>
        <w:spacing w:line="276" w:lineRule="auto"/>
        <w:jc w:val="both"/>
        <w:rPr/>
      </w:pPr>
      <w:bookmarkStart w:name="_Toc154656682" w:id="4"/>
      <w:bookmarkStart w:name="_Toc164356673" w:id="5"/>
      <w:bookmarkStart w:name="_Toc169076924" w:id="6"/>
      <w:bookmarkStart w:name="_Toc154656683" w:id="7"/>
      <w:bookmarkStart w:name="_Hlk154655906" w:id="8"/>
      <w:bookmarkStart w:name="_Toc171424598" w:id="9"/>
      <w:r w:rsidR="0498D5DD">
        <w:rPr/>
        <w:t>Overview</w:t>
      </w:r>
      <w:bookmarkEnd w:id="4"/>
      <w:bookmarkEnd w:id="5"/>
      <w:bookmarkEnd w:id="6"/>
      <w:bookmarkEnd w:id="9"/>
    </w:p>
    <w:p w:rsidRPr="009C725D" w:rsidR="004C05CD" w:rsidP="004C05CD" w:rsidRDefault="00241099" w14:paraId="18FD0A13" w14:textId="3C277AF5">
      <w:pPr>
        <w:pStyle w:val="ESBodyText"/>
        <w:spacing w:line="276" w:lineRule="auto"/>
        <w:jc w:val="both"/>
        <w:rPr>
          <w:lang w:val="en-AU"/>
        </w:rPr>
      </w:pPr>
      <w:r>
        <w:t xml:space="preserve">The salary and payroll guidelines </w:t>
      </w:r>
      <w:r>
        <w:t xml:space="preserve">(the guidelines) </w:t>
      </w:r>
      <w:r w:rsidRPr="009C725D" w:rsidR="004C05CD">
        <w:rPr>
          <w:lang w:val="en-AU"/>
        </w:rPr>
        <w:t>appl</w:t>
      </w:r>
      <w:r>
        <w:rPr>
          <w:lang w:val="en-AU"/>
        </w:rPr>
        <w:t xml:space="preserve">y </w:t>
      </w:r>
      <w:r w:rsidRPr="009C725D" w:rsidR="004C05CD">
        <w:rPr>
          <w:lang w:val="en-AU"/>
        </w:rPr>
        <w:t>to all employees within the Victorian Curriculum and Assessment Authority (VCAA). For the purposes of t</w:t>
      </w:r>
      <w:r>
        <w:rPr>
          <w:lang w:val="en-AU"/>
        </w:rPr>
        <w:t>hese guidelines</w:t>
      </w:r>
      <w:r w:rsidRPr="009C725D" w:rsidR="004C05CD">
        <w:rPr>
          <w:lang w:val="en-AU"/>
        </w:rPr>
        <w:t>, the term 'employees' encompasses VCAA employees of the direct workforce, as well as any individuals or groups undertaking an activity for or on behalf of the VCAA, including:</w:t>
      </w:r>
    </w:p>
    <w:p w:rsidRPr="009C725D" w:rsidR="004C05CD" w:rsidP="004C05CD" w:rsidRDefault="00C22CBA" w14:paraId="58B96449" w14:textId="5145BDEF">
      <w:pPr>
        <w:pStyle w:val="ESBodyText"/>
        <w:numPr>
          <w:ilvl w:val="0"/>
          <w:numId w:val="31"/>
        </w:numPr>
        <w:spacing w:line="276" w:lineRule="auto"/>
        <w:jc w:val="both"/>
        <w:rPr>
          <w:lang w:val="en-AU"/>
        </w:rPr>
      </w:pPr>
      <w:r w:rsidRPr="2802FBC2" w:rsidR="7D421C85">
        <w:rPr>
          <w:lang w:val="en-AU"/>
        </w:rPr>
        <w:t>a</w:t>
      </w:r>
      <w:r w:rsidRPr="2802FBC2" w:rsidR="0498D5DD">
        <w:rPr>
          <w:lang w:val="en-AU"/>
        </w:rPr>
        <w:t xml:space="preserve">ll employees (fixed term, casual, sessional) employed under Ministerial Order No. 1451 </w:t>
      </w:r>
      <w:r w:rsidRPr="2802FBC2" w:rsidR="7D421C85">
        <w:rPr>
          <w:lang w:val="en-AU"/>
        </w:rPr>
        <w:t>–</w:t>
      </w:r>
      <w:r w:rsidRPr="2802FBC2" w:rsidR="0498D5DD">
        <w:rPr>
          <w:lang w:val="en-AU"/>
        </w:rPr>
        <w:t xml:space="preserve"> Victorian Curriculum and Assessment Authority employees (Employment Conditions, Salaries, Allowances, </w:t>
      </w:r>
      <w:r w:rsidRPr="2802FBC2" w:rsidR="0498D5DD">
        <w:rPr>
          <w:lang w:val="en-AU"/>
        </w:rPr>
        <w:t>Selection</w:t>
      </w:r>
      <w:r w:rsidRPr="2802FBC2" w:rsidR="0498D5DD">
        <w:rPr>
          <w:lang w:val="en-AU"/>
        </w:rPr>
        <w:t xml:space="preserve"> and Conduct) Order 2023 (referred to as </w:t>
      </w:r>
      <w:r w:rsidRPr="2802FBC2" w:rsidR="7D421C85">
        <w:rPr>
          <w:lang w:val="en-AU"/>
        </w:rPr>
        <w:t>‘</w:t>
      </w:r>
      <w:r w:rsidRPr="2802FBC2" w:rsidR="0498D5DD">
        <w:rPr>
          <w:lang w:val="en-AU"/>
        </w:rPr>
        <w:t>The MO</w:t>
      </w:r>
      <w:r w:rsidRPr="2802FBC2" w:rsidR="7D421C85">
        <w:rPr>
          <w:lang w:val="en-AU"/>
        </w:rPr>
        <w:t>’</w:t>
      </w:r>
      <w:r w:rsidRPr="2802FBC2" w:rsidR="0498D5DD">
        <w:rPr>
          <w:lang w:val="en-AU"/>
        </w:rPr>
        <w:t>)</w:t>
      </w:r>
    </w:p>
    <w:p w:rsidR="004C05CD" w:rsidP="004C05CD" w:rsidRDefault="004C05CD" w14:paraId="5B49385B" w14:textId="47DB778F">
      <w:pPr>
        <w:pStyle w:val="ESBodyText"/>
        <w:numPr>
          <w:ilvl w:val="0"/>
          <w:numId w:val="31"/>
        </w:numPr>
        <w:spacing w:line="276" w:lineRule="auto"/>
        <w:jc w:val="both"/>
        <w:rPr>
          <w:lang w:val="en-AU"/>
        </w:rPr>
      </w:pPr>
      <w:r w:rsidRPr="009C725D">
        <w:rPr>
          <w:lang w:val="en-AU"/>
        </w:rPr>
        <w:t xml:space="preserve">Board </w:t>
      </w:r>
      <w:r w:rsidR="00C22CBA">
        <w:rPr>
          <w:lang w:val="en-AU"/>
        </w:rPr>
        <w:t>m</w:t>
      </w:r>
      <w:r w:rsidRPr="009C725D">
        <w:rPr>
          <w:lang w:val="en-AU"/>
        </w:rPr>
        <w:t>embers</w:t>
      </w:r>
      <w:r w:rsidR="00C22CBA">
        <w:rPr>
          <w:lang w:val="en-AU"/>
        </w:rPr>
        <w:t>.</w:t>
      </w:r>
    </w:p>
    <w:p w:rsidRPr="00241099" w:rsidR="00241099" w:rsidP="00241099" w:rsidRDefault="00241099" w14:paraId="22EDCC75" w14:textId="3F7994CD">
      <w:pPr>
        <w:pStyle w:val="ESBodyText"/>
        <w:spacing w:line="276" w:lineRule="auto"/>
        <w:jc w:val="both"/>
      </w:pPr>
      <w:bookmarkStart w:name="_Hlk169082506" w:id="11"/>
      <w:r>
        <w:t>The</w:t>
      </w:r>
      <w:r>
        <w:t xml:space="preserve"> guidelines</w:t>
      </w:r>
      <w:r>
        <w:t xml:space="preserve"> cover all aspects of employee payments including bank account, timesheets, overpayments, superannuation, and income statements (PAYG) within </w:t>
      </w:r>
      <w:proofErr w:type="spellStart"/>
      <w:r>
        <w:t>eduPay</w:t>
      </w:r>
      <w:proofErr w:type="spellEnd"/>
      <w:r>
        <w:t>.</w:t>
      </w:r>
      <w:bookmarkEnd w:id="11"/>
    </w:p>
    <w:p w:rsidR="004C05CD" w:rsidP="004C05CD" w:rsidRDefault="004C05CD" w14:paraId="2303F438" w14:textId="77777777">
      <w:pPr>
        <w:pStyle w:val="VCAAHeading2"/>
        <w:numPr>
          <w:ilvl w:val="0"/>
          <w:numId w:val="20"/>
        </w:numPr>
        <w:spacing w:line="276" w:lineRule="auto"/>
      </w:pPr>
      <w:bookmarkStart w:name="_Toc164356674" w:id="12"/>
      <w:bookmarkStart w:name="_Toc169076925" w:id="13"/>
      <w:bookmarkStart w:name="_Toc171424599" w:id="14"/>
      <w:r>
        <w:t>Objectives</w:t>
      </w:r>
      <w:bookmarkEnd w:id="12"/>
      <w:bookmarkEnd w:id="13"/>
      <w:bookmarkEnd w:id="14"/>
    </w:p>
    <w:p w:rsidRPr="00241099" w:rsidR="00241099" w:rsidP="00241099" w:rsidRDefault="00241099" w14:paraId="5394C54E" w14:textId="45AA41A6">
      <w:pPr>
        <w:pStyle w:val="ESBodyText"/>
      </w:pPr>
      <w:r>
        <w:t>The objectives of the guidelines are:</w:t>
      </w:r>
    </w:p>
    <w:p w:rsidR="004C05CD" w:rsidP="004C05CD" w:rsidRDefault="00241099" w14:paraId="0C9769C3" w14:textId="30AE90E2">
      <w:pPr>
        <w:pStyle w:val="ESBodyText"/>
        <w:numPr>
          <w:ilvl w:val="0"/>
          <w:numId w:val="25"/>
        </w:numPr>
      </w:pPr>
      <w:r w:rsidRPr="00241099">
        <w:t>Ensure to</w:t>
      </w:r>
      <w:r w:rsidRPr="00241099" w:rsidR="004C05CD">
        <w:t xml:space="preserve"> </w:t>
      </w:r>
      <w:r w:rsidRPr="00241099" w:rsidR="00C22CBA">
        <w:t>c</w:t>
      </w:r>
      <w:r w:rsidRPr="00241099" w:rsidR="004C05CD">
        <w:t>learly</w:t>
      </w:r>
      <w:r w:rsidR="004C05CD">
        <w:t xml:space="preserve"> communicate payroll processes, including payment schedules, and any payroll-related policies to employees</w:t>
      </w:r>
      <w:r w:rsidR="00C22CBA">
        <w:t>;</w:t>
      </w:r>
      <w:r w:rsidR="004C05CD">
        <w:t xml:space="preserve"> ensur</w:t>
      </w:r>
      <w:r>
        <w:t>ing</w:t>
      </w:r>
      <w:r w:rsidR="004C05CD">
        <w:t xml:space="preserve"> that employees understand how their compensation is determined and </w:t>
      </w:r>
      <w:proofErr w:type="gramStart"/>
      <w:r w:rsidR="004C05CD">
        <w:t>distributed</w:t>
      </w:r>
      <w:proofErr w:type="gramEnd"/>
    </w:p>
    <w:p w:rsidR="004C05CD" w:rsidP="004C05CD" w:rsidRDefault="00241099" w14:paraId="27C108DA" w14:textId="505F5143">
      <w:pPr>
        <w:pStyle w:val="ESBodyText"/>
        <w:numPr>
          <w:ilvl w:val="0"/>
          <w:numId w:val="25"/>
        </w:numPr>
        <w:spacing w:line="276" w:lineRule="auto"/>
      </w:pPr>
      <w:r>
        <w:t>E</w:t>
      </w:r>
      <w:r w:rsidR="004C05CD">
        <w:t xml:space="preserve">stablishing clear deadlines for submission of timesheets or other relevant information, processing payroll on schedule, and </w:t>
      </w:r>
      <w:r>
        <w:t xml:space="preserve">procedures to </w:t>
      </w:r>
      <w:r w:rsidR="004C05CD">
        <w:t>promptly address any payroll-related queries or issues that arise.</w:t>
      </w:r>
    </w:p>
    <w:p w:rsidR="004C05CD" w:rsidP="004C05CD" w:rsidRDefault="004C05CD" w14:paraId="337D50B6" w14:textId="77777777">
      <w:pPr>
        <w:pStyle w:val="VCAAHeading2"/>
        <w:numPr>
          <w:ilvl w:val="0"/>
          <w:numId w:val="20"/>
        </w:numPr>
        <w:spacing w:line="276" w:lineRule="auto"/>
      </w:pPr>
      <w:bookmarkStart w:name="_Toc164356675" w:id="15"/>
      <w:bookmarkStart w:name="_Toc169076926" w:id="16"/>
      <w:bookmarkStart w:name="_Toc171424600" w:id="17"/>
      <w:r>
        <w:t>Principals</w:t>
      </w:r>
      <w:bookmarkEnd w:id="15"/>
      <w:bookmarkEnd w:id="16"/>
      <w:bookmarkEnd w:id="17"/>
    </w:p>
    <w:p w:rsidR="004C05CD" w:rsidP="004C05CD" w:rsidRDefault="004C05CD" w14:paraId="698E34D3" w14:textId="77777777">
      <w:pPr>
        <w:pStyle w:val="VCAAHeading5"/>
        <w:numPr>
          <w:ilvl w:val="1"/>
          <w:numId w:val="33"/>
        </w:numPr>
      </w:pPr>
      <w:bookmarkStart w:name="_Toc169076927" w:id="18"/>
      <w:bookmarkStart w:name="_Toc171424601" w:id="19"/>
      <w:r w:rsidRPr="004E11F7">
        <w:t>Fairness</w:t>
      </w:r>
      <w:r>
        <w:t xml:space="preserve"> and</w:t>
      </w:r>
      <w:r w:rsidRPr="004E11F7">
        <w:t xml:space="preserve"> efficiency</w:t>
      </w:r>
      <w:bookmarkEnd w:id="18"/>
      <w:bookmarkEnd w:id="19"/>
    </w:p>
    <w:p w:rsidR="004C05CD" w:rsidP="004C05CD" w:rsidRDefault="004C05CD" w14:paraId="0F8D7346" w14:textId="77777777">
      <w:pPr>
        <w:pStyle w:val="ESBodyText"/>
      </w:pPr>
      <w:r w:rsidRPr="00F312C9">
        <w:t>Ensur</w:t>
      </w:r>
      <w:r>
        <w:t>e</w:t>
      </w:r>
      <w:r w:rsidRPr="00F312C9">
        <w:t xml:space="preserve"> compensation practices are fair and equitable, </w:t>
      </w:r>
      <w:proofErr w:type="gramStart"/>
      <w:r w:rsidRPr="00F312C9">
        <w:t>taking into account</w:t>
      </w:r>
      <w:proofErr w:type="gramEnd"/>
      <w:r w:rsidRPr="00F312C9">
        <w:t xml:space="preserve"> factors such as job responsibilities, skills, experience, and performance.</w:t>
      </w:r>
    </w:p>
    <w:p w:rsidR="004C05CD" w:rsidP="004C05CD" w:rsidRDefault="004C05CD" w14:paraId="408BF821" w14:textId="77777777">
      <w:pPr>
        <w:pStyle w:val="VCAAHeading5"/>
        <w:numPr>
          <w:ilvl w:val="1"/>
          <w:numId w:val="33"/>
        </w:numPr>
      </w:pPr>
      <w:bookmarkStart w:name="_Toc169076928" w:id="20"/>
      <w:bookmarkStart w:name="_Toc171424602" w:id="21"/>
      <w:r w:rsidRPr="004E11F7">
        <w:t>Transparency</w:t>
      </w:r>
      <w:bookmarkEnd w:id="20"/>
      <w:bookmarkEnd w:id="21"/>
    </w:p>
    <w:p w:rsidR="004C05CD" w:rsidP="004C05CD" w:rsidRDefault="004C05CD" w14:paraId="54BAF090" w14:textId="77777777">
      <w:pPr>
        <w:pStyle w:val="ESBodyText"/>
      </w:pPr>
      <w:r w:rsidRPr="00F312C9">
        <w:t xml:space="preserve">Clearly communicating the </w:t>
      </w:r>
      <w:proofErr w:type="spellStart"/>
      <w:r w:rsidRPr="00F312C9">
        <w:t>organi</w:t>
      </w:r>
      <w:r>
        <w:t>s</w:t>
      </w:r>
      <w:r w:rsidRPr="00F312C9">
        <w:t>ation's</w:t>
      </w:r>
      <w:proofErr w:type="spellEnd"/>
      <w:r w:rsidRPr="00F312C9">
        <w:t xml:space="preserve"> payment practices, including how compensation is determined, and the criteria used for salary increases.</w:t>
      </w:r>
    </w:p>
    <w:p w:rsidR="004C05CD" w:rsidP="004C05CD" w:rsidRDefault="004C05CD" w14:paraId="22ABB7B4" w14:textId="77777777">
      <w:pPr>
        <w:pStyle w:val="VCAAHeading5"/>
        <w:numPr>
          <w:ilvl w:val="1"/>
          <w:numId w:val="33"/>
        </w:numPr>
      </w:pPr>
      <w:bookmarkStart w:name="_Toc169076929" w:id="22"/>
      <w:bookmarkStart w:name="_Toc171424603" w:id="23"/>
      <w:r>
        <w:t>Compliance</w:t>
      </w:r>
      <w:bookmarkEnd w:id="22"/>
      <w:bookmarkEnd w:id="23"/>
      <w:r w:rsidRPr="00055B10">
        <w:t xml:space="preserve"> </w:t>
      </w:r>
    </w:p>
    <w:p w:rsidRPr="00055B10" w:rsidR="004C05CD" w:rsidP="004C05CD" w:rsidRDefault="004C05CD" w14:paraId="30B343BE" w14:textId="77777777">
      <w:pPr>
        <w:pStyle w:val="ESBodyText"/>
      </w:pPr>
      <w:r w:rsidRPr="00055B10">
        <w:t>Adhere to all applicable laws, regulations, and industry standards related to compensation, including minimum wage requirements, overtime pay regulations, and equal pay laws.</w:t>
      </w:r>
    </w:p>
    <w:p w:rsidR="004C05CD" w:rsidP="004C05CD" w:rsidRDefault="004C05CD" w14:paraId="683A9135" w14:textId="77777777">
      <w:pPr>
        <w:pStyle w:val="VCAAHeading5"/>
        <w:numPr>
          <w:ilvl w:val="1"/>
          <w:numId w:val="33"/>
        </w:numPr>
      </w:pPr>
      <w:bookmarkStart w:name="_Toc169076930" w:id="24"/>
      <w:bookmarkStart w:name="_Toc171424604" w:id="25"/>
      <w:r w:rsidRPr="004E11F7">
        <w:t>Accuracy</w:t>
      </w:r>
      <w:r>
        <w:t xml:space="preserve"> and consistency</w:t>
      </w:r>
      <w:bookmarkEnd w:id="24"/>
      <w:bookmarkEnd w:id="25"/>
    </w:p>
    <w:p w:rsidRPr="00055B10" w:rsidR="004C05CD" w:rsidP="004C05CD" w:rsidRDefault="004C05CD" w14:paraId="29E19F82" w14:textId="77777777">
      <w:pPr>
        <w:pStyle w:val="ESBodyText"/>
      </w:pPr>
      <w:r w:rsidRPr="001D1860">
        <w:t>Ensur</w:t>
      </w:r>
      <w:r>
        <w:t>e</w:t>
      </w:r>
      <w:r w:rsidRPr="001D1860">
        <w:t xml:space="preserve"> payment calculations are accurate and based on reliable data, including accurate recording of work hours, proper classification of employees, and timely processing of payroll.</w:t>
      </w:r>
      <w:r>
        <w:t xml:space="preserve"> </w:t>
      </w:r>
      <w:r w:rsidRPr="001D1860">
        <w:t>Applying payment policies consistently across the organi</w:t>
      </w:r>
      <w:r>
        <w:t>s</w:t>
      </w:r>
      <w:r w:rsidRPr="001D1860">
        <w:t>ation to promote fairness and avoid discrimination.</w:t>
      </w:r>
    </w:p>
    <w:p w:rsidR="004C05CD" w:rsidP="004C05CD" w:rsidRDefault="004C05CD" w14:paraId="4FB0FE5D" w14:textId="77777777">
      <w:pPr>
        <w:pStyle w:val="VCAAHeading2"/>
        <w:numPr>
          <w:ilvl w:val="0"/>
          <w:numId w:val="20"/>
        </w:numPr>
        <w:spacing w:line="276" w:lineRule="auto"/>
      </w:pPr>
      <w:bookmarkStart w:name="_Toc164356676" w:id="26"/>
      <w:bookmarkStart w:name="_Toc169076931" w:id="27"/>
      <w:bookmarkStart w:name="_Toc171424605" w:id="28"/>
      <w:r>
        <w:t>Roles and responsibilities</w:t>
      </w:r>
      <w:bookmarkEnd w:id="26"/>
      <w:bookmarkEnd w:id="27"/>
      <w:bookmarkEnd w:id="28"/>
    </w:p>
    <w:p w:rsidR="004C05CD" w:rsidP="004C05CD" w:rsidRDefault="004C05CD" w14:paraId="541B2235" w14:textId="6C02D12B">
      <w:pPr>
        <w:pStyle w:val="VCAAHeading5"/>
        <w:numPr>
          <w:ilvl w:val="1"/>
          <w:numId w:val="30"/>
        </w:numPr>
        <w:spacing w:line="276" w:lineRule="auto"/>
      </w:pPr>
      <w:bookmarkStart w:name="_Toc169076932" w:id="29"/>
      <w:bookmarkStart w:name="_Toc171424606" w:id="30"/>
      <w:r w:rsidRPr="0000175E">
        <w:t xml:space="preserve">The </w:t>
      </w:r>
      <w:r w:rsidR="00724CFE">
        <w:t>e</w:t>
      </w:r>
      <w:r w:rsidRPr="0000175E">
        <w:t>mployer</w:t>
      </w:r>
      <w:bookmarkEnd w:id="29"/>
      <w:bookmarkEnd w:id="30"/>
    </w:p>
    <w:p w:rsidRPr="002B4745" w:rsidR="00724CFE" w:rsidP="002B4745" w:rsidRDefault="00724CFE" w14:paraId="33051A6D" w14:textId="696B5F2D">
      <w:pPr>
        <w:rPr>
          <w:sz w:val="18"/>
          <w:szCs w:val="18"/>
        </w:rPr>
      </w:pPr>
      <w:r w:rsidRPr="002B4745">
        <w:rPr>
          <w:sz w:val="18"/>
          <w:szCs w:val="18"/>
          <w:lang w:val="en" w:eastAsia="en-AU"/>
        </w:rPr>
        <w:t>The responsibilities of the employer are:</w:t>
      </w:r>
    </w:p>
    <w:p w:rsidRPr="0000175E" w:rsidR="004C05CD" w:rsidP="004C05CD" w:rsidRDefault="00724CFE" w14:paraId="2FFC1EBA" w14:textId="2274D9C8">
      <w:pPr>
        <w:pStyle w:val="ESBodyText"/>
        <w:numPr>
          <w:ilvl w:val="0"/>
          <w:numId w:val="32"/>
        </w:numPr>
        <w:spacing w:after="0" w:line="276" w:lineRule="auto"/>
        <w:jc w:val="both"/>
        <w:rPr>
          <w:rFonts w:asciiTheme="minorHAnsi" w:hAnsiTheme="minorHAnsi" w:cstheme="minorHAnsi"/>
        </w:rPr>
      </w:pPr>
      <w:r>
        <w:rPr>
          <w:rFonts w:asciiTheme="minorHAnsi" w:hAnsiTheme="minorHAnsi" w:cstheme="minorHAnsi"/>
        </w:rPr>
        <w:t>r</w:t>
      </w:r>
      <w:r w:rsidRPr="0000175E" w:rsidR="004C05CD">
        <w:rPr>
          <w:rFonts w:asciiTheme="minorHAnsi" w:hAnsiTheme="minorHAnsi" w:cstheme="minorHAnsi"/>
        </w:rPr>
        <w:t>ectifying any payroll errors promptly and fairly</w:t>
      </w:r>
    </w:p>
    <w:p w:rsidR="004C05CD" w:rsidP="004C05CD" w:rsidRDefault="00724CFE" w14:paraId="76338661" w14:textId="0BF33A27">
      <w:pPr>
        <w:pStyle w:val="ESBodyText"/>
        <w:numPr>
          <w:ilvl w:val="0"/>
          <w:numId w:val="32"/>
        </w:numPr>
        <w:spacing w:after="0" w:line="276" w:lineRule="auto"/>
        <w:jc w:val="both"/>
        <w:rPr>
          <w:rFonts w:asciiTheme="minorHAnsi" w:hAnsiTheme="minorHAnsi" w:cstheme="minorHAnsi"/>
        </w:rPr>
      </w:pPr>
      <w:r>
        <w:rPr>
          <w:rFonts w:asciiTheme="minorHAnsi" w:hAnsiTheme="minorHAnsi" w:cstheme="minorHAnsi"/>
        </w:rPr>
        <w:t>c</w:t>
      </w:r>
      <w:r w:rsidRPr="0000175E" w:rsidR="004C05CD">
        <w:rPr>
          <w:rFonts w:asciiTheme="minorHAnsi" w:hAnsiTheme="minorHAnsi" w:cstheme="minorHAnsi"/>
        </w:rPr>
        <w:t>ontacting employees to bring to their attention an</w:t>
      </w:r>
      <w:r w:rsidR="004C05CD">
        <w:rPr>
          <w:rFonts w:asciiTheme="minorHAnsi" w:hAnsiTheme="minorHAnsi" w:cstheme="minorHAnsi"/>
        </w:rPr>
        <w:t>y</w:t>
      </w:r>
      <w:r w:rsidRPr="0000175E" w:rsidR="004C05CD">
        <w:rPr>
          <w:rFonts w:asciiTheme="minorHAnsi" w:hAnsiTheme="minorHAnsi" w:cstheme="minorHAnsi"/>
        </w:rPr>
        <w:t xml:space="preserve"> issue</w:t>
      </w:r>
      <w:r w:rsidR="004C05CD">
        <w:rPr>
          <w:rFonts w:asciiTheme="minorHAnsi" w:hAnsiTheme="minorHAnsi" w:cstheme="minorHAnsi"/>
        </w:rPr>
        <w:t>s</w:t>
      </w:r>
      <w:r w:rsidRPr="0000175E" w:rsidR="004C05CD">
        <w:rPr>
          <w:rFonts w:asciiTheme="minorHAnsi" w:hAnsiTheme="minorHAnsi" w:cstheme="minorHAnsi"/>
        </w:rPr>
        <w:t xml:space="preserve"> regarding their fortnightly pay, including the fortnight dates, and the fortnightly pay </w:t>
      </w:r>
      <w:proofErr w:type="gramStart"/>
      <w:r w:rsidRPr="0000175E" w:rsidR="004C05CD">
        <w:rPr>
          <w:rFonts w:asciiTheme="minorHAnsi" w:hAnsiTheme="minorHAnsi" w:cstheme="minorHAnsi"/>
        </w:rPr>
        <w:t>amount</w:t>
      </w:r>
      <w:proofErr w:type="gramEnd"/>
    </w:p>
    <w:p w:rsidR="004C05CD" w:rsidP="004C05CD" w:rsidRDefault="00724CFE" w14:paraId="31B73C03" w14:textId="69AAE77E">
      <w:pPr>
        <w:pStyle w:val="ESBodyText"/>
        <w:numPr>
          <w:ilvl w:val="0"/>
          <w:numId w:val="32"/>
        </w:numPr>
        <w:spacing w:after="0" w:line="276" w:lineRule="auto"/>
        <w:jc w:val="both"/>
        <w:rPr>
          <w:rFonts w:asciiTheme="minorHAnsi" w:hAnsiTheme="minorHAnsi" w:cstheme="minorHAnsi"/>
        </w:rPr>
      </w:pPr>
      <w:r>
        <w:rPr>
          <w:rFonts w:asciiTheme="minorHAnsi" w:hAnsiTheme="minorHAnsi" w:cstheme="minorHAnsi"/>
        </w:rPr>
        <w:t>c</w:t>
      </w:r>
      <w:r w:rsidRPr="0000175E" w:rsidR="004C05CD">
        <w:rPr>
          <w:rFonts w:asciiTheme="minorHAnsi" w:hAnsiTheme="minorHAnsi" w:cstheme="minorHAnsi"/>
        </w:rPr>
        <w:t>ommunicating any discrepancies to the employee through email</w:t>
      </w:r>
    </w:p>
    <w:p w:rsidRPr="0000175E" w:rsidR="004C05CD" w:rsidP="004C05CD" w:rsidRDefault="00724CFE" w14:paraId="5D8613D5" w14:textId="5C7FC063">
      <w:pPr>
        <w:pStyle w:val="ESBodyText"/>
        <w:numPr>
          <w:ilvl w:val="0"/>
          <w:numId w:val="32"/>
        </w:numPr>
        <w:spacing w:after="0" w:line="276" w:lineRule="auto"/>
        <w:jc w:val="both"/>
        <w:rPr>
          <w:rFonts w:asciiTheme="minorHAnsi" w:hAnsiTheme="minorHAnsi" w:cstheme="minorHAnsi"/>
        </w:rPr>
      </w:pPr>
      <w:r>
        <w:rPr>
          <w:rFonts w:asciiTheme="minorHAnsi" w:hAnsiTheme="minorHAnsi" w:cstheme="minorHAnsi"/>
        </w:rPr>
        <w:t>o</w:t>
      </w:r>
      <w:r w:rsidRPr="00D97544" w:rsidR="004C05CD">
        <w:rPr>
          <w:rFonts w:asciiTheme="minorHAnsi" w:hAnsiTheme="minorHAnsi" w:cstheme="minorHAnsi"/>
        </w:rPr>
        <w:t>ffer</w:t>
      </w:r>
      <w:r w:rsidR="004C05CD">
        <w:rPr>
          <w:rFonts w:asciiTheme="minorHAnsi" w:hAnsiTheme="minorHAnsi" w:cstheme="minorHAnsi"/>
        </w:rPr>
        <w:t>ing</w:t>
      </w:r>
      <w:r w:rsidRPr="00D97544" w:rsidR="004C05CD">
        <w:rPr>
          <w:rFonts w:asciiTheme="minorHAnsi" w:hAnsiTheme="minorHAnsi" w:cstheme="minorHAnsi"/>
        </w:rPr>
        <w:t xml:space="preserve"> new </w:t>
      </w:r>
      <w:proofErr w:type="gramStart"/>
      <w:r w:rsidRPr="00D97544" w:rsidR="004C05CD">
        <w:rPr>
          <w:rFonts w:asciiTheme="minorHAnsi" w:hAnsiTheme="minorHAnsi" w:cstheme="minorHAnsi"/>
        </w:rPr>
        <w:t>employees</w:t>
      </w:r>
      <w:proofErr w:type="gramEnd"/>
      <w:r w:rsidRPr="00D97544" w:rsidR="004C05CD">
        <w:rPr>
          <w:rFonts w:asciiTheme="minorHAnsi" w:hAnsiTheme="minorHAnsi" w:cstheme="minorHAnsi"/>
        </w:rPr>
        <w:t xml:space="preserve"> the opportunity to choose the superannuation fund to which they wish to direct the employer's superannuation guarantee (SG) contributions</w:t>
      </w:r>
      <w:r>
        <w:rPr>
          <w:rFonts w:asciiTheme="minorHAnsi" w:hAnsiTheme="minorHAnsi" w:cstheme="minorHAnsi"/>
        </w:rPr>
        <w:t>.</w:t>
      </w:r>
    </w:p>
    <w:p w:rsidR="004C05CD" w:rsidP="004C05CD" w:rsidRDefault="00724CFE" w14:paraId="3963B52D" w14:textId="29C31624">
      <w:pPr>
        <w:pStyle w:val="ESBodyText"/>
        <w:numPr>
          <w:ilvl w:val="0"/>
          <w:numId w:val="24"/>
        </w:numPr>
        <w:spacing w:after="0" w:line="276" w:lineRule="auto"/>
        <w:rPr>
          <w:lang w:val="en" w:eastAsia="en-AU"/>
        </w:rPr>
      </w:pPr>
      <w:r>
        <w:rPr>
          <w:lang w:val="en" w:eastAsia="en-AU"/>
        </w:rPr>
        <w:t>c</w:t>
      </w:r>
      <w:r w:rsidRPr="004E11F7" w:rsidR="004C05CD">
        <w:rPr>
          <w:lang w:val="en" w:eastAsia="en-AU"/>
        </w:rPr>
        <w:t>ommunicat</w:t>
      </w:r>
      <w:r w:rsidR="004C05CD">
        <w:rPr>
          <w:lang w:val="en" w:eastAsia="en-AU"/>
        </w:rPr>
        <w:t>ing</w:t>
      </w:r>
      <w:r w:rsidRPr="004E11F7" w:rsidR="004C05CD">
        <w:rPr>
          <w:lang w:val="en" w:eastAsia="en-AU"/>
        </w:rPr>
        <w:t xml:space="preserve"> the details of the </w:t>
      </w:r>
      <w:r w:rsidR="00241099">
        <w:rPr>
          <w:lang w:val="en" w:eastAsia="en-AU"/>
        </w:rPr>
        <w:t>guidelines</w:t>
      </w:r>
      <w:r w:rsidRPr="004E11F7" w:rsidR="004C05CD">
        <w:rPr>
          <w:lang w:val="en" w:eastAsia="en-AU"/>
        </w:rPr>
        <w:t xml:space="preserve"> to </w:t>
      </w:r>
      <w:r w:rsidR="004C05CD">
        <w:rPr>
          <w:lang w:val="en" w:eastAsia="en-AU"/>
        </w:rPr>
        <w:t xml:space="preserve">employees, </w:t>
      </w:r>
      <w:r w:rsidRPr="004E11F7" w:rsidR="004C05CD">
        <w:rPr>
          <w:lang w:val="en" w:eastAsia="en-AU"/>
        </w:rPr>
        <w:t>ensuring that the relevant terms, conditions, and procedures</w:t>
      </w:r>
      <w:r w:rsidR="004C05CD">
        <w:rPr>
          <w:lang w:val="en" w:eastAsia="en-AU"/>
        </w:rPr>
        <w:t xml:space="preserve"> are</w:t>
      </w:r>
      <w:r w:rsidRPr="004E11F7" w:rsidR="004C05CD">
        <w:rPr>
          <w:lang w:val="en" w:eastAsia="en-AU"/>
        </w:rPr>
        <w:t xml:space="preserve"> </w:t>
      </w:r>
      <w:proofErr w:type="gramStart"/>
      <w:r w:rsidRPr="004E11F7" w:rsidR="004C05CD">
        <w:rPr>
          <w:lang w:val="en" w:eastAsia="en-AU"/>
        </w:rPr>
        <w:t>underst</w:t>
      </w:r>
      <w:r w:rsidR="004C05CD">
        <w:rPr>
          <w:lang w:val="en" w:eastAsia="en-AU"/>
        </w:rPr>
        <w:t>ood</w:t>
      </w:r>
      <w:proofErr w:type="gramEnd"/>
    </w:p>
    <w:p w:rsidR="004C05CD" w:rsidP="4A7044ED" w:rsidRDefault="00724CFE" w14:paraId="412A5A89" w14:textId="78B17B8E">
      <w:pPr>
        <w:pStyle w:val="ESBodyText"/>
        <w:numPr>
          <w:ilvl w:val="0"/>
          <w:numId w:val="24"/>
        </w:numPr>
        <w:spacing w:after="0" w:line="276" w:lineRule="auto"/>
        <w:rPr>
          <w:lang w:eastAsia="en-AU"/>
        </w:rPr>
      </w:pPr>
      <w:r w:rsidRPr="4A7044ED">
        <w:rPr>
          <w:lang w:eastAsia="en-AU"/>
        </w:rPr>
        <w:t>m</w:t>
      </w:r>
      <w:r w:rsidRPr="4A7044ED" w:rsidR="004C05CD">
        <w:rPr>
          <w:lang w:eastAsia="en-AU"/>
        </w:rPr>
        <w:t xml:space="preserve">onitoring employee adherence to the </w:t>
      </w:r>
      <w:r w:rsidR="00241099">
        <w:rPr>
          <w:lang w:eastAsia="en-AU"/>
        </w:rPr>
        <w:t>guidelines</w:t>
      </w:r>
      <w:r w:rsidRPr="4A7044ED" w:rsidR="004C05CD">
        <w:rPr>
          <w:lang w:eastAsia="en-AU"/>
        </w:rPr>
        <w:t xml:space="preserve">, ensuring that timekeeping records are </w:t>
      </w:r>
      <w:proofErr w:type="gramStart"/>
      <w:r w:rsidRPr="4A7044ED" w:rsidR="004C05CD">
        <w:rPr>
          <w:lang w:eastAsia="en-AU"/>
        </w:rPr>
        <w:t>accurate</w:t>
      </w:r>
      <w:proofErr w:type="gramEnd"/>
      <w:r w:rsidRPr="4A7044ED" w:rsidR="004C05CD">
        <w:rPr>
          <w:lang w:eastAsia="en-AU"/>
        </w:rPr>
        <w:t xml:space="preserve"> and that all necessary documentation is submitted on time</w:t>
      </w:r>
    </w:p>
    <w:p w:rsidR="004C05CD" w:rsidP="4A7044ED" w:rsidRDefault="00724CFE" w14:paraId="10E015C9" w14:textId="3DD4F719">
      <w:pPr>
        <w:pStyle w:val="ESBodyText"/>
        <w:numPr>
          <w:ilvl w:val="0"/>
          <w:numId w:val="24"/>
        </w:numPr>
        <w:spacing w:after="0" w:line="276" w:lineRule="auto"/>
        <w:rPr>
          <w:lang w:eastAsia="en-AU"/>
        </w:rPr>
      </w:pPr>
      <w:r w:rsidRPr="79D27CDA" w:rsidR="00724CFE">
        <w:rPr>
          <w:lang w:eastAsia="en-AU"/>
        </w:rPr>
        <w:t>a</w:t>
      </w:r>
      <w:r w:rsidRPr="79D27CDA" w:rsidR="004C05CD">
        <w:rPr>
          <w:lang w:eastAsia="en-AU"/>
        </w:rPr>
        <w:t xml:space="preserve">pproving and verifying </w:t>
      </w:r>
      <w:r w:rsidRPr="79D27CDA" w:rsidR="76A95AF0">
        <w:rPr>
          <w:lang w:eastAsia="en-AU"/>
        </w:rPr>
        <w:t>timesheets</w:t>
      </w:r>
      <w:r w:rsidRPr="79D27CDA" w:rsidR="004C05CD">
        <w:rPr>
          <w:lang w:eastAsia="en-AU"/>
        </w:rPr>
        <w:t xml:space="preserve">, expense reports, or other payment-related documents </w:t>
      </w:r>
      <w:r w:rsidRPr="79D27CDA" w:rsidR="004C05CD">
        <w:rPr>
          <w:lang w:eastAsia="en-AU"/>
        </w:rPr>
        <w:t>submitted</w:t>
      </w:r>
      <w:r w:rsidRPr="79D27CDA" w:rsidR="004C05CD">
        <w:rPr>
          <w:lang w:eastAsia="en-AU"/>
        </w:rPr>
        <w:t xml:space="preserve"> by employees before </w:t>
      </w:r>
      <w:r w:rsidRPr="79D27CDA" w:rsidR="004C05CD">
        <w:rPr>
          <w:lang w:eastAsia="en-AU"/>
        </w:rPr>
        <w:t>submission</w:t>
      </w:r>
    </w:p>
    <w:p w:rsidR="004C05CD" w:rsidP="4A7044ED" w:rsidRDefault="00724CFE" w14:paraId="7FB07597" w14:textId="7F168605">
      <w:pPr>
        <w:pStyle w:val="ESBodyText"/>
        <w:numPr>
          <w:ilvl w:val="0"/>
          <w:numId w:val="24"/>
        </w:numPr>
        <w:spacing w:after="0" w:line="276" w:lineRule="auto"/>
        <w:rPr>
          <w:lang w:eastAsia="en-AU"/>
        </w:rPr>
      </w:pPr>
      <w:r w:rsidRPr="79D27CDA" w:rsidR="00724CFE">
        <w:rPr>
          <w:lang w:eastAsia="en-AU"/>
        </w:rPr>
        <w:t>a</w:t>
      </w:r>
      <w:r w:rsidRPr="79D27CDA" w:rsidR="004C05CD">
        <w:rPr>
          <w:lang w:eastAsia="en-AU"/>
        </w:rPr>
        <w:t xml:space="preserve">ddressing any </w:t>
      </w:r>
      <w:r w:rsidRPr="79D27CDA" w:rsidR="2ABA8C4E">
        <w:rPr>
          <w:lang w:eastAsia="en-AU"/>
        </w:rPr>
        <w:t>discrepancies</w:t>
      </w:r>
      <w:r w:rsidRPr="79D27CDA" w:rsidR="004C05CD">
        <w:rPr>
          <w:lang w:eastAsia="en-AU"/>
        </w:rPr>
        <w:t xml:space="preserve"> or issues promptly and ensure that they are resolved </w:t>
      </w:r>
      <w:r w:rsidRPr="79D27CDA" w:rsidR="004C05CD">
        <w:rPr>
          <w:lang w:eastAsia="en-AU"/>
        </w:rPr>
        <w:t>in accordance with</w:t>
      </w:r>
      <w:r w:rsidRPr="79D27CDA" w:rsidR="004C05CD">
        <w:rPr>
          <w:lang w:eastAsia="en-AU"/>
        </w:rPr>
        <w:t xml:space="preserve"> VCAA policies and </w:t>
      </w:r>
      <w:r w:rsidRPr="79D27CDA" w:rsidR="004C05CD">
        <w:rPr>
          <w:lang w:eastAsia="en-AU"/>
        </w:rPr>
        <w:t>procedures</w:t>
      </w:r>
    </w:p>
    <w:p w:rsidR="004C05CD" w:rsidP="004C05CD" w:rsidRDefault="00724CFE" w14:paraId="2F9C1D30" w14:textId="0BB656EE">
      <w:pPr>
        <w:pStyle w:val="ESBodyText"/>
        <w:numPr>
          <w:ilvl w:val="0"/>
          <w:numId w:val="24"/>
        </w:numPr>
        <w:spacing w:after="0" w:line="276" w:lineRule="auto"/>
        <w:rPr>
          <w:lang w:val="en" w:eastAsia="en-AU"/>
        </w:rPr>
      </w:pPr>
      <w:r>
        <w:rPr>
          <w:lang w:val="en" w:eastAsia="en-AU"/>
        </w:rPr>
        <w:t>e</w:t>
      </w:r>
      <w:r w:rsidRPr="004E11F7" w:rsidR="004C05CD">
        <w:rPr>
          <w:lang w:val="en" w:eastAsia="en-AU"/>
        </w:rPr>
        <w:t>nsur</w:t>
      </w:r>
      <w:r w:rsidR="004C05CD">
        <w:rPr>
          <w:lang w:val="en" w:eastAsia="en-AU"/>
        </w:rPr>
        <w:t>ing</w:t>
      </w:r>
      <w:r w:rsidRPr="004E11F7" w:rsidR="004C05CD">
        <w:rPr>
          <w:lang w:val="en" w:eastAsia="en-AU"/>
        </w:rPr>
        <w:t xml:space="preserve"> sensitive payment information, such as salary details and payroll records, is handled securely and kept confidential.</w:t>
      </w:r>
    </w:p>
    <w:p w:rsidR="004C05CD" w:rsidP="004C05CD" w:rsidRDefault="004C05CD" w14:paraId="13189388" w14:textId="77777777">
      <w:pPr>
        <w:pStyle w:val="VCAAHeading5"/>
        <w:numPr>
          <w:ilvl w:val="1"/>
          <w:numId w:val="30"/>
        </w:numPr>
        <w:spacing w:line="276" w:lineRule="auto"/>
      </w:pPr>
      <w:bookmarkStart w:name="_Toc169076934" w:id="31"/>
      <w:bookmarkStart w:name="_Toc171424607" w:id="32"/>
      <w:r>
        <w:t>Employees</w:t>
      </w:r>
      <w:bookmarkEnd w:id="31"/>
      <w:bookmarkEnd w:id="32"/>
    </w:p>
    <w:p w:rsidRPr="002B4745" w:rsidR="00724CFE" w:rsidP="002B4745" w:rsidRDefault="00724CFE" w14:paraId="2BEDB74E" w14:textId="7A620373">
      <w:pPr>
        <w:rPr>
          <w:sz w:val="18"/>
          <w:szCs w:val="18"/>
        </w:rPr>
      </w:pPr>
      <w:r w:rsidRPr="002B4745">
        <w:rPr>
          <w:sz w:val="18"/>
          <w:szCs w:val="18"/>
          <w:lang w:val="en" w:eastAsia="en-AU"/>
        </w:rPr>
        <w:t>Employees must:</w:t>
      </w:r>
    </w:p>
    <w:p w:rsidRPr="00F376D7" w:rsidR="004C05CD" w:rsidP="6A40936E" w:rsidRDefault="00724CFE" w14:paraId="30E07AC2" w14:textId="7AD28F13">
      <w:pPr>
        <w:pStyle w:val="ESBodyText"/>
        <w:numPr>
          <w:ilvl w:val="0"/>
          <w:numId w:val="23"/>
        </w:numPr>
        <w:spacing w:after="0" w:line="276" w:lineRule="auto"/>
        <w:rPr>
          <w:lang w:eastAsia="en-AU"/>
        </w:rPr>
      </w:pPr>
      <w:r w:rsidRPr="6A40936E">
        <w:rPr>
          <w:lang w:eastAsia="en-AU"/>
        </w:rPr>
        <w:t>u</w:t>
      </w:r>
      <w:r w:rsidRPr="6A40936E" w:rsidR="004C05CD">
        <w:rPr>
          <w:lang w:eastAsia="en-AU"/>
        </w:rPr>
        <w:t xml:space="preserve">nderstand and comply with the </w:t>
      </w:r>
      <w:r w:rsidR="00241099">
        <w:rPr>
          <w:lang w:eastAsia="en-AU"/>
        </w:rPr>
        <w:t>guidelines</w:t>
      </w:r>
      <w:r w:rsidRPr="6A40936E" w:rsidR="004C05CD">
        <w:rPr>
          <w:lang w:eastAsia="en-AU"/>
        </w:rPr>
        <w:t xml:space="preserve">, including </w:t>
      </w:r>
      <w:r w:rsidR="00241099">
        <w:rPr>
          <w:lang w:eastAsia="en-AU"/>
        </w:rPr>
        <w:t>the</w:t>
      </w:r>
      <w:r w:rsidRPr="6A40936E" w:rsidR="004C05CD">
        <w:rPr>
          <w:lang w:eastAsia="en-AU"/>
        </w:rPr>
        <w:t xml:space="preserve"> terms, conditions, and procedures related to payment, and other relevant </w:t>
      </w:r>
      <w:proofErr w:type="gramStart"/>
      <w:r w:rsidRPr="6A40936E" w:rsidR="004C05CD">
        <w:rPr>
          <w:lang w:eastAsia="en-AU"/>
        </w:rPr>
        <w:t>guidelines</w:t>
      </w:r>
      <w:proofErr w:type="gramEnd"/>
    </w:p>
    <w:p w:rsidR="004C05CD" w:rsidP="4A7044ED" w:rsidRDefault="00724CFE" w14:paraId="2ED240B7" w14:textId="5A008D3D">
      <w:pPr>
        <w:pStyle w:val="ESBodyText"/>
        <w:numPr>
          <w:ilvl w:val="0"/>
          <w:numId w:val="23"/>
        </w:numPr>
        <w:spacing w:after="0" w:line="276" w:lineRule="auto"/>
        <w:rPr>
          <w:lang w:eastAsia="en-AU"/>
        </w:rPr>
      </w:pPr>
      <w:r w:rsidRPr="4A7044ED">
        <w:rPr>
          <w:lang w:eastAsia="en-AU"/>
        </w:rPr>
        <w:t>e</w:t>
      </w:r>
      <w:r w:rsidRPr="4A7044ED" w:rsidR="004C05CD">
        <w:rPr>
          <w:lang w:eastAsia="en-AU"/>
        </w:rPr>
        <w:t>nsur</w:t>
      </w:r>
      <w:r w:rsidRPr="4A7044ED">
        <w:rPr>
          <w:lang w:eastAsia="en-AU"/>
        </w:rPr>
        <w:t>e</w:t>
      </w:r>
      <w:r w:rsidRPr="4A7044ED" w:rsidR="004C05CD">
        <w:rPr>
          <w:lang w:eastAsia="en-AU"/>
        </w:rPr>
        <w:t xml:space="preserve"> correct payment information has been entered into their </w:t>
      </w:r>
      <w:proofErr w:type="spellStart"/>
      <w:r w:rsidRPr="4A7044ED" w:rsidR="004C05CD">
        <w:rPr>
          <w:lang w:eastAsia="en-AU"/>
        </w:rPr>
        <w:t>eduPay</w:t>
      </w:r>
      <w:proofErr w:type="spellEnd"/>
      <w:r w:rsidRPr="4A7044ED" w:rsidR="004C05CD">
        <w:rPr>
          <w:lang w:eastAsia="en-AU"/>
        </w:rPr>
        <w:t xml:space="preserve"> </w:t>
      </w:r>
      <w:proofErr w:type="gramStart"/>
      <w:r w:rsidRPr="4A7044ED" w:rsidR="004C05CD">
        <w:rPr>
          <w:lang w:eastAsia="en-AU"/>
        </w:rPr>
        <w:t>profile</w:t>
      </w:r>
      <w:proofErr w:type="gramEnd"/>
    </w:p>
    <w:p w:rsidRPr="004E11F7" w:rsidR="004C05CD" w:rsidP="4A7044ED" w:rsidRDefault="00724CFE" w14:paraId="530976F5" w14:textId="24D2B090">
      <w:pPr>
        <w:pStyle w:val="ESBodyText"/>
        <w:numPr>
          <w:ilvl w:val="0"/>
          <w:numId w:val="23"/>
        </w:numPr>
        <w:spacing w:after="0" w:line="276" w:lineRule="auto"/>
        <w:rPr>
          <w:lang w:eastAsia="en-AU"/>
        </w:rPr>
      </w:pPr>
      <w:r w:rsidRPr="4A7044ED">
        <w:rPr>
          <w:lang w:eastAsia="en-AU"/>
        </w:rPr>
        <w:t>a</w:t>
      </w:r>
      <w:r w:rsidRPr="4A7044ED" w:rsidR="004C05CD">
        <w:rPr>
          <w:lang w:eastAsia="en-AU"/>
        </w:rPr>
        <w:t xml:space="preserve">ccurately record hours of work through the </w:t>
      </w:r>
      <w:proofErr w:type="spellStart"/>
      <w:r w:rsidRPr="4A7044ED" w:rsidR="004C05CD">
        <w:rPr>
          <w:lang w:eastAsia="en-AU"/>
        </w:rPr>
        <w:t>eduPay</w:t>
      </w:r>
      <w:proofErr w:type="spellEnd"/>
      <w:r w:rsidRPr="4A7044ED" w:rsidR="004C05CD">
        <w:rPr>
          <w:lang w:eastAsia="en-AU"/>
        </w:rPr>
        <w:t xml:space="preserve"> timesheet and submit for approval within the specified deadlines outlined in the </w:t>
      </w:r>
      <w:proofErr w:type="gramStart"/>
      <w:r w:rsidR="00241099">
        <w:rPr>
          <w:lang w:eastAsia="en-AU"/>
        </w:rPr>
        <w:t>guidelines</w:t>
      </w:r>
      <w:proofErr w:type="gramEnd"/>
    </w:p>
    <w:p w:rsidR="004C05CD" w:rsidP="4A7044ED" w:rsidRDefault="00724CFE" w14:paraId="2D2583F9" w14:textId="4B6C4EC0">
      <w:pPr>
        <w:pStyle w:val="ESBodyText"/>
        <w:numPr>
          <w:ilvl w:val="0"/>
          <w:numId w:val="23"/>
        </w:numPr>
        <w:spacing w:after="0" w:line="276" w:lineRule="auto"/>
        <w:rPr>
          <w:lang w:eastAsia="en-AU"/>
        </w:rPr>
      </w:pPr>
      <w:r w:rsidRPr="4A7044ED">
        <w:rPr>
          <w:lang w:eastAsia="en-AU"/>
        </w:rPr>
        <w:t>p</w:t>
      </w:r>
      <w:r w:rsidRPr="4A7044ED" w:rsidR="004C05CD">
        <w:rPr>
          <w:lang w:eastAsia="en-AU"/>
        </w:rPr>
        <w:t>romptly report discrepancies or issues to the appropriate manager or authorised delegate for resolution</w:t>
      </w:r>
    </w:p>
    <w:p w:rsidR="004C05CD" w:rsidP="004C05CD" w:rsidRDefault="00724CFE" w14:paraId="1344C1AC" w14:textId="23D0E842">
      <w:pPr>
        <w:pStyle w:val="ESBodyText"/>
        <w:numPr>
          <w:ilvl w:val="0"/>
          <w:numId w:val="23"/>
        </w:numPr>
        <w:spacing w:after="0" w:line="276" w:lineRule="auto"/>
        <w:rPr>
          <w:lang w:val="en" w:eastAsia="en-AU"/>
        </w:rPr>
      </w:pPr>
      <w:r>
        <w:rPr>
          <w:lang w:val="en" w:eastAsia="en-AU"/>
        </w:rPr>
        <w:t>m</w:t>
      </w:r>
      <w:r w:rsidRPr="00F376D7" w:rsidR="004C05CD">
        <w:rPr>
          <w:lang w:val="en" w:eastAsia="en-AU"/>
        </w:rPr>
        <w:t xml:space="preserve">aintain confidentiality of sensitive information related to compensation, including salary details and payroll </w:t>
      </w:r>
      <w:proofErr w:type="gramStart"/>
      <w:r w:rsidRPr="00F376D7" w:rsidR="004C05CD">
        <w:rPr>
          <w:lang w:val="en" w:eastAsia="en-AU"/>
        </w:rPr>
        <w:t>information</w:t>
      </w:r>
      <w:proofErr w:type="gramEnd"/>
    </w:p>
    <w:p w:rsidRPr="00F376D7" w:rsidR="004C05CD" w:rsidP="004C05CD" w:rsidRDefault="00724CFE" w14:paraId="4FC6B1A2" w14:textId="433E4672">
      <w:pPr>
        <w:pStyle w:val="ESBodyText"/>
        <w:numPr>
          <w:ilvl w:val="0"/>
          <w:numId w:val="23"/>
        </w:numPr>
        <w:spacing w:after="0" w:line="276" w:lineRule="auto"/>
        <w:rPr>
          <w:lang w:val="en" w:eastAsia="en-AU"/>
        </w:rPr>
      </w:pPr>
      <w:r>
        <w:rPr>
          <w:lang w:val="en" w:eastAsia="en-AU"/>
        </w:rPr>
        <w:t>a</w:t>
      </w:r>
      <w:r w:rsidRPr="00F376D7" w:rsidR="004C05CD">
        <w:rPr>
          <w:lang w:val="en" w:eastAsia="en-AU"/>
        </w:rPr>
        <w:t>dher</w:t>
      </w:r>
      <w:r>
        <w:rPr>
          <w:lang w:val="en" w:eastAsia="en-AU"/>
        </w:rPr>
        <w:t>e</w:t>
      </w:r>
      <w:r w:rsidRPr="00F376D7" w:rsidR="004C05CD">
        <w:rPr>
          <w:lang w:val="en" w:eastAsia="en-AU"/>
        </w:rPr>
        <w:t xml:space="preserve"> to ethical standards in all aspects of payment-related activities, including honesty in reporting hours worked and expenses incurred.</w:t>
      </w:r>
    </w:p>
    <w:p w:rsidR="004C05CD" w:rsidP="004C05CD" w:rsidRDefault="004C05CD" w14:paraId="14997F01" w14:textId="77777777">
      <w:pPr>
        <w:pStyle w:val="VCAAHeading2"/>
        <w:numPr>
          <w:ilvl w:val="0"/>
          <w:numId w:val="20"/>
        </w:numPr>
        <w:spacing w:line="276" w:lineRule="auto"/>
      </w:pPr>
      <w:bookmarkStart w:name="_Toc169076935" w:id="33"/>
      <w:bookmarkStart w:name="_Toc171424608" w:id="34"/>
      <w:r>
        <w:t>Expectations</w:t>
      </w:r>
      <w:bookmarkEnd w:id="33"/>
      <w:bookmarkEnd w:id="34"/>
    </w:p>
    <w:p w:rsidRPr="007A39EB" w:rsidR="004C05CD" w:rsidP="004C05CD" w:rsidRDefault="004C05CD" w14:paraId="5FA9F319" w14:textId="77777777">
      <w:pPr>
        <w:pStyle w:val="VCAAHeading5"/>
        <w:numPr>
          <w:ilvl w:val="1"/>
          <w:numId w:val="26"/>
        </w:numPr>
        <w:spacing w:line="276" w:lineRule="auto"/>
      </w:pPr>
      <w:bookmarkStart w:name="_Toc169076936" w:id="35"/>
      <w:bookmarkStart w:name="_Toc171424609" w:id="36"/>
      <w:r>
        <w:t>Payment</w:t>
      </w:r>
      <w:r w:rsidRPr="007A39EB">
        <w:t xml:space="preserve"> of </w:t>
      </w:r>
      <w:r>
        <w:t>s</w:t>
      </w:r>
      <w:r w:rsidRPr="007A39EB">
        <w:t>alary</w:t>
      </w:r>
      <w:bookmarkEnd w:id="7"/>
      <w:bookmarkEnd w:id="35"/>
      <w:bookmarkEnd w:id="36"/>
    </w:p>
    <w:p w:rsidR="004C05CD" w:rsidP="004C05CD" w:rsidRDefault="004C05CD" w14:paraId="15DFE698" w14:textId="77777777">
      <w:pPr>
        <w:pStyle w:val="ESBodyText"/>
        <w:spacing w:line="276" w:lineRule="auto"/>
        <w:jc w:val="both"/>
      </w:pPr>
      <w:bookmarkStart w:name="_Hlk169082577" w:id="37"/>
      <w:r>
        <w:t xml:space="preserve">Salaries paid through </w:t>
      </w:r>
      <w:proofErr w:type="spellStart"/>
      <w:r>
        <w:t>eduPay</w:t>
      </w:r>
      <w:proofErr w:type="spellEnd"/>
      <w:r>
        <w:t xml:space="preserve"> can only be paid via electronic funds transfer. It is an employee's responsibility to ensure that they provide correct payment details in their </w:t>
      </w:r>
      <w:proofErr w:type="spellStart"/>
      <w:r>
        <w:t>eduPay</w:t>
      </w:r>
      <w:proofErr w:type="spellEnd"/>
      <w:r>
        <w:t xml:space="preserve"> portal.  </w:t>
      </w:r>
    </w:p>
    <w:p w:rsidR="004C05CD" w:rsidP="004C05CD" w:rsidRDefault="004C05CD" w14:paraId="499E06E5" w14:textId="4EF70C68">
      <w:pPr>
        <w:pStyle w:val="ESBodyText"/>
        <w:spacing w:line="276" w:lineRule="auto"/>
        <w:jc w:val="both"/>
      </w:pPr>
      <w:r w:rsidRPr="0033606F">
        <w:t>Salar</w:t>
      </w:r>
      <w:r>
        <w:t>ies will be paid into an employee's</w:t>
      </w:r>
      <w:r w:rsidRPr="0033606F">
        <w:t xml:space="preserve"> designated account </w:t>
      </w:r>
      <w:r>
        <w:t>each</w:t>
      </w:r>
      <w:r w:rsidRPr="0033606F">
        <w:t xml:space="preserve"> fortnight, with possible variations on public holidays </w:t>
      </w:r>
      <w:r w:rsidRPr="00354D9F">
        <w:t xml:space="preserve">(refer to </w:t>
      </w:r>
      <w:r w:rsidR="00724CFE">
        <w:t>p</w:t>
      </w:r>
      <w:r w:rsidRPr="00870C1C">
        <w:t xml:space="preserve">ay </w:t>
      </w:r>
      <w:r w:rsidR="00724CFE">
        <w:t>d</w:t>
      </w:r>
      <w:r w:rsidRPr="00870C1C">
        <w:t xml:space="preserve">ay </w:t>
      </w:r>
      <w:r w:rsidR="00724CFE">
        <w:t>c</w:t>
      </w:r>
      <w:r w:rsidRPr="00870C1C">
        <w:t>alendars</w:t>
      </w:r>
      <w:r w:rsidRPr="00354D9F">
        <w:t xml:space="preserve"> for details).</w:t>
      </w:r>
      <w:r>
        <w:t xml:space="preserve"> </w:t>
      </w:r>
      <w:r w:rsidRPr="0033606F">
        <w:t>Employees also have the option to allocate salary payments across multiple accounts or institutions by specifying a net pay percentage or a predetermined dollar amount for each account</w:t>
      </w:r>
      <w:r>
        <w:t>.</w:t>
      </w:r>
    </w:p>
    <w:p w:rsidR="004C05CD" w:rsidP="004C05CD" w:rsidRDefault="004C05CD" w14:paraId="4E7B6970" w14:textId="77777777">
      <w:pPr>
        <w:pStyle w:val="VCAAHeading5"/>
        <w:numPr>
          <w:ilvl w:val="1"/>
          <w:numId w:val="26"/>
        </w:numPr>
        <w:spacing w:line="276" w:lineRule="auto"/>
      </w:pPr>
      <w:bookmarkStart w:name="_Toc154656684" w:id="38"/>
      <w:bookmarkStart w:name="_Toc169076937" w:id="39"/>
      <w:bookmarkStart w:name="_Toc171424610" w:id="40"/>
      <w:bookmarkEnd w:id="37"/>
      <w:r>
        <w:t>Changing account details</w:t>
      </w:r>
      <w:bookmarkEnd w:id="38"/>
      <w:bookmarkEnd w:id="39"/>
      <w:bookmarkEnd w:id="40"/>
    </w:p>
    <w:p w:rsidR="004C05CD" w:rsidP="004C05CD" w:rsidRDefault="004C05CD" w14:paraId="6F88DD41" w14:textId="77777777">
      <w:pPr>
        <w:pStyle w:val="ESBodyText"/>
        <w:spacing w:line="276" w:lineRule="auto"/>
        <w:jc w:val="both"/>
      </w:pPr>
      <w:bookmarkStart w:name="_Hlk169082615" w:id="41"/>
      <w:r>
        <w:t xml:space="preserve">Employees </w:t>
      </w:r>
      <w:proofErr w:type="gramStart"/>
      <w:r>
        <w:t>are able to</w:t>
      </w:r>
      <w:proofErr w:type="gramEnd"/>
      <w:r>
        <w:t xml:space="preserve"> update bank account details via </w:t>
      </w:r>
      <w:proofErr w:type="spellStart"/>
      <w:r>
        <w:t>eduPay</w:t>
      </w:r>
      <w:proofErr w:type="spellEnd"/>
      <w:r>
        <w:t xml:space="preserve"> using the </w:t>
      </w:r>
      <w:r w:rsidRPr="00EC6030">
        <w:t>Employee Self Service (ESS)</w:t>
      </w:r>
      <w:r>
        <w:t xml:space="preserve"> feature at any time. When updating account details, employees are advised not to close old accounts until after the next pay period ensuring the new arrangements appear on the pay advice slip as confirmation of the update</w:t>
      </w:r>
      <w:bookmarkEnd w:id="41"/>
      <w:r>
        <w:t xml:space="preserve">. Employees are responsible for ensuring that the payment information </w:t>
      </w:r>
      <w:proofErr w:type="gramStart"/>
      <w:r>
        <w:t>entered into</w:t>
      </w:r>
      <w:proofErr w:type="gramEnd"/>
      <w:r>
        <w:t xml:space="preserve"> the system is correct. However, each pay run is monitored to identify </w:t>
      </w:r>
      <w:r w:rsidRPr="001A7E23">
        <w:t>alerts to potential</w:t>
      </w:r>
      <w:r>
        <w:t xml:space="preserve"> processing issues related to bank accounts. The VCAA may directly contact the affected employee to amend an error which is identified during the pay cycle.</w:t>
      </w:r>
    </w:p>
    <w:p w:rsidR="004C05CD" w:rsidP="004C05CD" w:rsidRDefault="004C05CD" w14:paraId="709CF235" w14:textId="77777777">
      <w:pPr>
        <w:pStyle w:val="VCAAHeading5"/>
        <w:numPr>
          <w:ilvl w:val="1"/>
          <w:numId w:val="26"/>
        </w:numPr>
        <w:spacing w:line="276" w:lineRule="auto"/>
      </w:pPr>
      <w:bookmarkStart w:name="_Toc164356679" w:id="42"/>
      <w:bookmarkStart w:name="_Toc169076938" w:id="43"/>
      <w:bookmarkStart w:name="_Toc171424611" w:id="44"/>
      <w:r>
        <w:t>Overpayments</w:t>
      </w:r>
      <w:bookmarkEnd w:id="42"/>
      <w:bookmarkEnd w:id="43"/>
      <w:bookmarkEnd w:id="44"/>
    </w:p>
    <w:p w:rsidR="004C05CD" w:rsidP="004C05CD" w:rsidRDefault="004C05CD" w14:paraId="5004D529" w14:textId="77777777">
      <w:pPr>
        <w:pStyle w:val="ESBodyText"/>
        <w:spacing w:line="276" w:lineRule="auto"/>
        <w:jc w:val="both"/>
      </w:pPr>
      <w:r>
        <w:t>Overpayments can occasionally occur in payroll processing errors.</w:t>
      </w:r>
      <w:r w:rsidRPr="005B4090">
        <w:t xml:space="preserve"> </w:t>
      </w:r>
      <w:r>
        <w:t>It is the responsibility of the VCAA to r</w:t>
      </w:r>
      <w:bookmarkStart w:name="_Hlk168995573" w:id="45"/>
      <w:r>
        <w:t>ectify any payroll errors promptly and fairly. Upon reviewing payroll records it may come to the attention of the VCAA there has been an overpayment in salary.</w:t>
      </w:r>
    </w:p>
    <w:p w:rsidR="004C05CD" w:rsidP="004C05CD" w:rsidRDefault="004C05CD" w14:paraId="6472741D" w14:textId="77777777">
      <w:pPr>
        <w:pStyle w:val="ESBodyText"/>
        <w:spacing w:line="276" w:lineRule="auto"/>
        <w:jc w:val="both"/>
      </w:pPr>
      <w:r>
        <w:t>In the case of an overpayment, the VCAA will contact employees to bring to their attention an issue regarding their recent fortnightly pay, including the fortnight dates, and the fortnightly pay amount.</w:t>
      </w:r>
    </w:p>
    <w:p w:rsidR="004C05CD" w:rsidP="004C05CD" w:rsidRDefault="004C05CD" w14:paraId="15DD5DCC" w14:textId="77777777">
      <w:pPr>
        <w:pStyle w:val="ESBodyText"/>
        <w:spacing w:line="276" w:lineRule="auto"/>
        <w:jc w:val="both"/>
      </w:pPr>
      <w:r>
        <w:t xml:space="preserve">The VCAA will communicate the discrepancy with the employee through email, </w:t>
      </w:r>
      <w:bookmarkEnd w:id="45"/>
      <w:r>
        <w:t>outlining the details of the overpayment, including:</w:t>
      </w:r>
    </w:p>
    <w:p w:rsidR="004C05CD" w:rsidP="004C05CD" w:rsidRDefault="008D4238" w14:paraId="686405BE" w14:textId="76A3C267">
      <w:pPr>
        <w:pStyle w:val="ESBodyText"/>
        <w:numPr>
          <w:ilvl w:val="0"/>
          <w:numId w:val="28"/>
        </w:numPr>
        <w:spacing w:line="276" w:lineRule="auto"/>
        <w:jc w:val="both"/>
      </w:pPr>
      <w:r>
        <w:t>o</w:t>
      </w:r>
      <w:r w:rsidR="004C05CD">
        <w:t>verpayment amount</w:t>
      </w:r>
    </w:p>
    <w:p w:rsidR="004C05CD" w:rsidP="004C05CD" w:rsidRDefault="008D4238" w14:paraId="603D316C" w14:textId="0365D458">
      <w:pPr>
        <w:pStyle w:val="ESBodyText"/>
        <w:numPr>
          <w:ilvl w:val="0"/>
          <w:numId w:val="28"/>
        </w:numPr>
        <w:spacing w:line="276" w:lineRule="auto"/>
        <w:jc w:val="both"/>
      </w:pPr>
      <w:r>
        <w:t>p</w:t>
      </w:r>
      <w:r w:rsidR="004C05CD">
        <w:t xml:space="preserve">ay </w:t>
      </w:r>
      <w:proofErr w:type="gramStart"/>
      <w:r w:rsidR="004C05CD">
        <w:t>period</w:t>
      </w:r>
      <w:proofErr w:type="gramEnd"/>
    </w:p>
    <w:p w:rsidR="004C05CD" w:rsidP="004C05CD" w:rsidRDefault="008D4238" w14:paraId="269DEF8D" w14:textId="748FEF3C">
      <w:pPr>
        <w:pStyle w:val="ESBodyText"/>
        <w:numPr>
          <w:ilvl w:val="0"/>
          <w:numId w:val="28"/>
        </w:numPr>
        <w:spacing w:line="276" w:lineRule="auto"/>
        <w:jc w:val="both"/>
      </w:pPr>
      <w:r>
        <w:t>r</w:t>
      </w:r>
      <w:r w:rsidR="004C05CD">
        <w:t>eason for overpayment</w:t>
      </w:r>
      <w:r>
        <w:t>.</w:t>
      </w:r>
    </w:p>
    <w:p w:rsidR="004C05CD" w:rsidP="004C05CD" w:rsidRDefault="004C05CD" w14:paraId="13FBBC9B" w14:textId="50D9C4A3">
      <w:pPr>
        <w:pStyle w:val="ESBodyText"/>
        <w:spacing w:line="276" w:lineRule="auto"/>
        <w:jc w:val="both"/>
      </w:pPr>
      <w:proofErr w:type="gramStart"/>
      <w:r>
        <w:t>In order to</w:t>
      </w:r>
      <w:proofErr w:type="gramEnd"/>
      <w:r>
        <w:t xml:space="preserve"> rectify the overpayment, there are </w:t>
      </w:r>
      <w:r w:rsidR="008D4238">
        <w:t xml:space="preserve">2 </w:t>
      </w:r>
      <w:r>
        <w:t>options for employees:</w:t>
      </w:r>
    </w:p>
    <w:p w:rsidR="004C05CD" w:rsidP="004C05CD" w:rsidRDefault="004C05CD" w14:paraId="3B7F4B9E" w14:textId="4D597429">
      <w:pPr>
        <w:pStyle w:val="ESBodyText"/>
        <w:spacing w:line="276" w:lineRule="auto"/>
        <w:jc w:val="both"/>
      </w:pPr>
      <w:r>
        <w:t xml:space="preserve">1) </w:t>
      </w:r>
      <w:r w:rsidR="008D4238">
        <w:t>t</w:t>
      </w:r>
      <w:r>
        <w:t>he VCAA will deduct equal amounts from the employees next 2 pay checks.</w:t>
      </w:r>
    </w:p>
    <w:p w:rsidR="004C05CD" w:rsidP="004C05CD" w:rsidRDefault="004C05CD" w14:paraId="1D84C6EA" w14:textId="7BCA25A7">
      <w:pPr>
        <w:pStyle w:val="ESBodyText"/>
        <w:spacing w:line="276" w:lineRule="auto"/>
        <w:jc w:val="both"/>
      </w:pPr>
      <w:r>
        <w:t xml:space="preserve">2) </w:t>
      </w:r>
      <w:r w:rsidR="008D4238">
        <w:t>e</w:t>
      </w:r>
      <w:r>
        <w:t>mployees are to pay the full amount into the listed VCAA bank account.</w:t>
      </w:r>
    </w:p>
    <w:p w:rsidR="004C05CD" w:rsidP="004C05CD" w:rsidRDefault="004C05CD" w14:paraId="09CFC2AC" w14:textId="4A9B8777">
      <w:pPr>
        <w:pStyle w:val="ESBodyText"/>
        <w:spacing w:line="276" w:lineRule="auto"/>
        <w:jc w:val="both"/>
      </w:pPr>
      <w:r>
        <w:t>The VCAA understands that any deductions may pose a financial challenge for employees, impacting finances</w:t>
      </w:r>
      <w:r w:rsidR="008D4238">
        <w:t>.</w:t>
      </w:r>
      <w:r>
        <w:t xml:space="preserve"> </w:t>
      </w:r>
      <w:r w:rsidR="008D4238">
        <w:t>T</w:t>
      </w:r>
      <w:r>
        <w:t xml:space="preserve">he organisation is committed to working with employees to ensure that the process is handled smoothly with minimal disruption to financial situations. If employees require an alternative arrangement, the VCAA </w:t>
      </w:r>
      <w:proofErr w:type="gramStart"/>
      <w:r>
        <w:t>is able to</w:t>
      </w:r>
      <w:proofErr w:type="gramEnd"/>
      <w:r>
        <w:t xml:space="preserve"> assist and explore possible solutions to alleviate any hardships.</w:t>
      </w:r>
    </w:p>
    <w:p w:rsidR="004C05CD" w:rsidP="004C05CD" w:rsidRDefault="004C05CD" w14:paraId="026BF4CA" w14:textId="1406A5BD">
      <w:pPr>
        <w:pStyle w:val="ESBodyText"/>
        <w:spacing w:line="276" w:lineRule="auto"/>
        <w:jc w:val="both"/>
      </w:pPr>
      <w:r>
        <w:t xml:space="preserve">Employees are required to review the information provided, confirm their understanding, and select the appropriate agreement option within the following 5 business days by replying in writing to the overpayment notice email. For questions or concerns regarding the overpayment or deduction process, </w:t>
      </w:r>
      <w:r w:rsidRPr="00B10D26">
        <w:t xml:space="preserve">employees are </w:t>
      </w:r>
      <w:r w:rsidR="00141EBE">
        <w:t>asked</w:t>
      </w:r>
      <w:r w:rsidRPr="00B10D26" w:rsidR="00141EBE">
        <w:t xml:space="preserve"> </w:t>
      </w:r>
      <w:r w:rsidRPr="00B10D26">
        <w:t>to contact the VCAA Human Resources Unit on 1800 718 320.</w:t>
      </w:r>
    </w:p>
    <w:p w:rsidR="004C05CD" w:rsidP="004C05CD" w:rsidRDefault="004C05CD" w14:paraId="029A949F" w14:textId="77777777">
      <w:pPr>
        <w:pStyle w:val="VCAAHeading5"/>
        <w:numPr>
          <w:ilvl w:val="1"/>
          <w:numId w:val="26"/>
        </w:numPr>
        <w:spacing w:line="276" w:lineRule="auto"/>
      </w:pPr>
      <w:bookmarkStart w:name="_Toc164356680" w:id="46"/>
      <w:bookmarkStart w:name="_Toc169076939" w:id="47"/>
      <w:bookmarkStart w:name="_Toc171424612" w:id="48"/>
      <w:r>
        <w:t>Timesheet submission</w:t>
      </w:r>
      <w:bookmarkEnd w:id="46"/>
      <w:bookmarkEnd w:id="47"/>
      <w:bookmarkEnd w:id="48"/>
    </w:p>
    <w:p w:rsidR="004C05CD" w:rsidP="004C05CD" w:rsidRDefault="004C05CD" w14:paraId="7F4443D2" w14:textId="5E10FEED">
      <w:pPr>
        <w:pStyle w:val="ESBodyText"/>
        <w:spacing w:line="276" w:lineRule="auto"/>
        <w:jc w:val="both"/>
      </w:pPr>
      <w:r>
        <w:t>There are several reasons why an employee’s timesheet might not be paid on time or at all</w:t>
      </w:r>
      <w:r w:rsidR="00141EBE">
        <w:t>. These are:</w:t>
      </w:r>
    </w:p>
    <w:p w:rsidR="004C05CD" w:rsidP="004C05CD" w:rsidRDefault="00141EBE" w14:paraId="78EAB8A1" w14:textId="2ED4A5A6">
      <w:pPr>
        <w:pStyle w:val="ESBodyText"/>
        <w:numPr>
          <w:ilvl w:val="0"/>
          <w:numId w:val="27"/>
        </w:numPr>
        <w:spacing w:line="276" w:lineRule="auto"/>
        <w:jc w:val="both"/>
      </w:pPr>
      <w:r>
        <w:rPr>
          <w:b/>
          <w:bCs/>
        </w:rPr>
        <w:t>i</w:t>
      </w:r>
      <w:r w:rsidRPr="00992BFF" w:rsidR="004C05CD">
        <w:rPr>
          <w:b/>
          <w:bCs/>
        </w:rPr>
        <w:t xml:space="preserve">ncomplete </w:t>
      </w:r>
      <w:r>
        <w:rPr>
          <w:b/>
          <w:bCs/>
        </w:rPr>
        <w:t>t</w:t>
      </w:r>
      <w:r w:rsidRPr="00992BFF" w:rsidR="004C05CD">
        <w:rPr>
          <w:b/>
          <w:bCs/>
        </w:rPr>
        <w:t xml:space="preserve">imesheet: </w:t>
      </w:r>
      <w:r>
        <w:t>i</w:t>
      </w:r>
      <w:r w:rsidR="004C05CD">
        <w:t xml:space="preserve">f the timesheet is missing essential information such as hours worked, breaks taken, or required approvals, it may not be processed until all necessary details are </w:t>
      </w:r>
      <w:proofErr w:type="gramStart"/>
      <w:r w:rsidR="004C05CD">
        <w:t>provided</w:t>
      </w:r>
      <w:proofErr w:type="gramEnd"/>
    </w:p>
    <w:p w:rsidR="004C05CD" w:rsidP="004C05CD" w:rsidRDefault="00141EBE" w14:paraId="5FB9FFE2" w14:textId="75241468">
      <w:pPr>
        <w:pStyle w:val="ESBodyText"/>
        <w:numPr>
          <w:ilvl w:val="0"/>
          <w:numId w:val="27"/>
        </w:numPr>
        <w:spacing w:line="276" w:lineRule="auto"/>
        <w:jc w:val="both"/>
      </w:pPr>
      <w:r>
        <w:rPr>
          <w:b/>
          <w:bCs/>
        </w:rPr>
        <w:t>e</w:t>
      </w:r>
      <w:r w:rsidRPr="00992BFF" w:rsidR="004C05CD">
        <w:rPr>
          <w:b/>
          <w:bCs/>
        </w:rPr>
        <w:t xml:space="preserve">rrors in </w:t>
      </w:r>
      <w:r>
        <w:rPr>
          <w:b/>
          <w:bCs/>
        </w:rPr>
        <w:t>c</w:t>
      </w:r>
      <w:r w:rsidRPr="00992BFF" w:rsidR="004C05CD">
        <w:rPr>
          <w:b/>
          <w:bCs/>
        </w:rPr>
        <w:t>alculation:</w:t>
      </w:r>
      <w:r w:rsidR="004C05CD">
        <w:t xml:space="preserve"> </w:t>
      </w:r>
      <w:r>
        <w:t>t</w:t>
      </w:r>
      <w:r w:rsidR="004C05CD">
        <w:t xml:space="preserve">imesheets with calculation errors, such as incorrect hours worked or miscalculated overtime, may be delayed until the discrepancies are </w:t>
      </w:r>
      <w:proofErr w:type="gramStart"/>
      <w:r w:rsidR="004C05CD">
        <w:t>resolved</w:t>
      </w:r>
      <w:proofErr w:type="gramEnd"/>
    </w:p>
    <w:p w:rsidR="004C05CD" w:rsidP="004C05CD" w:rsidRDefault="00141EBE" w14:paraId="7D9A63A1" w14:textId="4769571C">
      <w:pPr>
        <w:pStyle w:val="ESBodyText"/>
        <w:numPr>
          <w:ilvl w:val="0"/>
          <w:numId w:val="27"/>
        </w:numPr>
        <w:spacing w:line="276" w:lineRule="auto"/>
        <w:jc w:val="both"/>
      </w:pPr>
      <w:r>
        <w:rPr>
          <w:b/>
          <w:bCs/>
        </w:rPr>
        <w:t>m</w:t>
      </w:r>
      <w:r w:rsidRPr="00992BFF" w:rsidR="004C05CD">
        <w:rPr>
          <w:b/>
          <w:bCs/>
        </w:rPr>
        <w:t xml:space="preserve">issing </w:t>
      </w:r>
      <w:r>
        <w:rPr>
          <w:b/>
          <w:bCs/>
        </w:rPr>
        <w:t>a</w:t>
      </w:r>
      <w:r w:rsidRPr="00992BFF" w:rsidR="004C05CD">
        <w:rPr>
          <w:b/>
          <w:bCs/>
        </w:rPr>
        <w:t>pprovals:</w:t>
      </w:r>
      <w:r w:rsidR="004C05CD">
        <w:t xml:space="preserve"> </w:t>
      </w:r>
      <w:r>
        <w:t>t</w:t>
      </w:r>
      <w:r w:rsidR="004C05CD">
        <w:t xml:space="preserve">imesheets often require approval from supervisors or managers before they can be processed. If the necessary approvals are missing or incomplete, the timesheet may not be paid until </w:t>
      </w:r>
      <w:proofErr w:type="spellStart"/>
      <w:r w:rsidR="004C05CD">
        <w:t>authori</w:t>
      </w:r>
      <w:r>
        <w:t>s</w:t>
      </w:r>
      <w:r w:rsidR="004C05CD">
        <w:t>ation</w:t>
      </w:r>
      <w:proofErr w:type="spellEnd"/>
      <w:r w:rsidR="004C05CD">
        <w:t xml:space="preserve"> is </w:t>
      </w:r>
      <w:proofErr w:type="gramStart"/>
      <w:r w:rsidR="004C05CD">
        <w:t>obtained</w:t>
      </w:r>
      <w:proofErr w:type="gramEnd"/>
    </w:p>
    <w:p w:rsidR="004C05CD" w:rsidP="004C05CD" w:rsidRDefault="00141EBE" w14:paraId="26ED1239" w14:textId="692EC005">
      <w:pPr>
        <w:pStyle w:val="ESBodyText"/>
        <w:numPr>
          <w:ilvl w:val="0"/>
          <w:numId w:val="27"/>
        </w:numPr>
        <w:spacing w:line="276" w:lineRule="auto"/>
        <w:jc w:val="both"/>
      </w:pPr>
      <w:r>
        <w:rPr>
          <w:b/>
          <w:bCs/>
        </w:rPr>
        <w:t>l</w:t>
      </w:r>
      <w:r w:rsidRPr="00992BFF" w:rsidR="004C05CD">
        <w:rPr>
          <w:b/>
          <w:bCs/>
        </w:rPr>
        <w:t xml:space="preserve">ate </w:t>
      </w:r>
      <w:r>
        <w:rPr>
          <w:b/>
          <w:bCs/>
        </w:rPr>
        <w:t>s</w:t>
      </w:r>
      <w:r w:rsidRPr="00992BFF" w:rsidR="004C05CD">
        <w:rPr>
          <w:b/>
          <w:bCs/>
        </w:rPr>
        <w:t>ubmission:</w:t>
      </w:r>
      <w:r w:rsidR="004C05CD">
        <w:t xml:space="preserve"> </w:t>
      </w:r>
      <w:r>
        <w:t>t</w:t>
      </w:r>
      <w:r w:rsidR="004C05CD">
        <w:t xml:space="preserve">imesheets submitted after the designated deadline may not be processed in time for the current payroll cycle, resulting in a delay in payment until the next </w:t>
      </w:r>
      <w:proofErr w:type="gramStart"/>
      <w:r w:rsidR="004C05CD">
        <w:t>cycle</w:t>
      </w:r>
      <w:proofErr w:type="gramEnd"/>
    </w:p>
    <w:p w:rsidR="004C05CD" w:rsidP="004C05CD" w:rsidRDefault="00141EBE" w14:paraId="6FE0DC69" w14:textId="72F82757">
      <w:pPr>
        <w:pStyle w:val="ESBodyText"/>
        <w:numPr>
          <w:ilvl w:val="0"/>
          <w:numId w:val="27"/>
        </w:numPr>
        <w:spacing w:line="276" w:lineRule="auto"/>
        <w:jc w:val="both"/>
      </w:pPr>
      <w:r>
        <w:rPr>
          <w:b/>
          <w:bCs/>
        </w:rPr>
        <w:t>v</w:t>
      </w:r>
      <w:r w:rsidRPr="00992BFF" w:rsidR="004C05CD">
        <w:rPr>
          <w:b/>
          <w:bCs/>
        </w:rPr>
        <w:t>iolations:</w:t>
      </w:r>
      <w:r w:rsidR="004C05CD">
        <w:t xml:space="preserve"> </w:t>
      </w:r>
      <w:r>
        <w:t>i</w:t>
      </w:r>
      <w:r w:rsidR="004C05CD">
        <w:t xml:space="preserve">f the timesheet includes violations of company policies or labor laws, such as </w:t>
      </w:r>
      <w:proofErr w:type="spellStart"/>
      <w:r w:rsidR="004C05CD">
        <w:t>unauthori</w:t>
      </w:r>
      <w:r>
        <w:t>s</w:t>
      </w:r>
      <w:r w:rsidR="004C05CD">
        <w:t>ed</w:t>
      </w:r>
      <w:proofErr w:type="spellEnd"/>
      <w:r w:rsidR="004C05CD">
        <w:t xml:space="preserve"> overtime or incorrect classification of hours, it may be withheld until the issues are addressed and </w:t>
      </w:r>
      <w:proofErr w:type="gramStart"/>
      <w:r w:rsidR="004C05CD">
        <w:t>resolved</w:t>
      </w:r>
      <w:proofErr w:type="gramEnd"/>
    </w:p>
    <w:p w:rsidR="004C05CD" w:rsidP="004C05CD" w:rsidRDefault="00141EBE" w14:paraId="2074A1D5" w14:textId="34DA6946">
      <w:pPr>
        <w:pStyle w:val="ESBodyText"/>
        <w:numPr>
          <w:ilvl w:val="0"/>
          <w:numId w:val="27"/>
        </w:numPr>
        <w:spacing w:line="276" w:lineRule="auto"/>
        <w:jc w:val="both"/>
      </w:pPr>
      <w:r>
        <w:rPr>
          <w:b/>
          <w:bCs/>
        </w:rPr>
        <w:t>t</w:t>
      </w:r>
      <w:r w:rsidRPr="00992BFF" w:rsidR="004C05CD">
        <w:rPr>
          <w:b/>
          <w:bCs/>
        </w:rPr>
        <w:t xml:space="preserve">echnical </w:t>
      </w:r>
      <w:r>
        <w:rPr>
          <w:b/>
          <w:bCs/>
        </w:rPr>
        <w:t>i</w:t>
      </w:r>
      <w:r w:rsidRPr="00992BFF" w:rsidR="004C05CD">
        <w:rPr>
          <w:b/>
          <w:bCs/>
        </w:rPr>
        <w:t>ssues:</w:t>
      </w:r>
      <w:r w:rsidR="004C05CD">
        <w:t xml:space="preserve"> </w:t>
      </w:r>
      <w:r>
        <w:t>s</w:t>
      </w:r>
      <w:r w:rsidR="004C05CD">
        <w:t xml:space="preserve">ometimes, technical glitches or system errors can prevent timesheets from being processed correctly. In such cases, additional time may be required to rectify the issue before payment can be </w:t>
      </w:r>
      <w:proofErr w:type="gramStart"/>
      <w:r w:rsidR="004C05CD">
        <w:t>made</w:t>
      </w:r>
      <w:proofErr w:type="gramEnd"/>
    </w:p>
    <w:p w:rsidR="004C05CD" w:rsidP="004C05CD" w:rsidRDefault="00141EBE" w14:paraId="35711B42" w14:textId="2CC923D9">
      <w:pPr>
        <w:pStyle w:val="ESBodyText"/>
        <w:numPr>
          <w:ilvl w:val="0"/>
          <w:numId w:val="27"/>
        </w:numPr>
        <w:spacing w:line="276" w:lineRule="auto"/>
        <w:jc w:val="both"/>
      </w:pPr>
      <w:r>
        <w:rPr>
          <w:b/>
          <w:bCs/>
        </w:rPr>
        <w:t>d</w:t>
      </w:r>
      <w:r w:rsidRPr="00992BFF" w:rsidR="004C05CD">
        <w:rPr>
          <w:b/>
          <w:bCs/>
        </w:rPr>
        <w:t xml:space="preserve">ispute or </w:t>
      </w:r>
      <w:r>
        <w:rPr>
          <w:b/>
          <w:bCs/>
        </w:rPr>
        <w:t>i</w:t>
      </w:r>
      <w:r w:rsidRPr="00992BFF" w:rsidR="004C05CD">
        <w:rPr>
          <w:b/>
          <w:bCs/>
        </w:rPr>
        <w:t>nvestigation:</w:t>
      </w:r>
      <w:r w:rsidR="004C05CD">
        <w:t xml:space="preserve"> </w:t>
      </w:r>
      <w:r>
        <w:t>i</w:t>
      </w:r>
      <w:r w:rsidR="004C05CD">
        <w:t>f there is a dispute or investigation related to the timesheet, such as allegations of fraud or misconduct, payment may be withheld until the issue is resolved.</w:t>
      </w:r>
    </w:p>
    <w:p w:rsidR="004C05CD" w:rsidP="004C05CD" w:rsidRDefault="004C05CD" w14:paraId="4F2F7344" w14:textId="77777777">
      <w:pPr>
        <w:pStyle w:val="ESBodyText"/>
        <w:spacing w:line="276" w:lineRule="auto"/>
        <w:jc w:val="both"/>
      </w:pPr>
      <w:r>
        <w:t>It is essential for employees to ensure that their timesheets are accurate, complete, and submitted on time to avoid delays in payment. Additionally, clear communication with managers or VCAA Human Resources can help address any issues promptly and facilitate timely payment processing.</w:t>
      </w:r>
    </w:p>
    <w:p w:rsidR="004C05CD" w:rsidP="004C05CD" w:rsidRDefault="004C05CD" w14:paraId="6A65CBB2" w14:textId="77777777">
      <w:pPr>
        <w:pStyle w:val="VCAAHeading5"/>
        <w:numPr>
          <w:ilvl w:val="1"/>
          <w:numId w:val="26"/>
        </w:numPr>
        <w:spacing w:line="276" w:lineRule="auto"/>
      </w:pPr>
      <w:bookmarkStart w:name="_Toc164356681" w:id="49"/>
      <w:bookmarkStart w:name="_Toc169076940" w:id="50"/>
      <w:bookmarkStart w:name="_Toc154656686" w:id="51"/>
      <w:bookmarkStart w:name="_Toc171424613" w:id="52"/>
      <w:r>
        <w:t xml:space="preserve">Rejected direct </w:t>
      </w:r>
      <w:proofErr w:type="gramStart"/>
      <w:r>
        <w:t>credit</w:t>
      </w:r>
      <w:bookmarkEnd w:id="49"/>
      <w:bookmarkEnd w:id="50"/>
      <w:bookmarkEnd w:id="52"/>
      <w:proofErr w:type="gramEnd"/>
    </w:p>
    <w:p w:rsidRPr="008A2F6A" w:rsidR="004C05CD" w:rsidP="004C05CD" w:rsidRDefault="004C05CD" w14:paraId="5E445D41" w14:textId="3B70F634">
      <w:pPr>
        <w:pStyle w:val="ESBodyText"/>
        <w:spacing w:line="276" w:lineRule="auto"/>
        <w:jc w:val="both"/>
      </w:pPr>
      <w:r w:rsidRPr="008A2F6A">
        <w:t xml:space="preserve">It is the responsibility of the employee to ensure their information for payment is </w:t>
      </w:r>
      <w:proofErr w:type="gramStart"/>
      <w:r w:rsidRPr="008A2F6A">
        <w:t>up-to-date</w:t>
      </w:r>
      <w:proofErr w:type="gramEnd"/>
      <w:r w:rsidRPr="008A2F6A">
        <w:t xml:space="preserve">. If a financial institution rejects an employee's salary payment due to a closed account or incorrect bank details, the funds will </w:t>
      </w:r>
      <w:r w:rsidRPr="008A2F6A">
        <w:t xml:space="preserve">be held until account information is updated. It may take up to </w:t>
      </w:r>
      <w:r w:rsidR="00141EBE">
        <w:t>5</w:t>
      </w:r>
      <w:r w:rsidRPr="008A2F6A" w:rsidR="00141EBE">
        <w:t xml:space="preserve"> </w:t>
      </w:r>
      <w:r w:rsidRPr="008A2F6A">
        <w:t xml:space="preserve">working days for funds to be returned to the VCAA from the banking institution. If an employee's salary is not credited to their nominated account, payroll details must be updated accordingly, and </w:t>
      </w:r>
      <w:r>
        <w:t>VCAA Human Resources n</w:t>
      </w:r>
      <w:r w:rsidRPr="008A2F6A">
        <w:t>otified to facilitate the payment.</w:t>
      </w:r>
    </w:p>
    <w:p w:rsidRPr="008A2F6A" w:rsidR="004C05CD" w:rsidP="004C05CD" w:rsidRDefault="004C05CD" w14:paraId="7FBA6E89" w14:textId="77777777">
      <w:pPr>
        <w:pStyle w:val="ESBodyText"/>
        <w:spacing w:line="276" w:lineRule="auto"/>
        <w:jc w:val="both"/>
      </w:pPr>
      <w:r w:rsidRPr="008A2F6A">
        <w:t xml:space="preserve">In the instance where the rejected </w:t>
      </w:r>
      <w:r>
        <w:t>funds are</w:t>
      </w:r>
      <w:r w:rsidRPr="008A2F6A">
        <w:t xml:space="preserve"> not returned to the VCAA, it is the responsibility of the employee to follow up with their bank to </w:t>
      </w:r>
      <w:proofErr w:type="gramStart"/>
      <w:r w:rsidRPr="008A2F6A">
        <w:t xml:space="preserve">make </w:t>
      </w:r>
      <w:r>
        <w:t xml:space="preserve">an </w:t>
      </w:r>
      <w:r w:rsidRPr="008A2F6A">
        <w:t>arrangement</w:t>
      </w:r>
      <w:proofErr w:type="gramEnd"/>
      <w:r w:rsidRPr="008A2F6A">
        <w:t xml:space="preserve"> to recoup the </w:t>
      </w:r>
      <w:r>
        <w:t>funds</w:t>
      </w:r>
      <w:r w:rsidRPr="008A2F6A">
        <w:t>.</w:t>
      </w:r>
    </w:p>
    <w:p w:rsidR="004C05CD" w:rsidP="004C05CD" w:rsidRDefault="004C05CD" w14:paraId="2E2F7B80" w14:textId="77777777">
      <w:pPr>
        <w:pStyle w:val="VCAAHeading5"/>
        <w:numPr>
          <w:ilvl w:val="1"/>
          <w:numId w:val="26"/>
        </w:numPr>
        <w:spacing w:line="276" w:lineRule="auto"/>
      </w:pPr>
      <w:bookmarkStart w:name="_Toc169076941" w:id="53"/>
      <w:bookmarkStart w:name="_Toc171424614" w:id="54"/>
      <w:r>
        <w:t xml:space="preserve">Rejected </w:t>
      </w:r>
      <w:bookmarkEnd w:id="51"/>
      <w:proofErr w:type="gramStart"/>
      <w:r>
        <w:t>payment</w:t>
      </w:r>
      <w:bookmarkEnd w:id="53"/>
      <w:bookmarkEnd w:id="54"/>
      <w:proofErr w:type="gramEnd"/>
    </w:p>
    <w:p w:rsidR="004C05CD" w:rsidP="004C05CD" w:rsidRDefault="004C05CD" w14:paraId="6EA1AF65" w14:textId="77777777">
      <w:pPr>
        <w:pStyle w:val="ESBodyText"/>
        <w:spacing w:line="276" w:lineRule="auto"/>
        <w:jc w:val="both"/>
      </w:pPr>
      <w:r>
        <w:t xml:space="preserve">If a financial institution rejects an employee's salary payment due to closed accounts or incorrect details, the funds will be held by the VCAA until updated account information is provided to the VCAA by the employee.  </w:t>
      </w:r>
    </w:p>
    <w:p w:rsidR="004C05CD" w:rsidP="004C05CD" w:rsidRDefault="004C05CD" w14:paraId="4BD2A3FC" w14:textId="77A1EF78">
      <w:pPr>
        <w:pStyle w:val="ESBodyText"/>
        <w:spacing w:line="276" w:lineRule="auto"/>
        <w:jc w:val="both"/>
      </w:pPr>
      <w:r>
        <w:t xml:space="preserve">If a payment is rejected, </w:t>
      </w:r>
      <w:proofErr w:type="gramStart"/>
      <w:r>
        <w:t>it  may</w:t>
      </w:r>
      <w:proofErr w:type="gramEnd"/>
      <w:r>
        <w:t xml:space="preserve"> take up to </w:t>
      </w:r>
      <w:r w:rsidR="00141EBE">
        <w:t xml:space="preserve">4 </w:t>
      </w:r>
      <w:r>
        <w:t xml:space="preserve">working days for funds to be returned to the VCAA.  </w:t>
      </w:r>
    </w:p>
    <w:p w:rsidR="004C05CD" w:rsidP="004C05CD" w:rsidRDefault="004C05CD" w14:paraId="6AE9E2C5" w14:textId="1CB5D8C9">
      <w:pPr>
        <w:pStyle w:val="ESBodyText"/>
        <w:spacing w:line="276" w:lineRule="auto"/>
        <w:jc w:val="both"/>
      </w:pPr>
      <w:r>
        <w:t xml:space="preserve">If an employee's salary is not credited to their nominated account, payroll details must be updated accordingly, and VCAA Human Resources </w:t>
      </w:r>
      <w:r w:rsidR="00141EBE">
        <w:t>n</w:t>
      </w:r>
      <w:r>
        <w:t xml:space="preserve">otified to facilitate the payment. Email inquiries can be sent to </w:t>
      </w:r>
      <w:hyperlink w:history="1" r:id="rId26">
        <w:r w:rsidRPr="00FA01E7">
          <w:rPr>
            <w:rStyle w:val="Hyperlink"/>
          </w:rPr>
          <w:t>vcaa.hr@education.vic.gov.au</w:t>
        </w:r>
      </w:hyperlink>
      <w:r w:rsidRPr="00FA01E7">
        <w:t>.</w:t>
      </w:r>
    </w:p>
    <w:p w:rsidRPr="0041655F" w:rsidR="004C05CD" w:rsidP="004C05CD" w:rsidRDefault="004C05CD" w14:paraId="29AD92CF" w14:textId="77777777">
      <w:pPr>
        <w:pStyle w:val="VCAAHeading5"/>
        <w:numPr>
          <w:ilvl w:val="1"/>
          <w:numId w:val="26"/>
        </w:numPr>
        <w:spacing w:line="276" w:lineRule="auto"/>
      </w:pPr>
      <w:bookmarkStart w:name="_Toc164356683" w:id="55"/>
      <w:bookmarkStart w:name="_Toc169076942" w:id="56"/>
      <w:bookmarkStart w:name="_Toc154656691" w:id="57"/>
      <w:bookmarkStart w:name="_Toc171424615" w:id="58"/>
      <w:r>
        <w:t>I</w:t>
      </w:r>
      <w:r w:rsidRPr="0041655F">
        <w:t xml:space="preserve">ncome </w:t>
      </w:r>
      <w:r>
        <w:t>s</w:t>
      </w:r>
      <w:r w:rsidRPr="0041655F">
        <w:t>tatement</w:t>
      </w:r>
      <w:bookmarkEnd w:id="55"/>
      <w:bookmarkEnd w:id="56"/>
      <w:bookmarkEnd w:id="58"/>
    </w:p>
    <w:p w:rsidR="004C05CD" w:rsidP="004C05CD" w:rsidRDefault="004C05CD" w14:paraId="02E5D09E" w14:textId="7E5FFA6C">
      <w:pPr>
        <w:pStyle w:val="ESBodyText"/>
        <w:spacing w:line="276" w:lineRule="auto"/>
        <w:jc w:val="both"/>
      </w:pPr>
      <w:r w:rsidRPr="00A7499F">
        <w:t xml:space="preserve">This </w:t>
      </w:r>
      <w:r>
        <w:t>section</w:t>
      </w:r>
      <w:r w:rsidRPr="00A7499F">
        <w:t xml:space="preserve"> aims to provide clear guidelines on the accessibility of </w:t>
      </w:r>
      <w:r w:rsidR="00141EBE">
        <w:t>i</w:t>
      </w:r>
      <w:r w:rsidRPr="00A7499F">
        <w:t xml:space="preserve">ncome </w:t>
      </w:r>
      <w:r w:rsidR="00141EBE">
        <w:t>s</w:t>
      </w:r>
      <w:r w:rsidRPr="00A7499F">
        <w:t xml:space="preserve">tatements and the process for replacing lost or damaged </w:t>
      </w:r>
      <w:r w:rsidR="00141EBE">
        <w:t>i</w:t>
      </w:r>
      <w:r>
        <w:t xml:space="preserve">ncome </w:t>
      </w:r>
      <w:r w:rsidR="00141EBE">
        <w:t>s</w:t>
      </w:r>
      <w:r>
        <w:t xml:space="preserve">tatements. </w:t>
      </w:r>
      <w:r w:rsidRPr="00A7499F">
        <w:t>Employees are encouraged to stay informed about the outlined procedures to ensure a smooth and efficient handling of their financial documentation.</w:t>
      </w:r>
    </w:p>
    <w:p w:rsidR="004C05CD" w:rsidP="004C05CD" w:rsidRDefault="004C05CD" w14:paraId="4580E077" w14:textId="77777777">
      <w:pPr>
        <w:pStyle w:val="VCAAHeading5"/>
        <w:numPr>
          <w:ilvl w:val="2"/>
          <w:numId w:val="26"/>
        </w:numPr>
        <w:spacing w:line="276" w:lineRule="auto"/>
      </w:pPr>
      <w:bookmarkStart w:name="_Toc154656692" w:id="59"/>
      <w:bookmarkStart w:name="_Toc164356684" w:id="60"/>
      <w:bookmarkStart w:name="_Toc169076943" w:id="61"/>
      <w:bookmarkStart w:name="_Toc171424616" w:id="62"/>
      <w:r>
        <w:t>Availability of an income statement</w:t>
      </w:r>
      <w:bookmarkEnd w:id="59"/>
      <w:bookmarkEnd w:id="60"/>
      <w:bookmarkEnd w:id="61"/>
      <w:bookmarkEnd w:id="62"/>
    </w:p>
    <w:p w:rsidR="004C05CD" w:rsidP="004C05CD" w:rsidRDefault="004C05CD" w14:paraId="7C300F5E" w14:textId="44DB5674">
      <w:pPr>
        <w:pStyle w:val="ESBodyText"/>
        <w:spacing w:line="276" w:lineRule="auto"/>
        <w:jc w:val="both"/>
      </w:pPr>
      <w:r>
        <w:t xml:space="preserve">The </w:t>
      </w:r>
      <w:r w:rsidR="00141EBE">
        <w:t>i</w:t>
      </w:r>
      <w:r>
        <w:t xml:space="preserve">ncome </w:t>
      </w:r>
      <w:r w:rsidR="00141EBE">
        <w:t>s</w:t>
      </w:r>
      <w:r>
        <w:t xml:space="preserve">tatement is exclusively accessible through an individual's </w:t>
      </w:r>
      <w:proofErr w:type="spellStart"/>
      <w:r>
        <w:t>myGov</w:t>
      </w:r>
      <w:proofErr w:type="spellEnd"/>
      <w:r>
        <w:t xml:space="preserve"> account. The VCAA is not equipped to generate copies of the </w:t>
      </w:r>
      <w:r w:rsidR="00141EBE">
        <w:t>i</w:t>
      </w:r>
      <w:r>
        <w:t xml:space="preserve">ncome </w:t>
      </w:r>
      <w:r w:rsidR="00141EBE">
        <w:t>s</w:t>
      </w:r>
      <w:r>
        <w:t xml:space="preserve">tatement. Historical PAYG </w:t>
      </w:r>
      <w:r w:rsidR="00141EBE">
        <w:t>p</w:t>
      </w:r>
      <w:r>
        <w:t xml:space="preserve">ayment </w:t>
      </w:r>
      <w:r w:rsidR="00141EBE">
        <w:t>s</w:t>
      </w:r>
      <w:r>
        <w:t xml:space="preserve">ummaries for ongoing employees are accessible via ESS, while access to </w:t>
      </w:r>
      <w:proofErr w:type="spellStart"/>
      <w:r>
        <w:t>eduPay</w:t>
      </w:r>
      <w:proofErr w:type="spellEnd"/>
      <w:r>
        <w:t xml:space="preserve"> is retained as long as at least one employment instance with VCAA remains active on the payroll.</w:t>
      </w:r>
    </w:p>
    <w:p w:rsidR="004C05CD" w:rsidP="004C05CD" w:rsidRDefault="004C05CD" w14:paraId="5ACA8DB2" w14:textId="77777777">
      <w:pPr>
        <w:pStyle w:val="VCAAHeading5"/>
        <w:numPr>
          <w:ilvl w:val="2"/>
          <w:numId w:val="26"/>
        </w:numPr>
        <w:spacing w:line="276" w:lineRule="auto"/>
      </w:pPr>
      <w:bookmarkStart w:name="_Toc154656693" w:id="63"/>
      <w:bookmarkStart w:name="_Toc164356685" w:id="64"/>
      <w:bookmarkStart w:name="_Toc169076944" w:id="65"/>
      <w:bookmarkStart w:name="_Toc171424617" w:id="66"/>
      <w:r>
        <w:t>Terminating employment</w:t>
      </w:r>
      <w:bookmarkEnd w:id="63"/>
      <w:bookmarkEnd w:id="64"/>
      <w:bookmarkEnd w:id="65"/>
      <w:bookmarkEnd w:id="66"/>
    </w:p>
    <w:p w:rsidR="004C05CD" w:rsidP="004C05CD" w:rsidRDefault="004C05CD" w14:paraId="27AACBF1" w14:textId="06E8FC9D">
      <w:pPr>
        <w:pStyle w:val="ESBodyText"/>
        <w:spacing w:line="276" w:lineRule="auto"/>
        <w:jc w:val="both"/>
      </w:pPr>
      <w:r>
        <w:t xml:space="preserve">Employees terminating their employment are advised to download copies of their previous </w:t>
      </w:r>
      <w:r w:rsidR="00141EBE">
        <w:t>i</w:t>
      </w:r>
      <w:r>
        <w:t xml:space="preserve">ncome </w:t>
      </w:r>
      <w:r w:rsidR="00141EBE">
        <w:t>s</w:t>
      </w:r>
      <w:r>
        <w:t xml:space="preserve">tatements before their cessation is processed on the payroll. Following cessation, </w:t>
      </w:r>
      <w:r w:rsidR="00141EBE">
        <w:t>i</w:t>
      </w:r>
      <w:r>
        <w:t xml:space="preserve">ncome </w:t>
      </w:r>
      <w:r w:rsidR="00141EBE">
        <w:t>s</w:t>
      </w:r>
      <w:r>
        <w:t xml:space="preserve">tatements will only be available through an individual's </w:t>
      </w:r>
      <w:proofErr w:type="spellStart"/>
      <w:r>
        <w:t>myGov</w:t>
      </w:r>
      <w:proofErr w:type="spellEnd"/>
      <w:r>
        <w:t xml:space="preserve"> account. Further information is available in the VCAA </w:t>
      </w:r>
      <w:r w:rsidR="00141EBE">
        <w:t>t</w:t>
      </w:r>
      <w:r>
        <w:t xml:space="preserve">ermination of </w:t>
      </w:r>
      <w:r w:rsidR="00141EBE">
        <w:t>e</w:t>
      </w:r>
      <w:r>
        <w:t xml:space="preserve">mployment </w:t>
      </w:r>
      <w:r w:rsidR="00141EBE">
        <w:t>g</w:t>
      </w:r>
      <w:r>
        <w:t>uidelines.</w:t>
      </w:r>
    </w:p>
    <w:p w:rsidR="004C05CD" w:rsidP="004C05CD" w:rsidRDefault="004C05CD" w14:paraId="5E5EB411" w14:textId="77777777">
      <w:pPr>
        <w:pStyle w:val="VCAAHeading5"/>
        <w:numPr>
          <w:ilvl w:val="2"/>
          <w:numId w:val="26"/>
        </w:numPr>
        <w:spacing w:line="276" w:lineRule="auto"/>
      </w:pPr>
      <w:bookmarkStart w:name="_Toc154656694" w:id="67"/>
      <w:bookmarkStart w:name="_Toc164356686" w:id="68"/>
      <w:bookmarkStart w:name="_Toc169076945" w:id="69"/>
      <w:bookmarkStart w:name="_Toc171424618" w:id="70"/>
      <w:r>
        <w:t>Replacement of lost or damaged summaries</w:t>
      </w:r>
      <w:bookmarkEnd w:id="67"/>
      <w:bookmarkEnd w:id="68"/>
      <w:bookmarkEnd w:id="69"/>
      <w:bookmarkEnd w:id="70"/>
    </w:p>
    <w:p w:rsidR="004C05CD" w:rsidP="004C05CD" w:rsidRDefault="004C05CD" w14:paraId="722ED002" w14:textId="7520DB12">
      <w:pPr>
        <w:pStyle w:val="ESBodyText"/>
        <w:spacing w:line="276" w:lineRule="auto"/>
        <w:jc w:val="both"/>
      </w:pPr>
      <w:bookmarkStart w:name="_Hlk169092957" w:id="71"/>
      <w:r>
        <w:t xml:space="preserve">For historical payment summaries that require replacement due to loss or damage, employees can </w:t>
      </w:r>
      <w:proofErr w:type="spellStart"/>
      <w:r>
        <w:t>utilise</w:t>
      </w:r>
      <w:proofErr w:type="spellEnd"/>
      <w:r>
        <w:t xml:space="preserve"> </w:t>
      </w:r>
      <w:proofErr w:type="spellStart"/>
      <w:r>
        <w:t>eduPay</w:t>
      </w:r>
      <w:proofErr w:type="spellEnd"/>
      <w:r>
        <w:t xml:space="preserve"> ESS. </w:t>
      </w:r>
      <w:bookmarkEnd w:id="71"/>
      <w:r>
        <w:t xml:space="preserve">It is important to note that PAYG information predating the 2019/20 financial year is not available in the </w:t>
      </w:r>
      <w:proofErr w:type="spellStart"/>
      <w:r>
        <w:t>myGov</w:t>
      </w:r>
      <w:proofErr w:type="spellEnd"/>
      <w:r>
        <w:t xml:space="preserve"> account. Generally, a printed historical PAYG payment summary is not mandatory for tax returns filed with an accountant or when using the ATO e-tax service. The ATO's MyTax program offers a </w:t>
      </w:r>
      <w:r w:rsidR="00141EBE">
        <w:t>‘</w:t>
      </w:r>
      <w:r>
        <w:t>pre-filling</w:t>
      </w:r>
      <w:r w:rsidR="00141EBE">
        <w:t>’</w:t>
      </w:r>
      <w:r>
        <w:t xml:space="preserve"> option that automatically incorporates </w:t>
      </w:r>
      <w:r w:rsidR="00141EBE">
        <w:t>i</w:t>
      </w:r>
      <w:r>
        <w:t xml:space="preserve">ncome </w:t>
      </w:r>
      <w:r w:rsidR="00141EBE">
        <w:t>s</w:t>
      </w:r>
      <w:r>
        <w:t>tatement details into the tax return, potentially eliminating the need for a historical printed copy.</w:t>
      </w:r>
    </w:p>
    <w:p w:rsidR="004C05CD" w:rsidP="004C05CD" w:rsidRDefault="004C05CD" w14:paraId="08EEC2C8" w14:textId="77777777">
      <w:pPr>
        <w:pStyle w:val="VCAAHeading5"/>
        <w:numPr>
          <w:ilvl w:val="2"/>
          <w:numId w:val="26"/>
        </w:numPr>
        <w:spacing w:line="276" w:lineRule="auto"/>
      </w:pPr>
      <w:bookmarkStart w:name="_Toc154656695" w:id="72"/>
      <w:bookmarkStart w:name="_Toc164356687" w:id="73"/>
      <w:bookmarkStart w:name="_Toc169076946" w:id="74"/>
      <w:bookmarkStart w:name="_Toc171424619" w:id="75"/>
      <w:r>
        <w:t>Request for replacement PAYG summary</w:t>
      </w:r>
      <w:bookmarkEnd w:id="72"/>
      <w:bookmarkEnd w:id="73"/>
      <w:bookmarkEnd w:id="74"/>
      <w:bookmarkEnd w:id="75"/>
    </w:p>
    <w:p w:rsidRPr="0041655F" w:rsidR="004C05CD" w:rsidP="004C05CD" w:rsidRDefault="004C05CD" w14:paraId="4AB33544" w14:textId="1AB817AB">
      <w:pPr>
        <w:pStyle w:val="ESBodyText"/>
        <w:spacing w:line="276" w:lineRule="auto"/>
        <w:jc w:val="both"/>
      </w:pPr>
      <w:bookmarkStart w:name="_Hlk169093003" w:id="76"/>
      <w:r>
        <w:t xml:space="preserve">In situations where an employee requires a replacement historical payment summary to be produced and sent, a </w:t>
      </w:r>
      <w:r w:rsidR="00141EBE">
        <w:t>r</w:t>
      </w:r>
      <w:r>
        <w:t xml:space="preserve">equest for </w:t>
      </w:r>
      <w:r w:rsidR="00141EBE">
        <w:t>r</w:t>
      </w:r>
      <w:r>
        <w:t xml:space="preserve">eplacement PAYG </w:t>
      </w:r>
      <w:r w:rsidR="00141EBE">
        <w:t>s</w:t>
      </w:r>
      <w:r>
        <w:t xml:space="preserve">ummary form, available on the VCAA website under ‘Forms,' must be completed. Please be aware that there is a charge associated with obtaining a replacement PAYG </w:t>
      </w:r>
      <w:r w:rsidR="00141EBE">
        <w:t>p</w:t>
      </w:r>
      <w:r>
        <w:t xml:space="preserve">ayment </w:t>
      </w:r>
      <w:r w:rsidR="00141EBE">
        <w:t>s</w:t>
      </w:r>
      <w:r>
        <w:t xml:space="preserve">ummary. It is crucial to adhere to current ATO requirements, as the PAYG </w:t>
      </w:r>
      <w:r w:rsidR="00141EBE">
        <w:t>p</w:t>
      </w:r>
      <w:r>
        <w:t xml:space="preserve">ayment </w:t>
      </w:r>
      <w:r w:rsidR="00141EBE">
        <w:t>s</w:t>
      </w:r>
      <w:r>
        <w:t xml:space="preserve">ummary cannot be transmitted via email. </w:t>
      </w:r>
    </w:p>
    <w:p w:rsidR="004C05CD" w:rsidP="004C05CD" w:rsidRDefault="004C05CD" w14:paraId="580F5DE6" w14:textId="77777777">
      <w:pPr>
        <w:pStyle w:val="VCAAHeading5"/>
        <w:numPr>
          <w:ilvl w:val="1"/>
          <w:numId w:val="26"/>
        </w:numPr>
        <w:spacing w:line="276" w:lineRule="auto"/>
      </w:pPr>
      <w:bookmarkStart w:name="_Toc154656696" w:id="77"/>
      <w:bookmarkStart w:name="_Toc164356688" w:id="78"/>
      <w:bookmarkStart w:name="_Toc169076947" w:id="79"/>
      <w:bookmarkStart w:name="_Toc171424620" w:id="80"/>
      <w:bookmarkEnd w:id="76"/>
      <w:r>
        <w:t>Superannuation</w:t>
      </w:r>
      <w:bookmarkEnd w:id="77"/>
      <w:bookmarkEnd w:id="78"/>
      <w:bookmarkEnd w:id="79"/>
      <w:bookmarkEnd w:id="80"/>
    </w:p>
    <w:p w:rsidR="004C05CD" w:rsidP="004C05CD" w:rsidRDefault="004C05CD" w14:paraId="6092257B" w14:textId="34E41562">
      <w:pPr>
        <w:pStyle w:val="ESBodyText"/>
        <w:spacing w:line="276" w:lineRule="auto"/>
        <w:jc w:val="both"/>
      </w:pPr>
      <w:bookmarkStart w:name="_Hlk169093065" w:id="81"/>
      <w:r>
        <w:t xml:space="preserve">All VCAA employees are required to be a member of a superannuation fund to which the VCAA, as an employer, must make </w:t>
      </w:r>
      <w:r w:rsidR="009008A3">
        <w:t>s</w:t>
      </w:r>
      <w:r>
        <w:t xml:space="preserve">uperannuation </w:t>
      </w:r>
      <w:r w:rsidR="009008A3">
        <w:t>g</w:t>
      </w:r>
      <w:r>
        <w:t>uarantee (SG) contributions. The superannuation arrangements for an employee will generally be determined by the commencement date of their current period of employment</w:t>
      </w:r>
      <w:bookmarkEnd w:id="81"/>
      <w:r>
        <w:t xml:space="preserve"> as follows:</w:t>
      </w:r>
    </w:p>
    <w:p w:rsidR="004C05CD" w:rsidP="004C05CD" w:rsidRDefault="009008A3" w14:paraId="61B4D339" w14:textId="297DB1BF">
      <w:pPr>
        <w:pStyle w:val="ESBodyText"/>
        <w:numPr>
          <w:ilvl w:val="0"/>
          <w:numId w:val="21"/>
        </w:numPr>
        <w:spacing w:after="0" w:line="276" w:lineRule="auto"/>
        <w:jc w:val="both"/>
      </w:pPr>
      <w:r>
        <w:t>a</w:t>
      </w:r>
      <w:r w:rsidR="004C05CD">
        <w:t xml:space="preserve"> person whose employment commenced prior to 1 January 1994 is likely to be a member of a defined benefits scheme, such as the </w:t>
      </w:r>
      <w:r>
        <w:t>r</w:t>
      </w:r>
      <w:r w:rsidR="004C05CD">
        <w:t xml:space="preserve">evised, </w:t>
      </w:r>
      <w:r>
        <w:t>n</w:t>
      </w:r>
      <w:r w:rsidR="004C05CD">
        <w:t xml:space="preserve">ew or State Employment Retirement Benefits (SERB) </w:t>
      </w:r>
      <w:r>
        <w:t>s</w:t>
      </w:r>
      <w:r w:rsidR="004C05CD">
        <w:t>chemes. These superannuation schemes are administered by Emergency Services and State Super (</w:t>
      </w:r>
      <w:proofErr w:type="spellStart"/>
      <w:r w:rsidR="004C05CD">
        <w:t>ESSSuper</w:t>
      </w:r>
      <w:proofErr w:type="spellEnd"/>
      <w:r w:rsidR="004C05CD">
        <w:t>).</w:t>
      </w:r>
    </w:p>
    <w:p w:rsidR="004C05CD" w:rsidP="004C05CD" w:rsidRDefault="009008A3" w14:paraId="71180EFD" w14:textId="6D0DC4D9">
      <w:pPr>
        <w:pStyle w:val="ESBodyText"/>
        <w:numPr>
          <w:ilvl w:val="0"/>
          <w:numId w:val="21"/>
        </w:numPr>
        <w:spacing w:line="276" w:lineRule="auto"/>
        <w:jc w:val="both"/>
      </w:pPr>
      <w:r>
        <w:t>a</w:t>
      </w:r>
      <w:r w:rsidR="004C05CD">
        <w:t xml:space="preserve">n employee whose current employment commenced on or after 1 January 1994 </w:t>
      </w:r>
      <w:proofErr w:type="gramStart"/>
      <w:r w:rsidR="004C05CD">
        <w:t>has the opportunity to</w:t>
      </w:r>
      <w:proofErr w:type="gramEnd"/>
      <w:r w:rsidR="004C05CD">
        <w:t xml:space="preserve"> nominate a complying accumulation fund of their choice for </w:t>
      </w:r>
      <w:r w:rsidR="00F41864">
        <w:t>s</w:t>
      </w:r>
      <w:r w:rsidR="004C05CD">
        <w:t xml:space="preserve">uperannuation </w:t>
      </w:r>
      <w:r w:rsidR="00F41864">
        <w:t>g</w:t>
      </w:r>
      <w:r w:rsidR="004C05CD">
        <w:t>uarantee (SG) contributions.</w:t>
      </w:r>
    </w:p>
    <w:p w:rsidR="004C05CD" w:rsidP="004C05CD" w:rsidRDefault="004C05CD" w14:paraId="43040595" w14:textId="77777777">
      <w:pPr>
        <w:pStyle w:val="ESBodyText"/>
        <w:spacing w:line="276" w:lineRule="auto"/>
        <w:jc w:val="both"/>
      </w:pPr>
      <w:bookmarkStart w:name="_Hlk169093104" w:id="82"/>
      <w:r>
        <w:t>The VCAA is required to offer eligible employees the opportunity to choose a complying superannuation fund to which they wish to direct their employer’s SG contributions. Employees are advised to obtain appropriate financial advice when considering their options in relation to choosing a fund.</w:t>
      </w:r>
    </w:p>
    <w:bookmarkEnd w:id="82"/>
    <w:p w:rsidR="004C05CD" w:rsidP="004C05CD" w:rsidRDefault="004C05CD" w14:paraId="0C5700C5" w14:textId="06266C00">
      <w:pPr>
        <w:pStyle w:val="ESBodyText"/>
        <w:spacing w:line="276" w:lineRule="auto"/>
        <w:jc w:val="both"/>
      </w:pPr>
      <w:r>
        <w:t xml:space="preserve">An employee is required to provide their superannuation choice details, however where an employee does not provide superannuation details, the VCAA may now request the new employees </w:t>
      </w:r>
      <w:r w:rsidRPr="000E7CEC">
        <w:t>stapled super fund</w:t>
      </w:r>
      <w:r>
        <w:t xml:space="preserve"> details from ATO, then will </w:t>
      </w:r>
      <w:proofErr w:type="gramStart"/>
      <w:r>
        <w:t>make an attempt</w:t>
      </w:r>
      <w:proofErr w:type="gramEnd"/>
      <w:r>
        <w:t xml:space="preserve"> to 'staple' their super fund from ATO data. If no result is received enrolment will be directed to the default super product - Aware Super Future Saver with Aware Super Pty Ltd</w:t>
      </w:r>
      <w:r w:rsidR="00F41864">
        <w:t>.</w:t>
      </w:r>
    </w:p>
    <w:p w:rsidR="004C05CD" w:rsidP="004C05CD" w:rsidRDefault="004C05CD" w14:paraId="00C53EAA" w14:textId="77777777">
      <w:pPr>
        <w:pStyle w:val="VCAAHeading5"/>
        <w:numPr>
          <w:ilvl w:val="2"/>
          <w:numId w:val="26"/>
        </w:numPr>
        <w:spacing w:line="276" w:lineRule="auto"/>
        <w:rPr/>
      </w:pPr>
      <w:bookmarkStart w:name="_Toc154656697" w:id="83"/>
      <w:bookmarkStart w:name="_Toc164356689" w:id="84"/>
      <w:bookmarkStart w:name="_Toc169076948" w:id="85"/>
      <w:bookmarkStart w:name="_Toc171424621" w:id="86"/>
      <w:r w:rsidRPr="2802FBC2" w:rsidR="0498D5DD">
        <w:rPr>
          <w:lang w:val="en-US"/>
        </w:rPr>
        <w:t>ESSSuper</w:t>
      </w:r>
      <w:r w:rsidRPr="2802FBC2" w:rsidR="0498D5DD">
        <w:rPr>
          <w:lang w:val="en-US"/>
        </w:rPr>
        <w:t xml:space="preserve"> defined benefit funds</w:t>
      </w:r>
      <w:bookmarkEnd w:id="83"/>
      <w:r w:rsidRPr="2802FBC2" w:rsidR="0498D5DD">
        <w:rPr>
          <w:lang w:val="en-US"/>
        </w:rPr>
        <w:t xml:space="preserve"> </w:t>
      </w:r>
      <w:r w:rsidRPr="2802FBC2" w:rsidR="0498D5DD">
        <w:rPr>
          <w:lang w:val="en-US"/>
        </w:rPr>
        <w:t>acc</w:t>
      </w:r>
      <w:bookmarkEnd w:id="84"/>
      <w:bookmarkEnd w:id="85"/>
      <w:bookmarkEnd w:id="86"/>
    </w:p>
    <w:p w:rsidR="004C05CD" w:rsidP="004C05CD" w:rsidRDefault="004C05CD" w14:paraId="2A01C2F8" w14:textId="77777777">
      <w:pPr>
        <w:pStyle w:val="ESBodyText"/>
        <w:spacing w:line="276" w:lineRule="auto"/>
        <w:jc w:val="both"/>
      </w:pPr>
      <w:r>
        <w:t>Employees enrolled in Emergency Services and State Super (</w:t>
      </w:r>
      <w:proofErr w:type="spellStart"/>
      <w:r>
        <w:t>ESSSuper</w:t>
      </w:r>
      <w:proofErr w:type="spellEnd"/>
      <w:r>
        <w:t xml:space="preserve">) defined benefit funds are directed to contact </w:t>
      </w:r>
      <w:proofErr w:type="spellStart"/>
      <w:r>
        <w:t>ESSSuper</w:t>
      </w:r>
      <w:proofErr w:type="spellEnd"/>
      <w:r>
        <w:t xml:space="preserve"> for comprehensive information related to their specific fund, entitlements, and any inquiries they may have.</w:t>
      </w:r>
    </w:p>
    <w:p w:rsidRPr="0000175E" w:rsidR="004C05CD" w:rsidP="004C05CD" w:rsidRDefault="004C05CD" w14:paraId="20A17B50" w14:textId="77777777">
      <w:pPr>
        <w:pStyle w:val="VCAAHeading5"/>
        <w:numPr>
          <w:ilvl w:val="2"/>
          <w:numId w:val="26"/>
        </w:numPr>
        <w:spacing w:line="276" w:lineRule="auto"/>
      </w:pPr>
      <w:bookmarkStart w:name="_Toc169076949" w:id="88"/>
      <w:bookmarkStart w:name="_Toc171424622" w:id="89"/>
      <w:r w:rsidRPr="0000175E">
        <w:t xml:space="preserve">Accumulation </w:t>
      </w:r>
      <w:r>
        <w:t>f</w:t>
      </w:r>
      <w:r w:rsidRPr="0000175E">
        <w:t xml:space="preserve">und </w:t>
      </w:r>
      <w:r>
        <w:t>m</w:t>
      </w:r>
      <w:r w:rsidRPr="0000175E">
        <w:t>embers</w:t>
      </w:r>
      <w:bookmarkEnd w:id="88"/>
      <w:bookmarkEnd w:id="89"/>
    </w:p>
    <w:p w:rsidR="004C05CD" w:rsidP="004C05CD" w:rsidRDefault="004C05CD" w14:paraId="6E047B85" w14:textId="77777777">
      <w:pPr>
        <w:pStyle w:val="ESBodyText"/>
        <w:spacing w:line="276" w:lineRule="auto"/>
        <w:jc w:val="both"/>
      </w:pPr>
      <w:r>
        <w:t>For employees who are members of accumulation funds, it is advised to communicate directly with their respective superannuation fund to obtain detailed information tailored to their specific plan and circumstances.</w:t>
      </w:r>
    </w:p>
    <w:p w:rsidRPr="0000175E" w:rsidR="004C05CD" w:rsidP="004C05CD" w:rsidRDefault="004C05CD" w14:paraId="3D03A280" w14:textId="77777777">
      <w:pPr>
        <w:pStyle w:val="VCAAHeading5"/>
        <w:numPr>
          <w:ilvl w:val="2"/>
          <w:numId w:val="26"/>
        </w:numPr>
        <w:spacing w:line="276" w:lineRule="auto"/>
      </w:pPr>
      <w:bookmarkStart w:name="_Toc169076950" w:id="90"/>
      <w:bookmarkStart w:name="_Toc171424623" w:id="91"/>
      <w:r w:rsidRPr="0000175E">
        <w:t xml:space="preserve">Salary </w:t>
      </w:r>
      <w:r>
        <w:t>s</w:t>
      </w:r>
      <w:r w:rsidRPr="0000175E">
        <w:t xml:space="preserve">acrificing to </w:t>
      </w:r>
      <w:proofErr w:type="gramStart"/>
      <w:r>
        <w:t>s</w:t>
      </w:r>
      <w:r w:rsidRPr="0000175E">
        <w:t>uperannuation</w:t>
      </w:r>
      <w:bookmarkEnd w:id="90"/>
      <w:bookmarkEnd w:id="91"/>
      <w:proofErr w:type="gramEnd"/>
    </w:p>
    <w:p w:rsidR="004C05CD" w:rsidP="004C05CD" w:rsidRDefault="004C05CD" w14:paraId="4F7DF06D" w14:textId="4445A0E8">
      <w:pPr>
        <w:pStyle w:val="ESBodyText"/>
        <w:spacing w:line="276" w:lineRule="auto"/>
        <w:jc w:val="both"/>
      </w:pPr>
      <w:r>
        <w:t xml:space="preserve">Employees have the option to boost their superannuation by participating in salary sacrificing. Detailed terms and conditions for these arrangements can be obtained by directly contacting the superannuation fund to which the employee belongs. All employees are mandated to </w:t>
      </w:r>
      <w:proofErr w:type="spellStart"/>
      <w:r>
        <w:t>utilise</w:t>
      </w:r>
      <w:proofErr w:type="spellEnd"/>
      <w:r>
        <w:t xml:space="preserve"> the VCAA's designated salary packaging provider, </w:t>
      </w:r>
      <w:proofErr w:type="spellStart"/>
      <w:r>
        <w:t>ClickSuper</w:t>
      </w:r>
      <w:proofErr w:type="spellEnd"/>
      <w:r>
        <w:t>, for these transactions.</w:t>
      </w:r>
    </w:p>
    <w:p w:rsidRPr="0000175E" w:rsidR="004C05CD" w:rsidP="004C05CD" w:rsidRDefault="004C05CD" w14:paraId="2D7D5CF7" w14:textId="77777777">
      <w:pPr>
        <w:pStyle w:val="VCAAHeading5"/>
        <w:numPr>
          <w:ilvl w:val="2"/>
          <w:numId w:val="26"/>
        </w:numPr>
        <w:spacing w:line="276" w:lineRule="auto"/>
      </w:pPr>
      <w:bookmarkStart w:name="_Toc169076951" w:id="92"/>
      <w:bookmarkStart w:name="_Toc171424624" w:id="93"/>
      <w:r w:rsidRPr="0000175E">
        <w:t xml:space="preserve">Employee </w:t>
      </w:r>
      <w:r>
        <w:t>c</w:t>
      </w:r>
      <w:r w:rsidRPr="0000175E">
        <w:t xml:space="preserve">ontributions on </w:t>
      </w:r>
      <w:r>
        <w:t>l</w:t>
      </w:r>
      <w:r w:rsidRPr="0000175E">
        <w:t xml:space="preserve">eave </w:t>
      </w:r>
      <w:r>
        <w:t>w</w:t>
      </w:r>
      <w:r w:rsidRPr="0000175E">
        <w:t xml:space="preserve">ithout </w:t>
      </w:r>
      <w:proofErr w:type="gramStart"/>
      <w:r>
        <w:t>p</w:t>
      </w:r>
      <w:r w:rsidRPr="0000175E">
        <w:t>ay</w:t>
      </w:r>
      <w:bookmarkEnd w:id="92"/>
      <w:bookmarkEnd w:id="93"/>
      <w:proofErr w:type="gramEnd"/>
    </w:p>
    <w:p w:rsidR="004C05CD" w:rsidP="004C05CD" w:rsidRDefault="004C05CD" w14:paraId="3D6441A1" w14:textId="77777777">
      <w:pPr>
        <w:pStyle w:val="ESBodyText"/>
        <w:spacing w:line="276" w:lineRule="auto"/>
        <w:jc w:val="both"/>
      </w:pPr>
      <w:proofErr w:type="spellStart"/>
      <w:r>
        <w:t>ESSSuper</w:t>
      </w:r>
      <w:proofErr w:type="spellEnd"/>
      <w:r>
        <w:t xml:space="preserve"> members planning to take leave without pay are strongly encouraged to seek advice directly from their fund to understand the implications on their contributions and overall superannuation.</w:t>
      </w:r>
    </w:p>
    <w:p w:rsidR="004C05CD" w:rsidP="004C05CD" w:rsidRDefault="004C05CD" w14:paraId="4A36856B" w14:textId="77777777">
      <w:pPr>
        <w:pStyle w:val="ESBodyText"/>
        <w:spacing w:line="276" w:lineRule="auto"/>
        <w:jc w:val="both"/>
      </w:pPr>
      <w:r>
        <w:t>Members of accumulation funds, such as Aware Super Future Saver, are advised to proactively contact their fund before proceeding on leave without pay. This ensures clarity on the necessary actions, if any, that need to be taken regarding their contributions during the leave period.</w:t>
      </w:r>
    </w:p>
    <w:p w:rsidRPr="0000175E" w:rsidR="004C05CD" w:rsidP="004C05CD" w:rsidRDefault="004C05CD" w14:paraId="28A94219" w14:textId="77777777">
      <w:pPr>
        <w:pStyle w:val="VCAAHeading5"/>
        <w:numPr>
          <w:ilvl w:val="2"/>
          <w:numId w:val="26"/>
        </w:numPr>
        <w:spacing w:line="276" w:lineRule="auto"/>
      </w:pPr>
      <w:bookmarkStart w:name="_Toc169076952" w:id="94"/>
      <w:bookmarkStart w:name="_Toc171424625" w:id="95"/>
      <w:r w:rsidRPr="0000175E">
        <w:t xml:space="preserve">Cessation of </w:t>
      </w:r>
      <w:r>
        <w:t>e</w:t>
      </w:r>
      <w:r w:rsidRPr="0000175E">
        <w:t>mployment</w:t>
      </w:r>
      <w:bookmarkEnd w:id="94"/>
      <w:bookmarkEnd w:id="95"/>
    </w:p>
    <w:p w:rsidR="004C05CD" w:rsidP="004C05CD" w:rsidRDefault="004C05CD" w14:paraId="005985F6" w14:textId="77777777">
      <w:pPr>
        <w:pStyle w:val="ESBodyText"/>
        <w:spacing w:line="276" w:lineRule="auto"/>
        <w:jc w:val="both"/>
      </w:pPr>
      <w:r>
        <w:t xml:space="preserve">Upon an employee's cessation of employment, </w:t>
      </w:r>
      <w:proofErr w:type="spellStart"/>
      <w:r>
        <w:t>ESSSuper</w:t>
      </w:r>
      <w:proofErr w:type="spellEnd"/>
      <w:r>
        <w:t xml:space="preserve"> is automatically notified electronically based on details recorded on the payroll. However, it is the responsibility of the employee to initiate contact with </w:t>
      </w:r>
      <w:proofErr w:type="spellStart"/>
      <w:r>
        <w:t>ESSSuper</w:t>
      </w:r>
      <w:proofErr w:type="spellEnd"/>
      <w:r>
        <w:t xml:space="preserve"> to facilitate appropriate arrangements concerning their superannuation entitlements. In cases where cessation is retrospectively recorded, </w:t>
      </w:r>
      <w:proofErr w:type="spellStart"/>
      <w:r>
        <w:t>ESSSuper</w:t>
      </w:r>
      <w:proofErr w:type="spellEnd"/>
      <w:r>
        <w:t xml:space="preserve"> may not be automatically advised, and manual cessation information may be required upon request by the fund.</w:t>
      </w:r>
    </w:p>
    <w:p w:rsidRPr="0000175E" w:rsidR="004C05CD" w:rsidP="004C05CD" w:rsidRDefault="004C05CD" w14:paraId="0574EFC9" w14:textId="77777777">
      <w:pPr>
        <w:pStyle w:val="VCAAHeading5"/>
        <w:numPr>
          <w:ilvl w:val="2"/>
          <w:numId w:val="26"/>
        </w:numPr>
        <w:spacing w:line="276" w:lineRule="auto"/>
      </w:pPr>
      <w:bookmarkStart w:name="_Toc169076953" w:id="96"/>
      <w:bookmarkStart w:name="_Toc171424626" w:id="97"/>
      <w:r w:rsidRPr="4A7044ED">
        <w:rPr>
          <w:lang w:val="en-US"/>
        </w:rPr>
        <w:t xml:space="preserve">New employees with previous </w:t>
      </w:r>
      <w:proofErr w:type="spellStart"/>
      <w:r w:rsidRPr="4A7044ED">
        <w:rPr>
          <w:lang w:val="en-US"/>
        </w:rPr>
        <w:t>ESSSuper</w:t>
      </w:r>
      <w:proofErr w:type="spellEnd"/>
      <w:r w:rsidRPr="4A7044ED">
        <w:rPr>
          <w:lang w:val="en-US"/>
        </w:rPr>
        <w:t xml:space="preserve"> membership</w:t>
      </w:r>
      <w:bookmarkEnd w:id="96"/>
      <w:bookmarkEnd w:id="97"/>
    </w:p>
    <w:p w:rsidR="004C05CD" w:rsidP="004C05CD" w:rsidRDefault="004C05CD" w14:paraId="721F9516" w14:textId="77777777">
      <w:pPr>
        <w:pStyle w:val="ESBodyText"/>
        <w:spacing w:line="276" w:lineRule="auto"/>
        <w:jc w:val="both"/>
      </w:pPr>
      <w:r>
        <w:t xml:space="preserve">New employees who were members of an </w:t>
      </w:r>
      <w:proofErr w:type="spellStart"/>
      <w:r>
        <w:t>ESSSuper</w:t>
      </w:r>
      <w:proofErr w:type="spellEnd"/>
      <w:r>
        <w:t xml:space="preserve"> scheme immediately prior to joining the VCAA may retain their membership if there is no break in employment between the previous government organisation or the VCAA. However, if a person is re-employed with a break in service of one working day or longer, their membership of the scheme will be terminated. Decisions regarding fund membership in such circumstances are made by </w:t>
      </w:r>
      <w:proofErr w:type="spellStart"/>
      <w:r>
        <w:t>ESSSuper</w:t>
      </w:r>
      <w:proofErr w:type="spellEnd"/>
      <w:r>
        <w:t>.</w:t>
      </w:r>
    </w:p>
    <w:p w:rsidR="004C05CD" w:rsidP="004C05CD" w:rsidRDefault="004C05CD" w14:paraId="40A75581" w14:textId="77777777">
      <w:pPr>
        <w:pStyle w:val="VCAAHeading5"/>
        <w:numPr>
          <w:ilvl w:val="2"/>
          <w:numId w:val="26"/>
        </w:numPr>
        <w:spacing w:line="276" w:lineRule="auto"/>
      </w:pPr>
      <w:bookmarkStart w:name="_Toc154656698" w:id="98"/>
      <w:bookmarkStart w:name="_Toc164356690" w:id="99"/>
      <w:bookmarkStart w:name="_Toc169076954" w:id="100"/>
      <w:bookmarkStart w:name="_Toc171424627" w:id="101"/>
      <w:r>
        <w:t>New employees and choice of fund</w:t>
      </w:r>
      <w:bookmarkEnd w:id="98"/>
      <w:bookmarkEnd w:id="99"/>
      <w:bookmarkEnd w:id="100"/>
      <w:bookmarkEnd w:id="101"/>
    </w:p>
    <w:p w:rsidR="004C05CD" w:rsidP="004C05CD" w:rsidRDefault="004C05CD" w14:paraId="6E8807C2" w14:textId="77777777">
      <w:pPr>
        <w:pStyle w:val="ESBodyText"/>
        <w:spacing w:line="276" w:lineRule="auto"/>
        <w:jc w:val="both"/>
      </w:pPr>
      <w:bookmarkStart w:name="_Hlk169093142" w:id="102"/>
      <w:r>
        <w:t xml:space="preserve">The VCAA, as an employer, is obligated to offer new employees the opportunity to choose the superannuation fund to which they wish to direct the employer's superannuation guarantee (SG) contributions. Superannuation entries are recorded by employees directly on </w:t>
      </w:r>
      <w:proofErr w:type="spellStart"/>
      <w:r>
        <w:t>eduPay</w:t>
      </w:r>
      <w:proofErr w:type="spellEnd"/>
      <w:r>
        <w:t xml:space="preserve"> using self-service as part of their onboarding process completed at the time of hire or rehire. Access to record superannuation details is available upon provision of login information before the actual commencement of employment.</w:t>
      </w:r>
    </w:p>
    <w:p w:rsidR="004C05CD" w:rsidP="004C05CD" w:rsidRDefault="004C05CD" w14:paraId="739E8BC5" w14:textId="77777777">
      <w:pPr>
        <w:pStyle w:val="VCAAHeading5"/>
        <w:numPr>
          <w:ilvl w:val="2"/>
          <w:numId w:val="26"/>
        </w:numPr>
        <w:spacing w:line="276" w:lineRule="auto"/>
      </w:pPr>
      <w:bookmarkStart w:name="_Toc154656699" w:id="103"/>
      <w:bookmarkStart w:name="_Toc164356691" w:id="104"/>
      <w:bookmarkStart w:name="_Toc169076955" w:id="105"/>
      <w:bookmarkStart w:name="_Toc171424628" w:id="106"/>
      <w:bookmarkEnd w:id="102"/>
      <w:r>
        <w:t>Self-managed superannuation funds</w:t>
      </w:r>
      <w:bookmarkEnd w:id="103"/>
      <w:bookmarkEnd w:id="104"/>
      <w:bookmarkEnd w:id="105"/>
      <w:bookmarkEnd w:id="106"/>
    </w:p>
    <w:p w:rsidR="004C05CD" w:rsidP="004C05CD" w:rsidRDefault="004C05CD" w14:paraId="2464ECCB" w14:textId="31396530">
      <w:pPr>
        <w:pStyle w:val="ESBodyText"/>
        <w:spacing w:line="276" w:lineRule="auto"/>
        <w:jc w:val="both"/>
      </w:pPr>
      <w:r>
        <w:t xml:space="preserve">Employees interested in managing their own superannuation fund can set up a </w:t>
      </w:r>
      <w:r w:rsidR="00F41864">
        <w:t>s</w:t>
      </w:r>
      <w:r>
        <w:t>elf-</w:t>
      </w:r>
      <w:r w:rsidR="00F41864">
        <w:t>m</w:t>
      </w:r>
      <w:r>
        <w:t xml:space="preserve">anaged </w:t>
      </w:r>
      <w:r w:rsidR="00F41864">
        <w:t>s</w:t>
      </w:r>
      <w:r>
        <w:t xml:space="preserve">uperannuation </w:t>
      </w:r>
      <w:r w:rsidR="00F41864">
        <w:t>f</w:t>
      </w:r>
      <w:r>
        <w:t xml:space="preserve">und (SMSF) to which the VCAA may make </w:t>
      </w:r>
      <w:r w:rsidR="00F41864">
        <w:t>s</w:t>
      </w:r>
      <w:r>
        <w:t xml:space="preserve">uperannuation </w:t>
      </w:r>
      <w:r w:rsidR="00F41864">
        <w:t>g</w:t>
      </w:r>
      <w:r>
        <w:t xml:space="preserve">uarantee (SG) payments. The process involves creating the SMSF directly on </w:t>
      </w:r>
      <w:proofErr w:type="spellStart"/>
      <w:r>
        <w:t>eduPay</w:t>
      </w:r>
      <w:proofErr w:type="spellEnd"/>
      <w:r>
        <w:t xml:space="preserve">. Following an internal review, the fund is created, and the employee is enrolled in their SMSF from the next available pay period. However, employees are strongly advised to seek appropriate financial advice before recording an SMSF in </w:t>
      </w:r>
      <w:proofErr w:type="spellStart"/>
      <w:r>
        <w:t>eduPay</w:t>
      </w:r>
      <w:proofErr w:type="spellEnd"/>
      <w:r>
        <w:t>.</w:t>
      </w:r>
    </w:p>
    <w:p w:rsidRPr="0000175E" w:rsidR="004C05CD" w:rsidP="004C05CD" w:rsidRDefault="004C05CD" w14:paraId="4EDCF4B2" w14:textId="77777777">
      <w:pPr>
        <w:pStyle w:val="VCAAHeading5"/>
        <w:numPr>
          <w:ilvl w:val="2"/>
          <w:numId w:val="26"/>
        </w:numPr>
        <w:spacing w:line="276" w:lineRule="auto"/>
      </w:pPr>
      <w:bookmarkStart w:name="_Toc169076956" w:id="107"/>
      <w:bookmarkStart w:name="_Toc171424629" w:id="108"/>
      <w:r w:rsidRPr="0000175E">
        <w:t xml:space="preserve">Compliance </w:t>
      </w:r>
      <w:r>
        <w:t>c</w:t>
      </w:r>
      <w:r w:rsidRPr="0000175E">
        <w:t>heck for SMSFs</w:t>
      </w:r>
      <w:bookmarkEnd w:id="107"/>
      <w:bookmarkEnd w:id="108"/>
    </w:p>
    <w:p w:rsidR="004C05CD" w:rsidP="004C05CD" w:rsidRDefault="004C05CD" w14:paraId="0DA43F69" w14:textId="77777777">
      <w:pPr>
        <w:pStyle w:val="ESBodyText"/>
        <w:spacing w:line="276" w:lineRule="auto"/>
        <w:jc w:val="both"/>
      </w:pPr>
      <w:r>
        <w:t xml:space="preserve">To ensure compliance, the VCAA checks the compliance status of SMSFs using the ATO </w:t>
      </w:r>
      <w:proofErr w:type="spellStart"/>
      <w:r>
        <w:t>SuperFund</w:t>
      </w:r>
      <w:proofErr w:type="spellEnd"/>
      <w:r>
        <w:t xml:space="preserve"> Lookup website. If a SMSF is identified as no longer complying, the VCAA cannot make SG payments to the fund. In these instances, an employee may be </w:t>
      </w:r>
      <w:bookmarkStart w:name="_Hlk154656638" w:id="109"/>
      <w:r>
        <w:t xml:space="preserve">enrolled </w:t>
      </w:r>
      <w:bookmarkEnd w:id="109"/>
      <w:r>
        <w:t>into the VCAA default fund - Aware Super - Aware Super Future Saver. Every effort is made to provide opportunities for the fund to regain compliant status before enrolment into Aware Super Future Saver occurs.</w:t>
      </w:r>
    </w:p>
    <w:p w:rsidRPr="0000175E" w:rsidR="004C05CD" w:rsidP="004C05CD" w:rsidRDefault="004C05CD" w14:paraId="71216473" w14:textId="49FC347A">
      <w:pPr>
        <w:pStyle w:val="VCAAHeading5"/>
        <w:numPr>
          <w:ilvl w:val="2"/>
          <w:numId w:val="26"/>
        </w:numPr>
        <w:spacing w:line="276" w:lineRule="auto"/>
      </w:pPr>
      <w:bookmarkStart w:name="_Toc169076957" w:id="110"/>
      <w:bookmarkStart w:name="_Toc171424630" w:id="111"/>
      <w:r w:rsidRPr="0000175E">
        <w:t xml:space="preserve">Electronic </w:t>
      </w:r>
      <w:r w:rsidR="00F41864">
        <w:t>s</w:t>
      </w:r>
      <w:r w:rsidRPr="0000175E">
        <w:t xml:space="preserve">ervice </w:t>
      </w:r>
      <w:r w:rsidR="00F41864">
        <w:t>a</w:t>
      </w:r>
      <w:r w:rsidRPr="0000175E">
        <w:t>ddress (ESA) for SMSFs</w:t>
      </w:r>
      <w:bookmarkEnd w:id="110"/>
      <w:bookmarkEnd w:id="111"/>
    </w:p>
    <w:p w:rsidR="004C05CD" w:rsidP="004C05CD" w:rsidRDefault="004C05CD" w14:paraId="291790A8" w14:textId="3E7D5348">
      <w:pPr>
        <w:pStyle w:val="ESBodyText"/>
        <w:spacing w:line="276" w:lineRule="auto"/>
        <w:jc w:val="both"/>
      </w:pPr>
      <w:r>
        <w:t xml:space="preserve">As part of managing an SMSF, the ATO requires all SMSF trustees to register their fund with an ESA to receive electronic messages and payment details when employers make superannuation contributions using </w:t>
      </w:r>
      <w:proofErr w:type="spellStart"/>
      <w:r>
        <w:t>SuperStream</w:t>
      </w:r>
      <w:proofErr w:type="spellEnd"/>
      <w:r>
        <w:t xml:space="preserve">. The ESA is included with the superannuation details on </w:t>
      </w:r>
      <w:proofErr w:type="spellStart"/>
      <w:r>
        <w:t>eduPay</w:t>
      </w:r>
      <w:proofErr w:type="spellEnd"/>
      <w:r>
        <w:t>, enabling the payment of superannuation contributions to the SMSF. The ESA provider passes on the information to the contact details recorded for the SMSF.</w:t>
      </w:r>
    </w:p>
    <w:p w:rsidR="004C05CD" w:rsidP="004C05CD" w:rsidRDefault="004C05CD" w14:paraId="081540B2" w14:textId="77777777">
      <w:pPr>
        <w:pStyle w:val="VCAAHeading5"/>
        <w:numPr>
          <w:ilvl w:val="1"/>
          <w:numId w:val="26"/>
        </w:numPr>
        <w:spacing w:line="276" w:lineRule="auto"/>
      </w:pPr>
      <w:bookmarkStart w:name="_Toc154656700" w:id="112"/>
      <w:bookmarkStart w:name="_Toc164356692" w:id="113"/>
      <w:bookmarkStart w:name="_Toc169076958" w:id="114"/>
      <w:bookmarkStart w:name="_Toc171424631" w:id="115"/>
      <w:r w:rsidRPr="4A7044ED">
        <w:rPr>
          <w:lang w:val="en-US"/>
        </w:rPr>
        <w:t>Additional information</w:t>
      </w:r>
      <w:bookmarkEnd w:id="112"/>
      <w:bookmarkEnd w:id="113"/>
      <w:bookmarkEnd w:id="114"/>
      <w:bookmarkEnd w:id="115"/>
    </w:p>
    <w:p w:rsidR="004C05CD" w:rsidP="004C05CD" w:rsidRDefault="004C05CD" w14:paraId="325FA0F7" w14:textId="77777777">
      <w:pPr>
        <w:pStyle w:val="ESBodyText"/>
        <w:spacing w:line="276" w:lineRule="auto"/>
        <w:jc w:val="both"/>
      </w:pPr>
      <w:bookmarkStart w:name="_Hlk169093181" w:id="116"/>
      <w:r>
        <w:t>For additional information on entering or updating superannuation details, employees can refer to the VCAA website under ‘R</w:t>
      </w:r>
      <w:r w:rsidRPr="006D1161">
        <w:t xml:space="preserve">esources for </w:t>
      </w:r>
      <w:proofErr w:type="gramStart"/>
      <w:r w:rsidRPr="006D1161">
        <w:t>employees</w:t>
      </w:r>
      <w:r>
        <w:t>’</w:t>
      </w:r>
      <w:proofErr w:type="gramEnd"/>
      <w:r>
        <w:t>.</w:t>
      </w:r>
    </w:p>
    <w:p w:rsidR="004C05CD" w:rsidP="004C05CD" w:rsidRDefault="004C05CD" w14:paraId="19AEF554" w14:textId="77777777">
      <w:pPr>
        <w:pStyle w:val="ESBodyText"/>
        <w:spacing w:line="276" w:lineRule="auto"/>
        <w:jc w:val="both"/>
      </w:pPr>
      <w:r>
        <w:t>For additional information on:</w:t>
      </w:r>
    </w:p>
    <w:p w:rsidR="004C05CD" w:rsidP="004C05CD" w:rsidRDefault="00F41864" w14:paraId="680669EF" w14:textId="28926A2F">
      <w:pPr>
        <w:pStyle w:val="ESBodyText"/>
        <w:numPr>
          <w:ilvl w:val="0"/>
          <w:numId w:val="22"/>
        </w:numPr>
        <w:spacing w:after="0" w:line="276" w:lineRule="auto"/>
        <w:jc w:val="both"/>
      </w:pPr>
      <w:r>
        <w:t>r</w:t>
      </w:r>
      <w:r w:rsidRPr="00E11AA5" w:rsidR="004C05CD">
        <w:t xml:space="preserve">egister of SMSF messaging </w:t>
      </w:r>
      <w:r>
        <w:t>p</w:t>
      </w:r>
      <w:r w:rsidRPr="00E11AA5" w:rsidR="004C05CD">
        <w:t>roviders</w:t>
      </w:r>
      <w:r w:rsidR="004C05CD">
        <w:t xml:space="preserve"> </w:t>
      </w:r>
    </w:p>
    <w:p w:rsidR="004C05CD" w:rsidP="004C05CD" w:rsidRDefault="004C05CD" w14:paraId="591AEE88" w14:textId="140062B8">
      <w:pPr>
        <w:pStyle w:val="ESBodyText"/>
        <w:numPr>
          <w:ilvl w:val="0"/>
          <w:numId w:val="22"/>
        </w:numPr>
        <w:spacing w:after="0" w:line="276" w:lineRule="auto"/>
        <w:jc w:val="both"/>
      </w:pPr>
      <w:r w:rsidRPr="00E11AA5">
        <w:t xml:space="preserve">ATO </w:t>
      </w:r>
      <w:r w:rsidR="00F41864">
        <w:t>r</w:t>
      </w:r>
      <w:r w:rsidRPr="00E11AA5">
        <w:t>ight to superannuation</w:t>
      </w:r>
      <w:r>
        <w:t xml:space="preserve"> </w:t>
      </w:r>
    </w:p>
    <w:p w:rsidR="004C05CD" w:rsidP="004C05CD" w:rsidRDefault="00F41864" w14:paraId="793DC925" w14:textId="1CC282E5">
      <w:pPr>
        <w:pStyle w:val="ESBodyText"/>
        <w:numPr>
          <w:ilvl w:val="0"/>
          <w:numId w:val="22"/>
        </w:numPr>
        <w:spacing w:line="276" w:lineRule="auto"/>
        <w:jc w:val="both"/>
      </w:pPr>
      <w:r>
        <w:t>s</w:t>
      </w:r>
      <w:r w:rsidR="004C05CD">
        <w:t xml:space="preserve">alary </w:t>
      </w:r>
      <w:r>
        <w:t>p</w:t>
      </w:r>
      <w:r w:rsidR="004C05CD">
        <w:t xml:space="preserve">ackaging to </w:t>
      </w:r>
      <w:r>
        <w:t>s</w:t>
      </w:r>
      <w:r w:rsidR="004C05CD">
        <w:t>uperannuation</w:t>
      </w:r>
    </w:p>
    <w:p w:rsidR="004C05CD" w:rsidP="004C05CD" w:rsidRDefault="004C05CD" w14:paraId="525A864E" w14:textId="79CF7CB9">
      <w:pPr>
        <w:pStyle w:val="ESBodyText"/>
        <w:spacing w:after="0" w:line="276" w:lineRule="auto"/>
        <w:jc w:val="both"/>
      </w:pPr>
      <w:bookmarkStart w:name="_Toc164356693" w:id="117"/>
      <w:bookmarkStart w:name="_Toc163483877" w:id="118"/>
      <w:bookmarkStart w:name="_Hlk163466920" w:id="119"/>
      <w:r>
        <w:t xml:space="preserve">Employees should contact their </w:t>
      </w:r>
      <w:r w:rsidR="00F41864">
        <w:t>f</w:t>
      </w:r>
      <w:r>
        <w:t xml:space="preserve">inancial </w:t>
      </w:r>
      <w:r w:rsidR="00F41864">
        <w:t>a</w:t>
      </w:r>
      <w:r>
        <w:t xml:space="preserve">dviser, </w:t>
      </w:r>
      <w:r w:rsidR="00F41864">
        <w:t>a</w:t>
      </w:r>
      <w:r>
        <w:t>ccountant or seek advice from the ATO website.</w:t>
      </w:r>
    </w:p>
    <w:p w:rsidR="004C05CD" w:rsidP="004C05CD" w:rsidRDefault="004C05CD" w14:paraId="75DF2D88" w14:textId="77777777">
      <w:pPr>
        <w:pStyle w:val="VCAAHeading5"/>
        <w:numPr>
          <w:ilvl w:val="1"/>
          <w:numId w:val="26"/>
        </w:numPr>
        <w:spacing w:line="276" w:lineRule="auto"/>
        <w:rPr>
          <w:rStyle w:val="normaltextrun"/>
        </w:rPr>
      </w:pPr>
      <w:bookmarkStart w:name="_Toc169076959" w:id="120"/>
      <w:bookmarkStart w:name="_Toc171424632" w:id="121"/>
      <w:bookmarkEnd w:id="116"/>
      <w:r>
        <w:rPr>
          <w:rStyle w:val="normaltextrun"/>
        </w:rPr>
        <w:t>Privacy</w:t>
      </w:r>
      <w:bookmarkEnd w:id="117"/>
      <w:bookmarkEnd w:id="120"/>
      <w:bookmarkEnd w:id="121"/>
    </w:p>
    <w:p w:rsidR="004C05CD" w:rsidP="004C05CD" w:rsidRDefault="004C05CD" w14:paraId="0DE2BA63" w14:textId="719E28F7">
      <w:pPr>
        <w:pStyle w:val="ESBodyText"/>
        <w:spacing w:line="276" w:lineRule="auto"/>
        <w:jc w:val="both"/>
        <w:rPr>
          <w:rStyle w:val="normaltextrun"/>
        </w:rPr>
      </w:pPr>
      <w:r>
        <w:rPr>
          <w:rStyle w:val="normaltextrun"/>
        </w:rPr>
        <w:t>T</w:t>
      </w:r>
      <w:r w:rsidRPr="00EC1761">
        <w:rPr>
          <w:rStyle w:val="normaltextrun"/>
        </w:rPr>
        <w:t>he VCAA collects</w:t>
      </w:r>
      <w:r>
        <w:rPr>
          <w:rStyle w:val="normaltextrun"/>
        </w:rPr>
        <w:t xml:space="preserve"> </w:t>
      </w:r>
      <w:proofErr w:type="gramStart"/>
      <w:r>
        <w:rPr>
          <w:rStyle w:val="normaltextrun"/>
        </w:rPr>
        <w:t>employees</w:t>
      </w:r>
      <w:proofErr w:type="gramEnd"/>
      <w:r>
        <w:rPr>
          <w:rStyle w:val="normaltextrun"/>
        </w:rPr>
        <w:t xml:space="preserve"> personal</w:t>
      </w:r>
      <w:r w:rsidRPr="00EC1761">
        <w:rPr>
          <w:rStyle w:val="normaltextrun"/>
        </w:rPr>
        <w:t xml:space="preserve"> information </w:t>
      </w:r>
      <w:r>
        <w:rPr>
          <w:rStyle w:val="normaltextrun"/>
        </w:rPr>
        <w:t>as part of their</w:t>
      </w:r>
      <w:r w:rsidRPr="00EC1761">
        <w:rPr>
          <w:rStyle w:val="normaltextrun"/>
        </w:rPr>
        <w:t xml:space="preserve"> employment</w:t>
      </w:r>
      <w:r>
        <w:rPr>
          <w:rStyle w:val="normaltextrun"/>
        </w:rPr>
        <w:t xml:space="preserve"> with the organisation. Employees’ pers</w:t>
      </w:r>
      <w:r w:rsidRPr="00EC1761">
        <w:rPr>
          <w:rStyle w:val="normaltextrun"/>
        </w:rPr>
        <w:t xml:space="preserve">onal </w:t>
      </w:r>
      <w:r>
        <w:rPr>
          <w:rStyle w:val="normaltextrun"/>
        </w:rPr>
        <w:t xml:space="preserve">and </w:t>
      </w:r>
      <w:r w:rsidRPr="00EC1761">
        <w:rPr>
          <w:rStyle w:val="normaltextrun"/>
        </w:rPr>
        <w:t xml:space="preserve">sensitive information is generally collected by the VCAA and disclosed and held by </w:t>
      </w:r>
      <w:r>
        <w:rPr>
          <w:rStyle w:val="normaltextrun"/>
        </w:rPr>
        <w:t>the VCAA</w:t>
      </w:r>
      <w:r w:rsidRPr="00EC1761">
        <w:rPr>
          <w:rStyle w:val="normaltextrun"/>
        </w:rPr>
        <w:t xml:space="preserve"> as the employing body. The VCAA retains </w:t>
      </w:r>
      <w:r w:rsidR="00F41864">
        <w:rPr>
          <w:rStyle w:val="normaltextrun"/>
        </w:rPr>
        <w:t xml:space="preserve">and </w:t>
      </w:r>
      <w:r w:rsidRPr="00EC1761">
        <w:rPr>
          <w:rStyle w:val="normaltextrun"/>
        </w:rPr>
        <w:t xml:space="preserve">records </w:t>
      </w:r>
      <w:r>
        <w:rPr>
          <w:rStyle w:val="normaltextrun"/>
        </w:rPr>
        <w:t xml:space="preserve">employee information electronically </w:t>
      </w:r>
      <w:r w:rsidRPr="00EC1761">
        <w:rPr>
          <w:rStyle w:val="normaltextrun"/>
        </w:rPr>
        <w:t xml:space="preserve">on </w:t>
      </w:r>
      <w:r>
        <w:rPr>
          <w:rStyle w:val="normaltextrun"/>
        </w:rPr>
        <w:t>the</w:t>
      </w:r>
      <w:r w:rsidRPr="00EC1761">
        <w:rPr>
          <w:rStyle w:val="normaltextrun"/>
        </w:rPr>
        <w:t xml:space="preserve"> </w:t>
      </w:r>
      <w:proofErr w:type="spellStart"/>
      <w:r w:rsidRPr="00EC1761">
        <w:rPr>
          <w:rStyle w:val="normaltextrun"/>
        </w:rPr>
        <w:t>eduPay</w:t>
      </w:r>
      <w:proofErr w:type="spellEnd"/>
      <w:r w:rsidRPr="00EC1761">
        <w:rPr>
          <w:rStyle w:val="normaltextrun"/>
        </w:rPr>
        <w:t xml:space="preserve"> system</w:t>
      </w:r>
      <w:r>
        <w:rPr>
          <w:rStyle w:val="normaltextrun"/>
        </w:rPr>
        <w:t xml:space="preserve">, </w:t>
      </w:r>
      <w:r w:rsidRPr="00EC1761">
        <w:rPr>
          <w:rStyle w:val="normaltextrun"/>
        </w:rPr>
        <w:t>and</w:t>
      </w:r>
      <w:r>
        <w:rPr>
          <w:rStyle w:val="normaltextrun"/>
        </w:rPr>
        <w:t xml:space="preserve"> if required, in </w:t>
      </w:r>
      <w:r w:rsidRPr="00EC1761">
        <w:rPr>
          <w:rStyle w:val="normaltextrun"/>
        </w:rPr>
        <w:t xml:space="preserve">written form </w:t>
      </w:r>
      <w:r>
        <w:rPr>
          <w:rStyle w:val="normaltextrun"/>
        </w:rPr>
        <w:t>which is</w:t>
      </w:r>
      <w:r w:rsidRPr="00EC1761">
        <w:rPr>
          <w:rStyle w:val="normaltextrun"/>
        </w:rPr>
        <w:t xml:space="preserve"> securely stored</w:t>
      </w:r>
      <w:r>
        <w:rPr>
          <w:rStyle w:val="normaltextrun"/>
        </w:rPr>
        <w:t xml:space="preserve"> </w:t>
      </w:r>
      <w:r w:rsidRPr="00EC1761">
        <w:rPr>
          <w:rStyle w:val="normaltextrun"/>
        </w:rPr>
        <w:t>in</w:t>
      </w:r>
      <w:r>
        <w:rPr>
          <w:rStyle w:val="normaltextrun"/>
        </w:rPr>
        <w:t xml:space="preserve"> </w:t>
      </w:r>
      <w:r w:rsidRPr="00EC1761">
        <w:rPr>
          <w:rStyle w:val="normaltextrun"/>
        </w:rPr>
        <w:t>archives</w:t>
      </w:r>
      <w:r>
        <w:rPr>
          <w:rStyle w:val="normaltextrun"/>
        </w:rPr>
        <w:t>, and is</w:t>
      </w:r>
      <w:r w:rsidRPr="00EC1761">
        <w:rPr>
          <w:rStyle w:val="normaltextrun"/>
        </w:rPr>
        <w:t xml:space="preserve"> only </w:t>
      </w:r>
      <w:r>
        <w:rPr>
          <w:rStyle w:val="normaltextrun"/>
        </w:rPr>
        <w:t xml:space="preserve">accessible by </w:t>
      </w:r>
      <w:r w:rsidRPr="00EC1761">
        <w:rPr>
          <w:rStyle w:val="normaltextrun"/>
        </w:rPr>
        <w:t xml:space="preserve">authorised </w:t>
      </w:r>
      <w:r>
        <w:rPr>
          <w:rStyle w:val="normaltextrun"/>
        </w:rPr>
        <w:t>delegates.</w:t>
      </w:r>
    </w:p>
    <w:p w:rsidR="004C05CD" w:rsidP="004C05CD" w:rsidRDefault="004C05CD" w14:paraId="4E1524BB" w14:textId="77777777">
      <w:pPr>
        <w:pStyle w:val="VCAAHeading5"/>
        <w:numPr>
          <w:ilvl w:val="1"/>
          <w:numId w:val="26"/>
        </w:numPr>
        <w:spacing w:line="276" w:lineRule="auto"/>
        <w:rPr>
          <w:rStyle w:val="normaltextrun"/>
        </w:rPr>
      </w:pPr>
      <w:bookmarkStart w:name="_Toc169076960" w:id="122"/>
      <w:bookmarkStart w:name="_Toc171424633" w:id="123"/>
      <w:r>
        <w:rPr>
          <w:rStyle w:val="normaltextrun"/>
        </w:rPr>
        <w:t>Definitions</w:t>
      </w:r>
      <w:bookmarkEnd w:id="122"/>
      <w:bookmarkEnd w:id="123"/>
    </w:p>
    <w:tbl>
      <w:tblPr>
        <w:tblStyle w:val="VCAAopentable"/>
        <w:tblW w:w="0" w:type="auto"/>
        <w:tblLook w:val="04A0" w:firstRow="1" w:lastRow="0" w:firstColumn="1" w:lastColumn="0" w:noHBand="0" w:noVBand="1"/>
      </w:tblPr>
      <w:tblGrid>
        <w:gridCol w:w="2127"/>
        <w:gridCol w:w="6445"/>
      </w:tblGrid>
      <w:tr w:rsidR="004C05CD" w:rsidTr="00241099" w14:paraId="5D20E5F3" w14:textId="77777777">
        <w:trPr>
          <w:cnfStyle w:val="100000000000" w:firstRow="1" w:lastRow="0" w:firstColumn="0" w:lastColumn="0" w:oddVBand="0" w:evenVBand="0" w:oddHBand="0" w:evenHBand="0" w:firstRowFirstColumn="0" w:firstRowLastColumn="0" w:lastRowFirstColumn="0" w:lastRowLastColumn="0"/>
          <w:trHeight w:val="397"/>
        </w:trPr>
        <w:tc>
          <w:tcPr>
            <w:tcW w:w="2127" w:type="dxa"/>
          </w:tcPr>
          <w:p w:rsidRPr="000E7CEC" w:rsidR="004C05CD" w:rsidP="00B63F63" w:rsidRDefault="004C05CD" w14:paraId="1C2EFFB0" w14:textId="77777777">
            <w:pPr>
              <w:pStyle w:val="ESBodyText"/>
              <w:spacing w:line="276" w:lineRule="auto"/>
              <w:jc w:val="both"/>
              <w:rPr>
                <w:rStyle w:val="normaltextrun"/>
                <w:b w:val="0"/>
                <w:bCs/>
              </w:rPr>
            </w:pPr>
            <w:r w:rsidRPr="000E7CEC">
              <w:rPr>
                <w:rStyle w:val="normaltextrun"/>
                <w:bCs/>
              </w:rPr>
              <w:t>Term</w:t>
            </w:r>
          </w:p>
        </w:tc>
        <w:tc>
          <w:tcPr>
            <w:tcW w:w="6445" w:type="dxa"/>
          </w:tcPr>
          <w:p w:rsidRPr="000E7CEC" w:rsidR="004C05CD" w:rsidP="00B63F63" w:rsidRDefault="004C05CD" w14:paraId="5213D00A" w14:textId="77777777">
            <w:pPr>
              <w:pStyle w:val="ESBodyText"/>
              <w:spacing w:line="276" w:lineRule="auto"/>
              <w:jc w:val="both"/>
              <w:rPr>
                <w:rStyle w:val="normaltextrun"/>
                <w:b w:val="0"/>
                <w:bCs/>
              </w:rPr>
            </w:pPr>
            <w:r w:rsidRPr="000E7CEC">
              <w:rPr>
                <w:rStyle w:val="normaltextrun"/>
                <w:bCs/>
              </w:rPr>
              <w:t>Definition</w:t>
            </w:r>
          </w:p>
        </w:tc>
      </w:tr>
      <w:tr w:rsidR="004C05CD" w:rsidTr="00241099" w14:paraId="5DF0996F" w14:textId="77777777">
        <w:trPr>
          <w:cnfStyle w:val="000000100000" w:firstRow="0" w:lastRow="0" w:firstColumn="0" w:lastColumn="0" w:oddVBand="0" w:evenVBand="0" w:oddHBand="1" w:evenHBand="0" w:firstRowFirstColumn="0" w:firstRowLastColumn="0" w:lastRowFirstColumn="0" w:lastRowLastColumn="0"/>
          <w:trHeight w:val="984"/>
        </w:trPr>
        <w:tc>
          <w:tcPr>
            <w:tcW w:w="2127" w:type="dxa"/>
          </w:tcPr>
          <w:p w:rsidRPr="000E7CEC" w:rsidR="004C05CD" w:rsidP="00B63F63" w:rsidRDefault="004C05CD" w14:paraId="52227EB5" w14:textId="27F0B826">
            <w:pPr>
              <w:pStyle w:val="ESBodyText"/>
              <w:spacing w:line="276" w:lineRule="auto"/>
              <w:jc w:val="both"/>
              <w:rPr>
                <w:rStyle w:val="normaltextrun"/>
                <w:b/>
                <w:bCs/>
              </w:rPr>
            </w:pPr>
            <w:r w:rsidRPr="000E7CEC">
              <w:rPr>
                <w:rStyle w:val="normaltextrun"/>
                <w:b/>
                <w:bCs/>
              </w:rPr>
              <w:t xml:space="preserve">Income </w:t>
            </w:r>
            <w:r w:rsidR="00F41864">
              <w:rPr>
                <w:rStyle w:val="normaltextrun"/>
                <w:b/>
                <w:bCs/>
              </w:rPr>
              <w:t>s</w:t>
            </w:r>
            <w:r w:rsidRPr="000E7CEC">
              <w:rPr>
                <w:rStyle w:val="normaltextrun"/>
                <w:b/>
                <w:bCs/>
              </w:rPr>
              <w:t>tatement</w:t>
            </w:r>
          </w:p>
        </w:tc>
        <w:tc>
          <w:tcPr>
            <w:tcW w:w="6445" w:type="dxa"/>
          </w:tcPr>
          <w:p w:rsidRPr="000E7CEC" w:rsidR="004C05CD" w:rsidP="00B63F63" w:rsidRDefault="004C05CD" w14:paraId="1063C105" w14:textId="46567084">
            <w:pPr>
              <w:pStyle w:val="ESBodyText"/>
              <w:spacing w:line="276" w:lineRule="auto"/>
              <w:jc w:val="both"/>
              <w:rPr>
                <w:rStyle w:val="normaltextrun"/>
              </w:rPr>
            </w:pPr>
            <w:r>
              <w:t xml:space="preserve">The PAYG Payment Summary, formerly known as the </w:t>
            </w:r>
            <w:r w:rsidR="00F41864">
              <w:t>g</w:t>
            </w:r>
            <w:r>
              <w:t xml:space="preserve">roup </w:t>
            </w:r>
            <w:r w:rsidR="00F41864">
              <w:t>c</w:t>
            </w:r>
            <w:r>
              <w:t xml:space="preserve">ertificate, has been rebranded as the </w:t>
            </w:r>
            <w:r w:rsidR="00F41864">
              <w:t>i</w:t>
            </w:r>
            <w:r>
              <w:t xml:space="preserve">ncome </w:t>
            </w:r>
            <w:r w:rsidR="00F41864">
              <w:t>s</w:t>
            </w:r>
            <w:r>
              <w:t>tatement.</w:t>
            </w:r>
          </w:p>
        </w:tc>
      </w:tr>
      <w:tr w:rsidR="004C05CD" w:rsidTr="00241099" w14:paraId="20C9DDE1" w14:textId="77777777">
        <w:trPr>
          <w:cnfStyle w:val="000000010000" w:firstRow="0" w:lastRow="0" w:firstColumn="0" w:lastColumn="0" w:oddVBand="0" w:evenVBand="0" w:oddHBand="0" w:evenHBand="1" w:firstRowFirstColumn="0" w:firstRowLastColumn="0" w:lastRowFirstColumn="0" w:lastRowLastColumn="0"/>
          <w:trHeight w:val="4427"/>
        </w:trPr>
        <w:tc>
          <w:tcPr>
            <w:tcW w:w="2127" w:type="dxa"/>
          </w:tcPr>
          <w:p w:rsidRPr="000E7CEC" w:rsidR="004C05CD" w:rsidP="00B63F63" w:rsidRDefault="004C05CD" w14:paraId="723B0F23" w14:textId="65BC49F9">
            <w:pPr>
              <w:pStyle w:val="ESBodyText"/>
              <w:spacing w:line="276" w:lineRule="auto"/>
              <w:rPr>
                <w:rStyle w:val="normaltextrun"/>
                <w:b/>
                <w:bCs/>
              </w:rPr>
            </w:pPr>
            <w:r w:rsidRPr="000E7CEC">
              <w:rPr>
                <w:rStyle w:val="normaltextrun"/>
                <w:b/>
                <w:bCs/>
              </w:rPr>
              <w:t xml:space="preserve">Stapled </w:t>
            </w:r>
            <w:r w:rsidR="00F41864">
              <w:rPr>
                <w:rStyle w:val="normaltextrun"/>
                <w:b/>
                <w:bCs/>
              </w:rPr>
              <w:t>s</w:t>
            </w:r>
            <w:r w:rsidRPr="000E7CEC">
              <w:rPr>
                <w:rStyle w:val="normaltextrun"/>
                <w:b/>
                <w:bCs/>
              </w:rPr>
              <w:t xml:space="preserve">uper </w:t>
            </w:r>
            <w:r w:rsidR="00F41864">
              <w:rPr>
                <w:rStyle w:val="normaltextrun"/>
                <w:b/>
                <w:bCs/>
              </w:rPr>
              <w:t>f</w:t>
            </w:r>
            <w:r w:rsidRPr="000E7CEC">
              <w:rPr>
                <w:rStyle w:val="normaltextrun"/>
                <w:b/>
                <w:bCs/>
              </w:rPr>
              <w:t>und</w:t>
            </w:r>
          </w:p>
        </w:tc>
        <w:tc>
          <w:tcPr>
            <w:tcW w:w="6445" w:type="dxa"/>
          </w:tcPr>
          <w:p w:rsidR="004C05CD" w:rsidP="00B63F63" w:rsidRDefault="004C05CD" w14:paraId="5EC0AD6B" w14:textId="77777777">
            <w:pPr>
              <w:pStyle w:val="ESBodyText"/>
              <w:spacing w:line="276" w:lineRule="auto"/>
              <w:jc w:val="both"/>
              <w:rPr>
                <w:rStyle w:val="normaltextrun"/>
              </w:rPr>
            </w:pPr>
            <w:r w:rsidRPr="000E7CEC">
              <w:rPr>
                <w:rStyle w:val="normaltextrun"/>
              </w:rPr>
              <w:t>A stapled super fund is an existing super account which is linked, or 'stapled', to an individual employee so that it follows them as they change jobs.</w:t>
            </w:r>
          </w:p>
        </w:tc>
      </w:tr>
    </w:tbl>
    <w:p w:rsidRPr="00876EDE" w:rsidR="004C05CD" w:rsidP="004C05CD" w:rsidRDefault="004C05CD" w14:paraId="7B51CBD0" w14:textId="5EBD7174">
      <w:pPr>
        <w:pStyle w:val="VCAAHeading2"/>
        <w:numPr>
          <w:ilvl w:val="0"/>
          <w:numId w:val="26"/>
        </w:numPr>
        <w:spacing w:line="276" w:lineRule="auto"/>
        <w:rPr>
          <w:rStyle w:val="eop"/>
          <w:szCs w:val="40"/>
          <w:shd w:val="clear" w:color="auto" w:fill="FFFFFF"/>
        </w:rPr>
      </w:pPr>
      <w:bookmarkStart w:name="_Toc163483876" w:id="124"/>
      <w:bookmarkStart w:name="_Toc163484150" w:id="125"/>
      <w:bookmarkStart w:name="_Toc164356694" w:id="126"/>
      <w:bookmarkStart w:name="_Toc169076961" w:id="127"/>
      <w:bookmarkStart w:name="_Toc171424634" w:id="128"/>
      <w:r w:rsidRPr="00876EDE">
        <w:rPr>
          <w:rStyle w:val="normaltextrun"/>
          <w:szCs w:val="40"/>
          <w:shd w:val="clear" w:color="auto" w:fill="FFFFFF"/>
        </w:rPr>
        <w:t>Managing th</w:t>
      </w:r>
      <w:bookmarkEnd w:id="124"/>
      <w:bookmarkEnd w:id="125"/>
      <w:bookmarkEnd w:id="126"/>
      <w:bookmarkEnd w:id="127"/>
      <w:r w:rsidR="00241099">
        <w:rPr>
          <w:rStyle w:val="normaltextrun"/>
          <w:szCs w:val="40"/>
          <w:shd w:val="clear" w:color="auto" w:fill="FFFFFF"/>
        </w:rPr>
        <w:t>e guidelines</w:t>
      </w:r>
      <w:bookmarkEnd w:id="128"/>
    </w:p>
    <w:p w:rsidRPr="002B4745" w:rsidR="004C05CD" w:rsidP="2802FBC2" w:rsidRDefault="004C05CD" w14:paraId="0C04EAEB" w14:textId="77777777">
      <w:pPr>
        <w:pStyle w:val="VCAAHeading5"/>
        <w:numPr>
          <w:ilvl w:val="1"/>
          <w:numId w:val="26"/>
        </w:numPr>
        <w:spacing w:line="276" w:lineRule="auto"/>
        <w:rPr>
          <w:rStyle w:val="normaltextrun"/>
          <w:lang w:val="en-US"/>
        </w:rPr>
      </w:pPr>
      <w:bookmarkStart w:name="_Toc169076962" w:id="129"/>
      <w:bookmarkStart w:name="_Toc171424635" w:id="130"/>
      <w:r w:rsidRPr="2802FBC2" w:rsidR="0498D5DD">
        <w:rPr>
          <w:rStyle w:val="normaltextrun"/>
          <w:lang w:val="en-US"/>
        </w:rPr>
        <w:t>Authorisation</w:t>
      </w:r>
      <w:bookmarkEnd w:id="129"/>
      <w:bookmarkEnd w:id="130"/>
    </w:p>
    <w:p w:rsidR="004C05CD" w:rsidP="004C05CD" w:rsidRDefault="004C05CD" w14:paraId="33B4F2B1" w14:textId="0E8F406A">
      <w:pPr>
        <w:pStyle w:val="ESBodyText"/>
        <w:spacing w:line="276" w:lineRule="auto"/>
        <w:jc w:val="both"/>
        <w:rPr>
          <w:rStyle w:val="normaltextrun"/>
        </w:rPr>
      </w:pPr>
      <w:r w:rsidRPr="001E7676">
        <w:rPr>
          <w:rStyle w:val="normaltextrun"/>
        </w:rPr>
        <w:t>Th</w:t>
      </w:r>
      <w:r w:rsidR="00241099">
        <w:rPr>
          <w:rStyle w:val="normaltextrun"/>
        </w:rPr>
        <w:t xml:space="preserve">e guidelines are </w:t>
      </w:r>
      <w:r w:rsidRPr="001E7676">
        <w:rPr>
          <w:rStyle w:val="normaltextrun"/>
        </w:rPr>
        <w:t>issued under the authority of the Chief Executive Officer.</w:t>
      </w:r>
    </w:p>
    <w:p w:rsidRPr="002B4745" w:rsidR="004C05CD" w:rsidP="002B4745" w:rsidRDefault="004C05CD" w14:paraId="3FCF486B" w14:textId="57140258">
      <w:pPr>
        <w:pStyle w:val="VCAAHeading5"/>
        <w:numPr>
          <w:ilvl w:val="1"/>
          <w:numId w:val="26"/>
        </w:numPr>
        <w:spacing w:line="276" w:lineRule="auto"/>
        <w:rPr>
          <w:rStyle w:val="normaltextrun"/>
        </w:rPr>
      </w:pPr>
      <w:bookmarkStart w:name="_Toc169076963" w:id="131"/>
      <w:bookmarkStart w:name="_Toc171424636" w:id="132"/>
      <w:r w:rsidRPr="002B4745">
        <w:rPr>
          <w:rStyle w:val="normaltextrun"/>
        </w:rPr>
        <w:t xml:space="preserve">Accountability for the </w:t>
      </w:r>
      <w:bookmarkEnd w:id="131"/>
      <w:r w:rsidR="00241099">
        <w:rPr>
          <w:rStyle w:val="normaltextrun"/>
        </w:rPr>
        <w:t>guidelines</w:t>
      </w:r>
      <w:bookmarkEnd w:id="132"/>
    </w:p>
    <w:p w:rsidR="004C05CD" w:rsidP="004C05CD" w:rsidRDefault="004C05CD" w14:paraId="0E19FBBA" w14:textId="5D0CE43E">
      <w:pPr>
        <w:pStyle w:val="ESBodyText"/>
        <w:spacing w:line="276" w:lineRule="auto"/>
        <w:jc w:val="both"/>
        <w:rPr>
          <w:sz w:val="20"/>
          <w:szCs w:val="20"/>
        </w:rPr>
      </w:pPr>
      <w:r>
        <w:rPr>
          <w:rStyle w:val="normaltextrun"/>
          <w:color w:val="000000"/>
        </w:rPr>
        <w:t>The owner for th</w:t>
      </w:r>
      <w:r w:rsidR="00241099">
        <w:rPr>
          <w:rStyle w:val="normaltextrun"/>
          <w:color w:val="000000"/>
        </w:rPr>
        <w:t xml:space="preserve">e guidelines </w:t>
      </w:r>
      <w:r>
        <w:rPr>
          <w:rStyle w:val="normaltextrun"/>
          <w:color w:val="000000"/>
        </w:rPr>
        <w:t>is VCAA Human Resources. The owner reports to the Chief Executive Officer on the management of th</w:t>
      </w:r>
      <w:r w:rsidR="00241099">
        <w:rPr>
          <w:rStyle w:val="normaltextrun"/>
          <w:color w:val="000000"/>
        </w:rPr>
        <w:t>e guidelines</w:t>
      </w:r>
      <w:r>
        <w:rPr>
          <w:rStyle w:val="normaltextrun"/>
          <w:color w:val="000000"/>
        </w:rPr>
        <w:t>.</w:t>
      </w:r>
    </w:p>
    <w:p w:rsidR="004C05CD" w:rsidP="004C05CD" w:rsidRDefault="004C05CD" w14:paraId="15DAD3A8" w14:textId="77777777">
      <w:pPr>
        <w:pStyle w:val="ESBodyText"/>
        <w:spacing w:line="276" w:lineRule="auto"/>
        <w:jc w:val="both"/>
        <w:rPr>
          <w:sz w:val="20"/>
          <w:szCs w:val="20"/>
        </w:rPr>
      </w:pPr>
      <w:r>
        <w:rPr>
          <w:rStyle w:val="normaltextrun"/>
          <w:color w:val="000000"/>
        </w:rPr>
        <w:t>The owner is responsible for:</w:t>
      </w:r>
    </w:p>
    <w:p w:rsidR="004C05CD" w:rsidP="004C05CD" w:rsidRDefault="008C45D4" w14:paraId="06F699A5" w14:textId="26645AB2">
      <w:pPr>
        <w:pStyle w:val="ESBodyText"/>
        <w:numPr>
          <w:ilvl w:val="0"/>
          <w:numId w:val="34"/>
        </w:numPr>
        <w:spacing w:line="276" w:lineRule="auto"/>
        <w:jc w:val="both"/>
      </w:pPr>
      <w:r>
        <w:rPr>
          <w:rStyle w:val="normaltextrun"/>
          <w:color w:val="000000"/>
          <w:lang w:val="en-GB"/>
        </w:rPr>
        <w:t>d</w:t>
      </w:r>
      <w:r w:rsidR="004C05CD">
        <w:rPr>
          <w:rStyle w:val="normaltextrun"/>
          <w:color w:val="000000"/>
          <w:lang w:val="en-GB"/>
        </w:rPr>
        <w:t>evelopment and regular review of th</w:t>
      </w:r>
      <w:r w:rsidR="00241099">
        <w:rPr>
          <w:rStyle w:val="normaltextrun"/>
          <w:color w:val="000000"/>
          <w:lang w:val="en-GB"/>
        </w:rPr>
        <w:t xml:space="preserve">e </w:t>
      </w:r>
      <w:proofErr w:type="spellStart"/>
      <w:r w:rsidR="00241099">
        <w:rPr>
          <w:rStyle w:val="normaltextrun"/>
          <w:color w:val="000000"/>
          <w:lang w:val="en-GB"/>
        </w:rPr>
        <w:t>guidlines</w:t>
      </w:r>
      <w:proofErr w:type="spellEnd"/>
    </w:p>
    <w:p w:rsidR="004C05CD" w:rsidP="004C05CD" w:rsidRDefault="008C45D4" w14:paraId="3D70F89A" w14:textId="57107E1F">
      <w:pPr>
        <w:pStyle w:val="ESBodyText"/>
        <w:numPr>
          <w:ilvl w:val="0"/>
          <w:numId w:val="34"/>
        </w:numPr>
        <w:spacing w:line="276" w:lineRule="auto"/>
        <w:jc w:val="both"/>
      </w:pPr>
      <w:r>
        <w:rPr>
          <w:rStyle w:val="normaltextrun"/>
          <w:color w:val="000000"/>
          <w:lang w:val="en-GB"/>
        </w:rPr>
        <w:t>d</w:t>
      </w:r>
      <w:r w:rsidR="004C05CD">
        <w:rPr>
          <w:rStyle w:val="normaltextrun"/>
          <w:color w:val="000000"/>
          <w:lang w:val="en-GB"/>
        </w:rPr>
        <w:t xml:space="preserve">evelopment of protocols, processes and guidelines to support </w:t>
      </w:r>
      <w:proofErr w:type="gramStart"/>
      <w:r w:rsidR="004C05CD">
        <w:rPr>
          <w:rStyle w:val="normaltextrun"/>
          <w:color w:val="000000"/>
          <w:lang w:val="en-GB"/>
        </w:rPr>
        <w:t>implementation</w:t>
      </w:r>
      <w:proofErr w:type="gramEnd"/>
    </w:p>
    <w:p w:rsidRPr="001E7676" w:rsidR="004C05CD" w:rsidP="004C05CD" w:rsidRDefault="008C45D4" w14:paraId="31FE057C" w14:textId="2EC33CA3">
      <w:pPr>
        <w:pStyle w:val="ESBodyText"/>
        <w:numPr>
          <w:ilvl w:val="0"/>
          <w:numId w:val="34"/>
        </w:numPr>
        <w:spacing w:line="276" w:lineRule="auto"/>
        <w:jc w:val="both"/>
        <w:rPr>
          <w:rStyle w:val="normaltextrun"/>
        </w:rPr>
      </w:pPr>
      <w:r>
        <w:rPr>
          <w:rStyle w:val="normaltextrun"/>
          <w:color w:val="000000"/>
          <w:lang w:val="en-GB"/>
        </w:rPr>
        <w:t>m</w:t>
      </w:r>
      <w:r w:rsidR="004C05CD">
        <w:rPr>
          <w:rStyle w:val="normaltextrun"/>
          <w:color w:val="000000"/>
          <w:lang w:val="en-GB"/>
        </w:rPr>
        <w:t>onitoring compliance of applicable employees, organisational units, and/or locations</w:t>
      </w:r>
      <w:r w:rsidR="004C05CD">
        <w:rPr>
          <w:rStyle w:val="eop"/>
          <w:color w:val="000000"/>
        </w:rPr>
        <w:t>.</w:t>
      </w:r>
    </w:p>
    <w:p w:rsidRPr="002B4745" w:rsidR="004C05CD" w:rsidP="002B4745" w:rsidRDefault="004C05CD" w14:paraId="79254235" w14:textId="77777777">
      <w:pPr>
        <w:pStyle w:val="VCAAHeading5"/>
        <w:numPr>
          <w:ilvl w:val="1"/>
          <w:numId w:val="26"/>
        </w:numPr>
        <w:spacing w:line="276" w:lineRule="auto"/>
        <w:rPr>
          <w:rStyle w:val="normaltextrun"/>
        </w:rPr>
      </w:pPr>
      <w:bookmarkStart w:name="_Toc169076964" w:id="133"/>
      <w:bookmarkStart w:name="_Toc171424637" w:id="134"/>
      <w:r w:rsidRPr="002B4745">
        <w:rPr>
          <w:rStyle w:val="normaltextrun"/>
        </w:rPr>
        <w:t>Important dates</w:t>
      </w:r>
      <w:bookmarkEnd w:id="133"/>
      <w:bookmarkEnd w:id="134"/>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4C05CD" w:rsidTr="00B63F63" w14:paraId="002A6932" w14:textId="77777777">
        <w:trPr>
          <w:trHeight w:val="300"/>
        </w:trPr>
        <w:tc>
          <w:tcPr>
            <w:tcW w:w="4815" w:type="dxa"/>
            <w:shd w:val="clear" w:color="auto" w:fill="auto"/>
            <w:hideMark/>
          </w:tcPr>
          <w:p w:rsidRPr="001E7676" w:rsidR="004C05CD" w:rsidP="00B63F63" w:rsidRDefault="004C05CD" w14:paraId="2569D521"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4C05CD" w:rsidP="00B63F63" w:rsidRDefault="004C05CD" w14:paraId="68221FCA"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4C05CD" w:rsidTr="00B63F63" w14:paraId="4771DFF5" w14:textId="77777777">
        <w:trPr>
          <w:trHeight w:val="300"/>
        </w:trPr>
        <w:tc>
          <w:tcPr>
            <w:tcW w:w="4815" w:type="dxa"/>
            <w:shd w:val="clear" w:color="auto" w:fill="auto"/>
            <w:hideMark/>
          </w:tcPr>
          <w:p w:rsidRPr="001E7676" w:rsidR="004C05CD" w:rsidP="00B63F63" w:rsidRDefault="004C05CD" w14:paraId="76124A59"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4C05CD" w:rsidP="00B63F63" w:rsidRDefault="004C05CD" w14:paraId="36BB3876"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4C05CD" w:rsidTr="00B63F63" w14:paraId="4327E52F" w14:textId="77777777">
        <w:trPr>
          <w:trHeight w:val="300"/>
        </w:trPr>
        <w:tc>
          <w:tcPr>
            <w:tcW w:w="4815" w:type="dxa"/>
            <w:shd w:val="clear" w:color="auto" w:fill="auto"/>
            <w:hideMark/>
          </w:tcPr>
          <w:p w:rsidRPr="001E7676" w:rsidR="004C05CD" w:rsidP="00B63F63" w:rsidRDefault="004C05CD" w14:paraId="76A992B7"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4C05CD" w:rsidP="00B63F63" w:rsidRDefault="004C05CD" w14:paraId="626E7914"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1A01AE" w:rsidR="004C05CD" w:rsidP="004C05CD" w:rsidRDefault="004C05CD" w14:paraId="6C900BA5" w14:textId="77777777">
      <w:pPr>
        <w:pStyle w:val="VCAAHeading2"/>
        <w:numPr>
          <w:ilvl w:val="0"/>
          <w:numId w:val="26"/>
        </w:numPr>
        <w:spacing w:line="276" w:lineRule="auto"/>
        <w:jc w:val="both"/>
        <w:rPr>
          <w:rStyle w:val="eop"/>
        </w:rPr>
      </w:pPr>
      <w:bookmarkStart w:name="_Toc163484151" w:id="135"/>
      <w:bookmarkStart w:name="_Toc164356695" w:id="136"/>
      <w:bookmarkStart w:name="_Toc169076965" w:id="137"/>
      <w:bookmarkStart w:name="_Toc171424638" w:id="138"/>
      <w:r w:rsidRPr="001A01AE">
        <w:rPr>
          <w:rStyle w:val="normaltextrun"/>
        </w:rPr>
        <w:t xml:space="preserve">Related </w:t>
      </w:r>
      <w:bookmarkEnd w:id="135"/>
      <w:bookmarkEnd w:id="136"/>
      <w:r>
        <w:rPr>
          <w:rStyle w:val="normaltextrun"/>
        </w:rPr>
        <w:t>documents</w:t>
      </w:r>
      <w:bookmarkEnd w:id="137"/>
      <w:bookmarkEnd w:id="138"/>
    </w:p>
    <w:p w:rsidRPr="002B4745" w:rsidR="004C05CD" w:rsidP="004C05CD" w:rsidRDefault="004C05CD" w14:paraId="5B0AD8A7" w14:textId="6F5D7FEF">
      <w:pPr>
        <w:pStyle w:val="NoSpacing"/>
        <w:numPr>
          <w:ilvl w:val="0"/>
          <w:numId w:val="29"/>
        </w:numPr>
        <w:spacing w:line="276" w:lineRule="auto"/>
        <w:jc w:val="both"/>
        <w:rPr>
          <w:sz w:val="18"/>
          <w:szCs w:val="18"/>
        </w:rPr>
      </w:pPr>
      <w:bookmarkStart w:name="_Toc163483878" w:id="139"/>
      <w:bookmarkStart w:name="_Toc163484152" w:id="140"/>
      <w:r w:rsidRPr="002B4745">
        <w:rPr>
          <w:sz w:val="18"/>
          <w:szCs w:val="18"/>
        </w:rPr>
        <w:t>VCAA termination of employment guidelines</w:t>
      </w:r>
      <w:bookmarkEnd w:id="8"/>
      <w:bookmarkEnd w:id="57"/>
      <w:bookmarkEnd w:id="118"/>
      <w:bookmarkEnd w:id="119"/>
      <w:bookmarkEnd w:id="139"/>
      <w:bookmarkEnd w:id="140"/>
    </w:p>
    <w:sectPr w:rsidRPr="002B4745" w:rsidR="004C05CD" w:rsidSect="00881105">
      <w:headerReference w:type="default" r:id="rId27"/>
      <w:footerReference w:type="default" r:id="rId28"/>
      <w:headerReference w:type="first" r:id="rId29"/>
      <w:footerReference w:type="first" r:id="rId30"/>
      <w:pgSz w:w="11907" w:h="16840" w:orient="portrait" w:code="9"/>
      <w:pgMar w:top="1430" w:right="1134" w:bottom="1434" w:left="1985" w:header="392" w:footer="273"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D0381D" w:rsidRDefault="00350E9A" w14:paraId="4004BF4A" w14:textId="78C85602">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241099"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241099" w14:paraId="586607E3" w14:textId="340A9A3D">
        <w:r>
          <w:t>Salary and payroll guidelines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241099" w14:paraId="17BE7806" w14:textId="39E8313E">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t>Salary and payroll guidelines</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74C50D66">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41099">
          <w:t>Salary and payroll guidelines</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6E32E8"/>
    <w:multiLevelType w:val="hybridMultilevel"/>
    <w:tmpl w:val="57B40B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3C41CDC"/>
    <w:multiLevelType w:val="multilevel"/>
    <w:tmpl w:val="CD9C971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3E73035"/>
    <w:multiLevelType w:val="multilevel"/>
    <w:tmpl w:val="798ED268"/>
    <w:lvl w:ilvl="0">
      <w:start w:val="1"/>
      <w:numFmt w:val="decimal"/>
      <w:lvlText w:val="%1."/>
      <w:lvlJc w:val="left"/>
      <w:pPr>
        <w:ind w:left="360" w:hanging="360"/>
      </w:p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C45EAE"/>
    <w:multiLevelType w:val="hybridMultilevel"/>
    <w:tmpl w:val="FE90777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1DA91A59"/>
    <w:multiLevelType w:val="hybridMultilevel"/>
    <w:tmpl w:val="0BB8DE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2AE6F88"/>
    <w:multiLevelType w:val="hybridMultilevel"/>
    <w:tmpl w:val="19D8FD7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32CC6E58"/>
    <w:multiLevelType w:val="multilevel"/>
    <w:tmpl w:val="CEB6B0A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7364594"/>
    <w:multiLevelType w:val="hybridMultilevel"/>
    <w:tmpl w:val="1744091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E29683E"/>
    <w:multiLevelType w:val="hybridMultilevel"/>
    <w:tmpl w:val="CDE8E01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BE41F68"/>
    <w:multiLevelType w:val="hybridMultilevel"/>
    <w:tmpl w:val="0D34CF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C06FC"/>
    <w:multiLevelType w:val="multilevel"/>
    <w:tmpl w:val="379CCA6A"/>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9" w15:restartNumberingAfterBreak="0">
    <w:nsid w:val="57797A53"/>
    <w:multiLevelType w:val="hybridMultilevel"/>
    <w:tmpl w:val="40C662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1"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2" w15:restartNumberingAfterBreak="0">
    <w:nsid w:val="67FB663D"/>
    <w:multiLevelType w:val="hybridMultilevel"/>
    <w:tmpl w:val="F9CE044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3" w15:restartNumberingAfterBreak="0">
    <w:nsid w:val="6AF80749"/>
    <w:multiLevelType w:val="hybridMultilevel"/>
    <w:tmpl w:val="633678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31"/>
  </w:num>
  <w:num w:numId="2" w16cid:durableId="116458358">
    <w:abstractNumId w:val="28"/>
  </w:num>
  <w:num w:numId="3" w16cid:durableId="1925257724">
    <w:abstractNumId w:val="24"/>
  </w:num>
  <w:num w:numId="4" w16cid:durableId="214388723">
    <w:abstractNumId w:val="15"/>
  </w:num>
  <w:num w:numId="5" w16cid:durableId="711996426">
    <w:abstractNumId w:val="30"/>
  </w:num>
  <w:num w:numId="6" w16cid:durableId="1236934448">
    <w:abstractNumId w:val="16"/>
  </w:num>
  <w:num w:numId="7" w16cid:durableId="2021656439">
    <w:abstractNumId w:val="12"/>
  </w:num>
  <w:num w:numId="8" w16cid:durableId="329253850">
    <w:abstractNumId w:val="19"/>
  </w:num>
  <w:num w:numId="9" w16cid:durableId="1246761816">
    <w:abstractNumId w:val="26"/>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80826758">
    <w:abstractNumId w:val="13"/>
  </w:num>
  <w:num w:numId="21" w16cid:durableId="885680361">
    <w:abstractNumId w:val="17"/>
  </w:num>
  <w:num w:numId="22" w16cid:durableId="1350907886">
    <w:abstractNumId w:val="32"/>
  </w:num>
  <w:num w:numId="23" w16cid:durableId="1355300445">
    <w:abstractNumId w:val="25"/>
  </w:num>
  <w:num w:numId="24" w16cid:durableId="1023287283">
    <w:abstractNumId w:val="18"/>
  </w:num>
  <w:num w:numId="25" w16cid:durableId="1782334839">
    <w:abstractNumId w:val="33"/>
  </w:num>
  <w:num w:numId="26" w16cid:durableId="1616599634">
    <w:abstractNumId w:val="27"/>
  </w:num>
  <w:num w:numId="27" w16cid:durableId="1422141747">
    <w:abstractNumId w:val="23"/>
  </w:num>
  <w:num w:numId="28" w16cid:durableId="1030767234">
    <w:abstractNumId w:val="22"/>
  </w:num>
  <w:num w:numId="29" w16cid:durableId="130946671">
    <w:abstractNumId w:val="10"/>
  </w:num>
  <w:num w:numId="30" w16cid:durableId="2085910953">
    <w:abstractNumId w:val="21"/>
  </w:num>
  <w:num w:numId="31" w16cid:durableId="1692106154">
    <w:abstractNumId w:val="14"/>
  </w:num>
  <w:num w:numId="32" w16cid:durableId="1869026176">
    <w:abstractNumId w:val="29"/>
  </w:num>
  <w:num w:numId="33" w16cid:durableId="2024045889">
    <w:abstractNumId w:val="11"/>
  </w:num>
  <w:num w:numId="34" w16cid:durableId="2611075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41EBE"/>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099"/>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B4745"/>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05CD"/>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0F61"/>
    <w:rsid w:val="006A2E04"/>
    <w:rsid w:val="006A7D06"/>
    <w:rsid w:val="006C4D3D"/>
    <w:rsid w:val="006D2159"/>
    <w:rsid w:val="006D764C"/>
    <w:rsid w:val="006F5551"/>
    <w:rsid w:val="006F787C"/>
    <w:rsid w:val="00702636"/>
    <w:rsid w:val="00707E68"/>
    <w:rsid w:val="00714643"/>
    <w:rsid w:val="0071657E"/>
    <w:rsid w:val="00724507"/>
    <w:rsid w:val="00724CFE"/>
    <w:rsid w:val="007270FB"/>
    <w:rsid w:val="00747608"/>
    <w:rsid w:val="007515F6"/>
    <w:rsid w:val="007619E0"/>
    <w:rsid w:val="00773E6C"/>
    <w:rsid w:val="007B04F0"/>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C45D4"/>
    <w:rsid w:val="008D4238"/>
    <w:rsid w:val="008E031A"/>
    <w:rsid w:val="009008A3"/>
    <w:rsid w:val="00906913"/>
    <w:rsid w:val="0091624E"/>
    <w:rsid w:val="00916D5D"/>
    <w:rsid w:val="0092268E"/>
    <w:rsid w:val="0093258A"/>
    <w:rsid w:val="00935D91"/>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22CBA"/>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1864"/>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498D5DD"/>
    <w:rsid w:val="19758CD7"/>
    <w:rsid w:val="2802FBC2"/>
    <w:rsid w:val="2ABA8C4E"/>
    <w:rsid w:val="4A7044ED"/>
    <w:rsid w:val="6A40936E"/>
    <w:rsid w:val="76A95AF0"/>
    <w:rsid w:val="79D27CDA"/>
    <w:rsid w:val="7D42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EEEB151"/>
  <w15:docId w15:val="{225DD785-E1AE-4580-848E-E62C8AD711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7B04F0"/>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Normal"/>
    <w:qFormat/>
    <w:rsid w:val="004C05CD"/>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Normal"/>
    <w:qFormat/>
    <w:rsid w:val="004C05CD"/>
    <w:pPr>
      <w:spacing w:before="320" w:after="120" w:line="400" w:lineRule="exact"/>
      <w:outlineLvl w:val="3"/>
    </w:pPr>
    <w:rPr>
      <w:rFonts w:ascii="Arial" w:hAnsi="Arial" w:cs="Arial"/>
      <w:color w:val="0F7EB4"/>
      <w:sz w:val="32"/>
      <w:szCs w:val="24"/>
    </w:rPr>
  </w:style>
  <w:style w:type="paragraph" w:styleId="VCAAHeading5" w:customStyle="1">
    <w:name w:val="VCAA Heading 5"/>
    <w:basedOn w:val="Normal"/>
    <w:next w:val="Normal"/>
    <w:qFormat/>
    <w:rsid w:val="004C05CD"/>
    <w:pPr>
      <w:spacing w:before="240" w:after="120" w:line="320" w:lineRule="exact"/>
      <w:outlineLvl w:val="5"/>
    </w:pPr>
    <w:rPr>
      <w:rFonts w:ascii="Arial" w:hAnsi="Arial" w:cs="Arial"/>
      <w:color w:val="0F7EB4"/>
      <w:sz w:val="24"/>
      <w:szCs w:val="20"/>
      <w:lang w:val="en" w:eastAsia="en-AU"/>
    </w:rPr>
  </w:style>
  <w:style w:type="paragraph" w:styleId="ESBodyText" w:customStyle="1">
    <w:name w:val="ES_Body Text"/>
    <w:basedOn w:val="Normal"/>
    <w:qFormat/>
    <w:rsid w:val="004C05CD"/>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4C05CD"/>
  </w:style>
  <w:style w:type="character" w:styleId="eop" w:customStyle="1">
    <w:name w:val="eop"/>
    <w:basedOn w:val="DefaultParagraphFont"/>
    <w:rsid w:val="004C0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hyperlink" Target="mailto:vcaa.hr@education.vic.gov.au" TargetMode="Externa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microsoft.com/office/2016/09/relationships/commentsIds" Target="commentsIds.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1/relationships/commentsExtended" Target="commentsExtended.xml" Id="rId24" /><Relationship Type="http://schemas.openxmlformats.org/officeDocument/2006/relationships/glossaryDocument" Target="glossary/document.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footer" Target="footer4.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header" Target="header4.xml" Id="rId27" /><Relationship Type="http://schemas.openxmlformats.org/officeDocument/2006/relationships/footer" Target="footer5.xml" Id="rId30" /><Relationship Type="http://schemas.openxmlformats.org/officeDocument/2006/relationships/webSettings" Target="webSettings.xml" Id="rId8"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472EE5"/>
    <w:rsid w:val="00935D91"/>
    <w:rsid w:val="00A67188"/>
    <w:rsid w:val="00D67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603ce84b-db6c-4b71-aec5-1961e312b7c3"/>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1dfda961-1ef8-479d-a039-ba17e335c3a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591E9034-7412-42A6-BACD-E46B3F5A1D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 and payroll guidelines</dc:title>
  <dc:creator/>
  <cp:lastModifiedBy>Jessica Marazzato</cp:lastModifiedBy>
  <cp:revision>5</cp:revision>
  <dcterms:created xsi:type="dcterms:W3CDTF">2024-06-25T03:34:00Z</dcterms:created>
  <dcterms:modified xsi:type="dcterms:W3CDTF">2024-07-31T01:13:25Z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