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20FAB250">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20FAB250">
            <w:pPr>
              <w:pStyle w:val="BodyText"/>
              <w:rPr>
                <w:color w:val="FFFFFF" w:themeColor="background1"/>
              </w:rPr>
            </w:pPr>
            <w:bookmarkStart w:id="0" w:name="TemplateOverview"/>
            <w:bookmarkEnd w:id="0"/>
            <w:r w:rsidRPr="20FAB250">
              <w:rPr>
                <w:color w:val="FFFFFF" w:themeColor="background1"/>
              </w:rPr>
              <w:t>Role</w:t>
            </w:r>
          </w:p>
        </w:tc>
        <w:tc>
          <w:tcPr>
            <w:tcW w:w="6604" w:type="dxa"/>
          </w:tcPr>
          <w:p w14:paraId="18B7D399" w14:textId="411CACCF" w:rsidR="00102F70" w:rsidRPr="00870A89" w:rsidRDefault="00881A49" w:rsidP="20FAB250">
            <w:pPr>
              <w:pStyle w:val="Bulletlevel2"/>
              <w:numPr>
                <w:ilvl w:val="0"/>
                <w:numId w:val="0"/>
              </w:numPr>
              <w:rPr>
                <w:color w:val="FFFFFF" w:themeColor="background1"/>
                <w:lang w:val="en-AU"/>
              </w:rPr>
            </w:pPr>
            <w:r w:rsidRPr="20FAB250">
              <w:rPr>
                <w:color w:val="FFFFFF" w:themeColor="background1"/>
                <w:lang w:val="en-AU"/>
              </w:rPr>
              <w:t xml:space="preserve">Executive Panel Member (For General Achievement Test (GAT) and English only. </w:t>
            </w:r>
          </w:p>
        </w:tc>
      </w:tr>
      <w:tr w:rsidR="00102F70" w:rsidRPr="00870A89" w14:paraId="2FC0E6E6" w14:textId="77777777" w:rsidTr="20FAB250">
        <w:tc>
          <w:tcPr>
            <w:tcW w:w="3285" w:type="dxa"/>
          </w:tcPr>
          <w:p w14:paraId="4D193816" w14:textId="69858B3F" w:rsidR="00102F70" w:rsidRPr="001259C4" w:rsidRDefault="00102F70" w:rsidP="004F1189">
            <w:pPr>
              <w:rPr>
                <w:rFonts w:asciiTheme="minorHAnsi" w:hAnsiTheme="minorHAnsi" w:cstheme="minorHAnsi"/>
                <w:sz w:val="20"/>
                <w:szCs w:val="20"/>
                <w:lang w:val="en-AU"/>
              </w:rPr>
            </w:pPr>
            <w:r w:rsidRPr="001259C4">
              <w:rPr>
                <w:rFonts w:asciiTheme="minorHAnsi" w:hAnsiTheme="minorHAnsi" w:cstheme="minorHAnsi"/>
                <w:sz w:val="20"/>
                <w:szCs w:val="20"/>
                <w:lang w:val="en-AU"/>
              </w:rPr>
              <w:t>Classification</w:t>
            </w:r>
          </w:p>
        </w:tc>
        <w:tc>
          <w:tcPr>
            <w:tcW w:w="6604" w:type="dxa"/>
          </w:tcPr>
          <w:p w14:paraId="09BE05BD" w14:textId="1A722D80" w:rsidR="00102F70" w:rsidRDefault="57891878" w:rsidP="00924A0A">
            <w:pPr>
              <w:pStyle w:val="Bulletlevel2"/>
              <w:numPr>
                <w:ilvl w:val="0"/>
                <w:numId w:val="0"/>
              </w:numPr>
              <w:rPr>
                <w:lang w:val="en-AU"/>
              </w:rPr>
            </w:pPr>
            <w:r w:rsidRPr="0AFE6E0A">
              <w:rPr>
                <w:lang w:val="en-AU"/>
              </w:rPr>
              <w:t>MO0</w:t>
            </w:r>
            <w:r w:rsidR="00881A49">
              <w:rPr>
                <w:lang w:val="en-AU"/>
              </w:rPr>
              <w:t>6</w:t>
            </w:r>
          </w:p>
          <w:p w14:paraId="456ADD84" w14:textId="5D3C9B95" w:rsidR="00E54339" w:rsidRPr="00870A89" w:rsidRDefault="00E54339" w:rsidP="00924A0A">
            <w:pPr>
              <w:pStyle w:val="Bulletlevel2"/>
              <w:numPr>
                <w:ilvl w:val="0"/>
                <w:numId w:val="0"/>
              </w:numPr>
              <w:rPr>
                <w:lang w:val="en-AU"/>
              </w:rPr>
            </w:pPr>
          </w:p>
        </w:tc>
      </w:tr>
      <w:tr w:rsidR="00102F70" w:rsidRPr="00870A89" w14:paraId="296F492D" w14:textId="77777777" w:rsidTr="20FAB250">
        <w:tc>
          <w:tcPr>
            <w:tcW w:w="3285" w:type="dxa"/>
          </w:tcPr>
          <w:p w14:paraId="7519B70F" w14:textId="2C4C065B" w:rsidR="00102F70" w:rsidRPr="001259C4" w:rsidRDefault="00102F70" w:rsidP="004F1189">
            <w:pPr>
              <w:rPr>
                <w:rFonts w:asciiTheme="minorHAnsi" w:hAnsiTheme="minorHAnsi" w:cstheme="minorHAnsi"/>
                <w:sz w:val="20"/>
                <w:szCs w:val="20"/>
                <w:lang w:val="en-AU"/>
              </w:rPr>
            </w:pPr>
            <w:r w:rsidRPr="001259C4">
              <w:rPr>
                <w:rFonts w:asciiTheme="minorHAnsi" w:hAnsiTheme="minorHAnsi" w:cstheme="minorHAnsi"/>
                <w:sz w:val="20"/>
                <w:szCs w:val="20"/>
                <w:lang w:val="en-AU"/>
              </w:rPr>
              <w:t>Salary Range</w:t>
            </w:r>
          </w:p>
        </w:tc>
        <w:tc>
          <w:tcPr>
            <w:tcW w:w="6604" w:type="dxa"/>
          </w:tcPr>
          <w:p w14:paraId="3B21E6FD" w14:textId="77777777" w:rsidR="00102F70" w:rsidRDefault="00924A04" w:rsidP="00924A04">
            <w:pPr>
              <w:pStyle w:val="Bulletlevel2"/>
              <w:numPr>
                <w:ilvl w:val="0"/>
                <w:numId w:val="0"/>
              </w:numPr>
              <w:rPr>
                <w:rFonts w:asciiTheme="minorHAnsi" w:hAnsiTheme="minorHAnsi" w:cstheme="minorHAnsi"/>
              </w:rPr>
            </w:pPr>
            <w:r w:rsidRPr="00E1042E">
              <w:rPr>
                <w:rFonts w:asciiTheme="minorHAnsi" w:hAnsiTheme="minorHAnsi" w:cstheme="minorHAnsi"/>
              </w:rPr>
              <w:t xml:space="preserve">As prescribed under the </w:t>
            </w:r>
            <w:r>
              <w:rPr>
                <w:rFonts w:asciiTheme="minorHAnsi" w:hAnsiTheme="minorHAnsi" w:cstheme="minorHAnsi"/>
              </w:rPr>
              <w:t>Ministerial Order 1451</w:t>
            </w:r>
          </w:p>
          <w:p w14:paraId="7690BB53" w14:textId="1E81C475" w:rsidR="00E54339" w:rsidRPr="00870A89" w:rsidRDefault="00E54339" w:rsidP="00924A04">
            <w:pPr>
              <w:pStyle w:val="Bulletlevel2"/>
              <w:numPr>
                <w:ilvl w:val="0"/>
                <w:numId w:val="0"/>
              </w:numPr>
              <w:rPr>
                <w:lang w:val="en-AU"/>
              </w:rPr>
            </w:pPr>
          </w:p>
        </w:tc>
      </w:tr>
      <w:tr w:rsidR="00102F70" w:rsidRPr="00870A89" w14:paraId="3EBBA251" w14:textId="77777777" w:rsidTr="20FAB250">
        <w:tc>
          <w:tcPr>
            <w:tcW w:w="3285" w:type="dxa"/>
          </w:tcPr>
          <w:p w14:paraId="21E3DE40" w14:textId="3EFD486E" w:rsidR="00102F70" w:rsidRPr="001259C4" w:rsidRDefault="00102F70" w:rsidP="004F1189">
            <w:pPr>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6604" w:type="dxa"/>
          </w:tcPr>
          <w:p w14:paraId="3DD20FF9" w14:textId="26F3B273" w:rsidR="00102F70" w:rsidRPr="00870A89" w:rsidRDefault="1CE78C08" w:rsidP="00924A04">
            <w:pPr>
              <w:pStyle w:val="Bulletlevel2"/>
              <w:numPr>
                <w:ilvl w:val="0"/>
                <w:numId w:val="0"/>
              </w:numPr>
              <w:rPr>
                <w:lang w:val="en-AU"/>
              </w:rPr>
            </w:pPr>
            <w:r w:rsidRPr="28919FB4">
              <w:rPr>
                <w:lang w:val="en-AU"/>
              </w:rPr>
              <w:t xml:space="preserve">Examinations Unit, </w:t>
            </w:r>
            <w:r w:rsidR="0DB3EC64" w:rsidRPr="28919FB4">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FBCDBC5" w14:textId="77777777" w:rsidTr="6A83F23A">
        <w:trPr>
          <w:cnfStyle w:val="100000000000" w:firstRow="1" w:lastRow="0" w:firstColumn="0" w:lastColumn="0" w:oddVBand="0" w:evenVBand="0" w:oddHBand="0" w:evenHBand="0" w:firstRowFirstColumn="0" w:firstRowLastColumn="0" w:lastRowFirstColumn="0" w:lastRowLastColumn="0"/>
        </w:trPr>
        <w:tc>
          <w:tcPr>
            <w:tcW w:w="3285" w:type="dxa"/>
          </w:tcPr>
          <w:p w14:paraId="15F2DD7B" w14:textId="4DD5C21F" w:rsidR="00102F70" w:rsidRPr="00870A89" w:rsidRDefault="00102F70" w:rsidP="6A83F23A">
            <w:pPr>
              <w:pStyle w:val="BodyText"/>
              <w:rPr>
                <w:color w:val="FFFFFF" w:themeColor="background1"/>
              </w:rPr>
            </w:pPr>
            <w:r w:rsidRPr="6A83F23A">
              <w:rPr>
                <w:color w:val="FFFFFF" w:themeColor="background1"/>
              </w:rPr>
              <w:t>Role Purpose</w:t>
            </w:r>
          </w:p>
        </w:tc>
        <w:tc>
          <w:tcPr>
            <w:tcW w:w="6604" w:type="dxa"/>
          </w:tcPr>
          <w:p w14:paraId="21276791" w14:textId="77777777" w:rsidR="00102F70" w:rsidRPr="00870A89" w:rsidRDefault="00102F70" w:rsidP="00F70AB2">
            <w:pPr>
              <w:pStyle w:val="Bulletlevel2"/>
              <w:numPr>
                <w:ilvl w:val="0"/>
                <w:numId w:val="0"/>
              </w:numPr>
              <w:ind w:left="1381"/>
              <w:rPr>
                <w:lang w:val="en-AU"/>
              </w:rPr>
            </w:pPr>
          </w:p>
        </w:tc>
      </w:tr>
      <w:tr w:rsidR="00102F70" w:rsidRPr="00870A89" w14:paraId="211AC855" w14:textId="77777777" w:rsidTr="6A83F23A">
        <w:tc>
          <w:tcPr>
            <w:tcW w:w="9889" w:type="dxa"/>
            <w:gridSpan w:val="2"/>
          </w:tcPr>
          <w:p w14:paraId="682651BE" w14:textId="78778CE7" w:rsidR="00694562" w:rsidRPr="00345749" w:rsidRDefault="00881A49" w:rsidP="00345749">
            <w:pPr>
              <w:pStyle w:val="Bulletlevel2"/>
              <w:numPr>
                <w:ilvl w:val="0"/>
                <w:numId w:val="0"/>
              </w:numPr>
              <w:rPr>
                <w:lang w:val="en-AU"/>
              </w:rPr>
            </w:pPr>
            <w:r w:rsidRPr="5916FD83">
              <w:rPr>
                <w:lang w:val="en-AU"/>
              </w:rPr>
              <w:t>Executive Panel Members are required to provide support to Chief Assessors</w:t>
            </w:r>
            <w:r w:rsidR="40D3E056" w:rsidRPr="5916FD83">
              <w:rPr>
                <w:lang w:val="en-AU"/>
              </w:rPr>
              <w:t xml:space="preserve"> (CAs)</w:t>
            </w:r>
            <w:r w:rsidRPr="5916FD83">
              <w:rPr>
                <w:lang w:val="en-AU"/>
              </w:rPr>
              <w:t xml:space="preserve"> and Assistant Chief Assessors</w:t>
            </w:r>
            <w:r w:rsidR="2D2FC0E0" w:rsidRPr="5916FD83">
              <w:rPr>
                <w:lang w:val="en-AU"/>
              </w:rPr>
              <w:t xml:space="preserve"> (ACAs)</w:t>
            </w:r>
            <w:r w:rsidRPr="5916FD83">
              <w:rPr>
                <w:lang w:val="en-AU"/>
              </w:rPr>
              <w:t xml:space="preserve"> with the monitoring of marking and the provision of support to assessors. Executive Panel Members are required for the General Achievement Test (GAT) and English only due to the number of assessors required to complete marking.</w:t>
            </w:r>
            <w:r>
              <w:t xml:space="preserve"> </w:t>
            </w:r>
            <w:r w:rsidRPr="5916FD83">
              <w:rPr>
                <w:lang w:val="en-AU"/>
              </w:rPr>
              <w:t>Executive panel members lead a small team of assessors under the guidance and direction of the CA. They assist the CA and ACA to train assessors in the application of marking principles and to monitor marking and assessment progress. They are required to support groups of assessors during the assessment process by providing advice and assistance where required.</w:t>
            </w:r>
          </w:p>
        </w:tc>
      </w:tr>
    </w:tbl>
    <w:p w14:paraId="4B3927EB" w14:textId="77777777" w:rsidR="00694562" w:rsidRDefault="00694562" w:rsidP="00381C75">
      <w:pPr>
        <w:pStyle w:val="BodyText"/>
      </w:pPr>
    </w:p>
    <w:tbl>
      <w:tblPr>
        <w:tblStyle w:val="VCAATable"/>
        <w:tblW w:w="9865" w:type="dxa"/>
        <w:tblLook w:val="04A0" w:firstRow="1" w:lastRow="0" w:firstColumn="1" w:lastColumn="0" w:noHBand="0" w:noVBand="1"/>
      </w:tblPr>
      <w:tblGrid>
        <w:gridCol w:w="3290"/>
        <w:gridCol w:w="3290"/>
        <w:gridCol w:w="3285"/>
      </w:tblGrid>
      <w:tr w:rsidR="00102F70" w:rsidRPr="00870A89" w14:paraId="7652DBDD" w14:textId="77777777" w:rsidTr="6A83F23A">
        <w:trPr>
          <w:cnfStyle w:val="100000000000" w:firstRow="1" w:lastRow="0" w:firstColumn="0" w:lastColumn="0" w:oddVBand="0" w:evenVBand="0" w:oddHBand="0" w:evenHBand="0" w:firstRowFirstColumn="0" w:firstRowLastColumn="0" w:lastRowFirstColumn="0" w:lastRowLastColumn="0"/>
        </w:trPr>
        <w:tc>
          <w:tcPr>
            <w:tcW w:w="6580" w:type="dxa"/>
            <w:gridSpan w:val="2"/>
          </w:tcPr>
          <w:p w14:paraId="1BC27AE9" w14:textId="18A40D27" w:rsidR="00102F70" w:rsidRPr="00870A89" w:rsidRDefault="00102F70" w:rsidP="6A83F23A">
            <w:pPr>
              <w:pStyle w:val="BodyText"/>
              <w:rPr>
                <w:color w:val="FFFFFF" w:themeColor="background1"/>
              </w:rPr>
            </w:pPr>
            <w:r w:rsidRPr="6A83F23A">
              <w:rPr>
                <w:color w:val="FFFFFF" w:themeColor="background1"/>
              </w:rPr>
              <w:t>Role Re</w:t>
            </w:r>
            <w:r w:rsidR="2DB80397" w:rsidRPr="6A83F23A">
              <w:rPr>
                <w:color w:val="FFFFFF" w:themeColor="background1"/>
              </w:rPr>
              <w:t>sponsibilities</w:t>
            </w:r>
          </w:p>
        </w:tc>
        <w:tc>
          <w:tcPr>
            <w:tcW w:w="3285" w:type="dxa"/>
          </w:tcPr>
          <w:p w14:paraId="0EF20913" w14:textId="689957E6" w:rsidR="00102F70" w:rsidRPr="00870A89" w:rsidRDefault="00102F70" w:rsidP="00102F70">
            <w:pPr>
              <w:pStyle w:val="Bulletlevel2"/>
              <w:numPr>
                <w:ilvl w:val="0"/>
                <w:numId w:val="0"/>
              </w:numPr>
              <w:rPr>
                <w:lang w:val="en-AU"/>
              </w:rPr>
            </w:pPr>
          </w:p>
        </w:tc>
      </w:tr>
      <w:tr w:rsidR="00A825D8" w:rsidRPr="00870A89" w14:paraId="290FA0E0" w14:textId="77777777" w:rsidTr="6A83F23A">
        <w:trPr>
          <w:trHeight w:val="300"/>
        </w:trPr>
        <w:tc>
          <w:tcPr>
            <w:tcW w:w="9865" w:type="dxa"/>
            <w:gridSpan w:val="3"/>
          </w:tcPr>
          <w:p w14:paraId="15E66E2E" w14:textId="77777777" w:rsidR="00E54339" w:rsidRDefault="00E54339" w:rsidP="00345749">
            <w:pPr>
              <w:pStyle w:val="Bulletlevel2"/>
              <w:numPr>
                <w:ilvl w:val="0"/>
                <w:numId w:val="0"/>
              </w:numPr>
              <w:ind w:left="360" w:hanging="360"/>
              <w:rPr>
                <w:lang w:val="en-AU"/>
              </w:rPr>
            </w:pPr>
          </w:p>
          <w:p w14:paraId="740CC4AD" w14:textId="77777777" w:rsidR="00881A49" w:rsidRPr="00881A49" w:rsidRDefault="00881A49" w:rsidP="00881A49">
            <w:pPr>
              <w:pStyle w:val="Bulletlevel2"/>
              <w:numPr>
                <w:ilvl w:val="0"/>
                <w:numId w:val="0"/>
              </w:numPr>
              <w:ind w:left="360" w:hanging="360"/>
              <w:rPr>
                <w:lang w:val="en-AU"/>
              </w:rPr>
            </w:pPr>
            <w:r w:rsidRPr="00881A49">
              <w:rPr>
                <w:lang w:val="en-AU"/>
              </w:rPr>
              <w:t>Applicants for Executive Panel Member positions require:</w:t>
            </w:r>
          </w:p>
          <w:p w14:paraId="28E22818" w14:textId="71D1BEB9" w:rsidR="00881A49" w:rsidRPr="00881A49" w:rsidRDefault="00881A49" w:rsidP="00A24269">
            <w:pPr>
              <w:pStyle w:val="Bulletlevel2"/>
              <w:numPr>
                <w:ilvl w:val="0"/>
                <w:numId w:val="21"/>
              </w:numPr>
              <w:rPr>
                <w:lang w:val="en-AU"/>
              </w:rPr>
            </w:pPr>
            <w:r w:rsidRPr="5916FD83">
              <w:rPr>
                <w:lang w:val="en-AU"/>
              </w:rPr>
              <w:t>a thorough knowledge of the current Study Design</w:t>
            </w:r>
          </w:p>
          <w:p w14:paraId="0728F551" w14:textId="73779BF6" w:rsidR="00881A49" w:rsidRPr="00881A49" w:rsidRDefault="00881A49" w:rsidP="00A24269">
            <w:pPr>
              <w:pStyle w:val="Bulletlevel2"/>
              <w:numPr>
                <w:ilvl w:val="0"/>
                <w:numId w:val="21"/>
              </w:numPr>
              <w:rPr>
                <w:lang w:val="en-AU"/>
              </w:rPr>
            </w:pPr>
            <w:r w:rsidRPr="5916FD83">
              <w:rPr>
                <w:lang w:val="en-AU"/>
              </w:rPr>
              <w:t>a thorough knowledge and understanding of the r</w:t>
            </w:r>
            <w:r w:rsidR="174BF51F" w:rsidRPr="5916FD83">
              <w:rPr>
                <w:lang w:val="en-AU"/>
              </w:rPr>
              <w:t>e</w:t>
            </w:r>
            <w:r w:rsidRPr="5916FD83">
              <w:rPr>
                <w:lang w:val="en-AU"/>
              </w:rPr>
              <w:t>quirements of external assessment</w:t>
            </w:r>
          </w:p>
          <w:p w14:paraId="4957DAAC" w14:textId="79A4BDC6" w:rsidR="00881A49" w:rsidRPr="00881A49" w:rsidRDefault="00881A49" w:rsidP="00A24269">
            <w:pPr>
              <w:pStyle w:val="Bulletlevel2"/>
              <w:numPr>
                <w:ilvl w:val="0"/>
                <w:numId w:val="21"/>
              </w:numPr>
              <w:rPr>
                <w:lang w:val="en-AU"/>
              </w:rPr>
            </w:pPr>
            <w:r w:rsidRPr="5916FD83">
              <w:rPr>
                <w:lang w:val="en-AU"/>
              </w:rPr>
              <w:t>knowledge of assessment procedures</w:t>
            </w:r>
          </w:p>
          <w:p w14:paraId="4A6CE5CE" w14:textId="401156C8" w:rsidR="00881A49" w:rsidRPr="00881A49" w:rsidRDefault="00881A49" w:rsidP="00A24269">
            <w:pPr>
              <w:pStyle w:val="Bulletlevel2"/>
              <w:numPr>
                <w:ilvl w:val="0"/>
                <w:numId w:val="21"/>
              </w:numPr>
              <w:rPr>
                <w:lang w:val="en-AU"/>
              </w:rPr>
            </w:pPr>
            <w:r w:rsidRPr="5916FD83">
              <w:rPr>
                <w:lang w:val="en-AU"/>
              </w:rPr>
              <w:t>experience assessing student work in the relevant study</w:t>
            </w:r>
          </w:p>
          <w:p w14:paraId="4EB8EA33" w14:textId="743B0840" w:rsidR="00881A49" w:rsidRPr="00881A49" w:rsidRDefault="00881A49" w:rsidP="00A24269">
            <w:pPr>
              <w:pStyle w:val="Bulletlevel2"/>
              <w:numPr>
                <w:ilvl w:val="0"/>
                <w:numId w:val="21"/>
              </w:numPr>
              <w:rPr>
                <w:lang w:val="en-AU"/>
              </w:rPr>
            </w:pPr>
            <w:r w:rsidRPr="5916FD83">
              <w:rPr>
                <w:lang w:val="en-AU"/>
              </w:rPr>
              <w:t>experience working with teams of professionals</w:t>
            </w:r>
          </w:p>
          <w:p w14:paraId="26FD829E" w14:textId="17B8780A" w:rsidR="00881A49" w:rsidRPr="00881A49" w:rsidRDefault="00881A49" w:rsidP="00A24269">
            <w:pPr>
              <w:pStyle w:val="Bulletlevel2"/>
              <w:numPr>
                <w:ilvl w:val="0"/>
                <w:numId w:val="21"/>
              </w:numPr>
              <w:rPr>
                <w:lang w:val="en-AU"/>
              </w:rPr>
            </w:pPr>
            <w:r w:rsidRPr="5916FD83">
              <w:rPr>
                <w:lang w:val="en-AU"/>
              </w:rPr>
              <w:t>an ability to work under pressure and within tight timelines.</w:t>
            </w:r>
          </w:p>
          <w:p w14:paraId="6688A3F0" w14:textId="77777777" w:rsidR="00881A49" w:rsidRPr="00881A49" w:rsidRDefault="00881A49" w:rsidP="00881A49">
            <w:pPr>
              <w:pStyle w:val="Bulletlevel2"/>
              <w:numPr>
                <w:ilvl w:val="0"/>
                <w:numId w:val="0"/>
              </w:numPr>
              <w:ind w:left="360"/>
              <w:rPr>
                <w:lang w:val="en-AU"/>
              </w:rPr>
            </w:pPr>
          </w:p>
          <w:p w14:paraId="23062567" w14:textId="77777777" w:rsidR="00881A49" w:rsidRPr="00881A49" w:rsidRDefault="00881A49" w:rsidP="00881A49">
            <w:pPr>
              <w:pStyle w:val="Bulletlevel2"/>
              <w:numPr>
                <w:ilvl w:val="0"/>
                <w:numId w:val="0"/>
              </w:numPr>
              <w:ind w:left="360" w:hanging="360"/>
              <w:rPr>
                <w:lang w:val="en-AU"/>
              </w:rPr>
            </w:pPr>
            <w:r w:rsidRPr="00881A49">
              <w:rPr>
                <w:lang w:val="en-AU"/>
              </w:rPr>
              <w:t>Executive Panel Member Responsibilities:</w:t>
            </w:r>
          </w:p>
          <w:p w14:paraId="3DD59385" w14:textId="78DAD418" w:rsidR="00881A49" w:rsidRPr="00881A49" w:rsidRDefault="00881A49" w:rsidP="00A24269">
            <w:pPr>
              <w:pStyle w:val="Bulletlevel2"/>
              <w:numPr>
                <w:ilvl w:val="0"/>
                <w:numId w:val="20"/>
              </w:numPr>
              <w:rPr>
                <w:lang w:val="en-AU"/>
              </w:rPr>
            </w:pPr>
            <w:r w:rsidRPr="5916FD83">
              <w:rPr>
                <w:lang w:val="en-AU"/>
              </w:rPr>
              <w:t>participate in the selection of training materials for Assessor Training Meetings (Script Selection)</w:t>
            </w:r>
          </w:p>
          <w:p w14:paraId="45892A83" w14:textId="3011DAA0" w:rsidR="00881A49" w:rsidRPr="00881A49" w:rsidRDefault="00881A49" w:rsidP="00A24269">
            <w:pPr>
              <w:pStyle w:val="Bulletlevel2"/>
              <w:numPr>
                <w:ilvl w:val="0"/>
                <w:numId w:val="20"/>
              </w:numPr>
              <w:rPr>
                <w:lang w:val="en-AU"/>
              </w:rPr>
            </w:pPr>
            <w:r w:rsidRPr="5916FD83">
              <w:rPr>
                <w:lang w:val="en-AU"/>
              </w:rPr>
              <w:t>assist the Chief Assessor to provide guidance and support during the marking, including monitoring marking progress and assessor performance</w:t>
            </w:r>
          </w:p>
          <w:p w14:paraId="3A30AB39" w14:textId="3A5D31B0" w:rsidR="00881A49" w:rsidRPr="00881A49" w:rsidRDefault="00881A49" w:rsidP="00A24269">
            <w:pPr>
              <w:pStyle w:val="Bulletlevel2"/>
              <w:numPr>
                <w:ilvl w:val="0"/>
                <w:numId w:val="20"/>
              </w:numPr>
              <w:rPr>
                <w:lang w:val="en-AU"/>
              </w:rPr>
            </w:pPr>
            <w:r w:rsidRPr="5916FD83">
              <w:rPr>
                <w:lang w:val="en-AU"/>
              </w:rPr>
              <w:t>assist with the resolution of any marking errors or inconsistencies</w:t>
            </w:r>
          </w:p>
          <w:p w14:paraId="7825760E" w14:textId="35826D38" w:rsidR="00881A49" w:rsidRPr="00881A49" w:rsidRDefault="00881A49" w:rsidP="00A24269">
            <w:pPr>
              <w:pStyle w:val="Bulletlevel2"/>
              <w:numPr>
                <w:ilvl w:val="0"/>
                <w:numId w:val="20"/>
              </w:numPr>
              <w:rPr>
                <w:lang w:val="en-AU"/>
              </w:rPr>
            </w:pPr>
            <w:r w:rsidRPr="5916FD83">
              <w:rPr>
                <w:lang w:val="en-AU"/>
              </w:rPr>
              <w:t>assist with the resolution of any student responses identified for review</w:t>
            </w:r>
          </w:p>
          <w:p w14:paraId="7B39A95D" w14:textId="04018B21" w:rsidR="00345749" w:rsidRDefault="00881A49" w:rsidP="00A24269">
            <w:pPr>
              <w:pStyle w:val="Bulletlevel2"/>
              <w:numPr>
                <w:ilvl w:val="0"/>
                <w:numId w:val="20"/>
              </w:numPr>
              <w:rPr>
                <w:lang w:val="en-AU"/>
              </w:rPr>
            </w:pPr>
            <w:r w:rsidRPr="5916FD83">
              <w:rPr>
                <w:lang w:val="en-AU"/>
              </w:rPr>
              <w:t>participate in discrepancy marking and Anomalous Grade Marking (where required)</w:t>
            </w:r>
          </w:p>
          <w:p w14:paraId="3A3514E9" w14:textId="77777777" w:rsidR="00881A49" w:rsidRDefault="00881A49" w:rsidP="00881A49">
            <w:pPr>
              <w:pStyle w:val="Bulletlevel2"/>
              <w:numPr>
                <w:ilvl w:val="0"/>
                <w:numId w:val="0"/>
              </w:numPr>
              <w:ind w:left="360" w:hanging="360"/>
              <w:rPr>
                <w:b/>
                <w:bCs/>
                <w:lang w:val="en-AU"/>
              </w:rPr>
            </w:pPr>
          </w:p>
          <w:p w14:paraId="6FB01D87" w14:textId="2E38201F" w:rsidR="5FF70DB1" w:rsidRPr="00881A49" w:rsidRDefault="00345749" w:rsidP="00881A49">
            <w:pPr>
              <w:pStyle w:val="Bulletlevel2"/>
              <w:numPr>
                <w:ilvl w:val="0"/>
                <w:numId w:val="0"/>
              </w:numPr>
              <w:ind w:left="360" w:hanging="360"/>
              <w:rPr>
                <w:b/>
                <w:bCs/>
                <w:lang w:val="en-AU"/>
              </w:rPr>
            </w:pPr>
            <w:r w:rsidRPr="00E54339">
              <w:rPr>
                <w:b/>
                <w:bCs/>
                <w:lang w:val="en-AU"/>
              </w:rPr>
              <w:t>NOTE</w:t>
            </w:r>
          </w:p>
          <w:p w14:paraId="0EC924A9" w14:textId="304C78D4" w:rsidR="00881A49" w:rsidRDefault="0905ED8B" w:rsidP="5916FD83">
            <w:pPr>
              <w:pStyle w:val="Bulletlevel2"/>
              <w:numPr>
                <w:ilvl w:val="0"/>
                <w:numId w:val="0"/>
              </w:numPr>
              <w:rPr>
                <w:rFonts w:asciiTheme="minorHAnsi" w:eastAsiaTheme="minorEastAsia" w:hAnsiTheme="minorHAnsi" w:cstheme="minorBidi"/>
                <w:color w:val="auto"/>
                <w:szCs w:val="20"/>
                <w:lang w:val="en-AU"/>
              </w:rPr>
            </w:pPr>
            <w:r w:rsidRPr="5916FD83">
              <w:rPr>
                <w:rFonts w:asciiTheme="minorHAnsi" w:eastAsiaTheme="minorEastAsia" w:hAnsiTheme="minorHAnsi" w:cstheme="minorBidi"/>
                <w:color w:val="auto"/>
                <w:szCs w:val="20"/>
                <w:lang w:val="en-AU"/>
              </w:rPr>
              <w:t xml:space="preserve">Travel may be a requirement for </w:t>
            </w:r>
            <w:r w:rsidR="7AD917D8" w:rsidRPr="5916FD83">
              <w:rPr>
                <w:rFonts w:asciiTheme="minorHAnsi" w:eastAsiaTheme="minorEastAsia" w:hAnsiTheme="minorHAnsi" w:cstheme="minorBidi"/>
                <w:color w:val="auto"/>
                <w:szCs w:val="20"/>
                <w:lang w:val="en-AU"/>
              </w:rPr>
              <w:t>Executive Panel Members.</w:t>
            </w:r>
            <w:r w:rsidRPr="5916FD83">
              <w:rPr>
                <w:rFonts w:asciiTheme="minorHAnsi" w:eastAsiaTheme="minorEastAsia" w:hAnsiTheme="minorHAnsi" w:cstheme="minorBidi"/>
                <w:color w:val="auto"/>
                <w:szCs w:val="20"/>
                <w:lang w:val="en-AU"/>
              </w:rPr>
              <w:t xml:space="preserve"> </w:t>
            </w:r>
            <w:r w:rsidR="040EFAFD" w:rsidRPr="5916FD83">
              <w:rPr>
                <w:rFonts w:asciiTheme="minorHAnsi" w:eastAsiaTheme="minorEastAsia" w:hAnsiTheme="minorHAnsi" w:cstheme="minorBidi"/>
                <w:color w:val="auto"/>
                <w:szCs w:val="20"/>
                <w:lang w:val="en-AU"/>
              </w:rPr>
              <w:t>Executive Panel Members</w:t>
            </w:r>
            <w:r w:rsidRPr="5916FD83">
              <w:rPr>
                <w:rFonts w:asciiTheme="minorHAnsi" w:eastAsiaTheme="minorEastAsia" w:hAnsiTheme="minorHAnsi" w:cstheme="minorBidi"/>
                <w:color w:val="auto"/>
                <w:szCs w:val="20"/>
                <w:lang w:val="en-AU"/>
              </w:rPr>
              <w:t xml:space="preserve"> required to travel may be eligible to claim travel expenses. Further details will be provided during the onboarding process.</w:t>
            </w:r>
          </w:p>
          <w:p w14:paraId="1754CCCE" w14:textId="77777777" w:rsidR="00881A49" w:rsidRDefault="00881A49" w:rsidP="00881A49">
            <w:pPr>
              <w:pStyle w:val="Bulletlevel2"/>
              <w:numPr>
                <w:ilvl w:val="0"/>
                <w:numId w:val="0"/>
              </w:numPr>
              <w:rPr>
                <w:rFonts w:ascii="Calibri" w:eastAsia="Calibri" w:hAnsi="Calibri" w:cs="Calibri"/>
                <w:b/>
                <w:bCs/>
                <w:color w:val="D13438"/>
                <w:u w:val="single"/>
                <w:lang w:val="en-AU"/>
              </w:rPr>
            </w:pPr>
          </w:p>
          <w:p w14:paraId="092E1AB9" w14:textId="7AEDE346" w:rsidR="5916FD83" w:rsidRDefault="5916FD83" w:rsidP="5916FD83">
            <w:pPr>
              <w:pStyle w:val="Bulletlevel2"/>
              <w:numPr>
                <w:ilvl w:val="0"/>
                <w:numId w:val="0"/>
              </w:numPr>
              <w:rPr>
                <w:rFonts w:ascii="Calibri" w:eastAsia="Calibri" w:hAnsi="Calibri" w:cs="Calibri"/>
                <w:b/>
                <w:bCs/>
                <w:color w:val="D13438"/>
                <w:u w:val="single"/>
                <w:lang w:val="en-AU"/>
              </w:rPr>
            </w:pPr>
          </w:p>
          <w:p w14:paraId="6AFDE5C4" w14:textId="55902E80" w:rsidR="00345749" w:rsidRPr="00E54339" w:rsidRDefault="00345749" w:rsidP="00881A49">
            <w:pPr>
              <w:pStyle w:val="Bulletlevel2"/>
              <w:numPr>
                <w:ilvl w:val="0"/>
                <w:numId w:val="0"/>
              </w:numPr>
              <w:rPr>
                <w:b/>
                <w:bCs/>
                <w:lang w:val="en-AU"/>
              </w:rPr>
            </w:pPr>
            <w:r w:rsidRPr="19AAD2AE">
              <w:rPr>
                <w:b/>
                <w:bCs/>
                <w:lang w:val="en-AU"/>
              </w:rPr>
              <w:t>Application Timeline:</w:t>
            </w:r>
          </w:p>
          <w:p w14:paraId="4282374A" w14:textId="0F69E129" w:rsidR="00345749" w:rsidRPr="004E2E1B" w:rsidRDefault="2F3950D3" w:rsidP="5916FD83">
            <w:pPr>
              <w:pStyle w:val="Bulletlevel2"/>
              <w:numPr>
                <w:ilvl w:val="0"/>
                <w:numId w:val="0"/>
              </w:numPr>
              <w:tabs>
                <w:tab w:val="clear" w:pos="425"/>
              </w:tabs>
              <w:rPr>
                <w:lang w:val="en-AU"/>
              </w:rPr>
            </w:pPr>
            <w:r w:rsidRPr="19AAD2AE">
              <w:rPr>
                <w:lang w:val="en-AU"/>
              </w:rPr>
              <w:t xml:space="preserve">  </w:t>
            </w:r>
          </w:p>
          <w:p w14:paraId="0EFC9A73" w14:textId="22A827E1" w:rsidR="00345749" w:rsidRPr="004E2E1B" w:rsidRDefault="2F3950D3" w:rsidP="5916FD83">
            <w:pPr>
              <w:pStyle w:val="Bulletlevel2"/>
              <w:numPr>
                <w:ilvl w:val="0"/>
                <w:numId w:val="0"/>
              </w:numPr>
              <w:tabs>
                <w:tab w:val="clear" w:pos="425"/>
              </w:tabs>
            </w:pPr>
            <w:r w:rsidRPr="5916FD83">
              <w:t>All applications for leading roles must be submitted by Sunday 16 March 2025.</w:t>
            </w:r>
          </w:p>
          <w:p w14:paraId="5424F674" w14:textId="129046F3" w:rsidR="00BE71DA" w:rsidRPr="001111AD" w:rsidRDefault="00BE71DA" w:rsidP="00E54339">
            <w:pPr>
              <w:pStyle w:val="Bulletlevel2"/>
              <w:numPr>
                <w:ilvl w:val="0"/>
                <w:numId w:val="0"/>
              </w:numPr>
              <w:ind w:left="321"/>
              <w:rPr>
                <w:lang w:val="en-AU"/>
              </w:rPr>
            </w:pPr>
          </w:p>
        </w:tc>
      </w:tr>
      <w:tr w:rsidR="00E54339" w:rsidRPr="00870A89" w14:paraId="55A3CD2C" w14:textId="77777777" w:rsidTr="6A83F23A">
        <w:tc>
          <w:tcPr>
            <w:tcW w:w="9865" w:type="dxa"/>
            <w:gridSpan w:val="3"/>
          </w:tcPr>
          <w:p w14:paraId="72377C2D" w14:textId="77777777" w:rsidR="00E54339" w:rsidRPr="00345749" w:rsidRDefault="00E54339" w:rsidP="00E54339">
            <w:pPr>
              <w:pStyle w:val="Bulletlevel2"/>
              <w:numPr>
                <w:ilvl w:val="0"/>
                <w:numId w:val="0"/>
              </w:numPr>
              <w:rPr>
                <w:lang w:val="en-AU"/>
              </w:rPr>
            </w:pPr>
          </w:p>
        </w:tc>
      </w:tr>
      <w:tr w:rsidR="00102F70" w:rsidRPr="00870A89" w14:paraId="4157D63F" w14:textId="77777777" w:rsidTr="6A83F23A">
        <w:tc>
          <w:tcPr>
            <w:tcW w:w="3290" w:type="dxa"/>
            <w:shd w:val="clear" w:color="auto" w:fill="0070C0"/>
          </w:tcPr>
          <w:p w14:paraId="0FC6C125" w14:textId="4AD45A21" w:rsidR="5916FD83" w:rsidRDefault="2B1AA529" w:rsidP="6A83F23A">
            <w:pPr>
              <w:pStyle w:val="BodyText"/>
              <w:rPr>
                <w:rFonts w:eastAsia="Arial"/>
                <w:b/>
                <w:bCs/>
                <w:color w:val="FFFFFF" w:themeColor="background1"/>
              </w:rPr>
            </w:pPr>
            <w:r w:rsidRPr="6A83F23A">
              <w:rPr>
                <w:rFonts w:eastAsia="Arial"/>
                <w:b/>
                <w:bCs/>
                <w:color w:val="FFFFFF" w:themeColor="background1"/>
              </w:rPr>
              <w:t>Capabilities</w:t>
            </w:r>
          </w:p>
        </w:tc>
        <w:tc>
          <w:tcPr>
            <w:tcW w:w="6575" w:type="dxa"/>
            <w:gridSpan w:val="2"/>
            <w:shd w:val="clear" w:color="auto" w:fill="0070C0"/>
          </w:tcPr>
          <w:p w14:paraId="0D792355" w14:textId="4561A1BF" w:rsidR="5916FD83" w:rsidRDefault="5916FD83" w:rsidP="5916FD83">
            <w:pPr>
              <w:tabs>
                <w:tab w:val="left" w:pos="425"/>
              </w:tabs>
              <w:spacing w:before="60" w:after="60"/>
              <w:ind w:left="360" w:hanging="360"/>
              <w:rPr>
                <w:rFonts w:ascii="Arial" w:eastAsia="Arial" w:hAnsi="Arial" w:cs="Arial"/>
                <w:b/>
                <w:bCs/>
                <w:sz w:val="20"/>
                <w:szCs w:val="20"/>
              </w:rPr>
            </w:pPr>
          </w:p>
        </w:tc>
      </w:tr>
      <w:tr w:rsidR="00BE71DA" w:rsidRPr="00870A89" w14:paraId="69D8D23E" w14:textId="77777777" w:rsidTr="6A83F23A">
        <w:tc>
          <w:tcPr>
            <w:tcW w:w="3290" w:type="dxa"/>
          </w:tcPr>
          <w:p w14:paraId="338FA609" w14:textId="0598A549" w:rsidR="00BE71DA" w:rsidRPr="00BE71DA" w:rsidRDefault="00BE71DA" w:rsidP="004F1189">
            <w:pPr>
              <w:rPr>
                <w:rFonts w:asciiTheme="minorHAnsi" w:hAnsiTheme="minorHAnsi" w:cstheme="minorHAnsi"/>
                <w:sz w:val="20"/>
                <w:szCs w:val="20"/>
                <w:lang w:val="en-AU"/>
              </w:rPr>
            </w:pPr>
            <w:r w:rsidRPr="00BE71DA">
              <w:rPr>
                <w:rFonts w:asciiTheme="minorHAnsi" w:hAnsiTheme="minorHAnsi" w:cstheme="minorHAnsi"/>
                <w:sz w:val="20"/>
                <w:szCs w:val="20"/>
                <w:lang w:val="en-AU"/>
              </w:rPr>
              <w:t xml:space="preserve">Study Expertise </w:t>
            </w:r>
          </w:p>
        </w:tc>
        <w:tc>
          <w:tcPr>
            <w:tcW w:w="6575" w:type="dxa"/>
            <w:gridSpan w:val="2"/>
          </w:tcPr>
          <w:p w14:paraId="58D2E961" w14:textId="11D831C7" w:rsidR="00BE71DA" w:rsidRDefault="00345749" w:rsidP="7F413191">
            <w:pPr>
              <w:pStyle w:val="Bulletlevel2"/>
              <w:numPr>
                <w:ilvl w:val="0"/>
                <w:numId w:val="0"/>
              </w:numPr>
              <w:rPr>
                <w:rFonts w:asciiTheme="minorHAnsi" w:hAnsiTheme="minorHAnsi" w:cstheme="minorBidi"/>
              </w:rPr>
            </w:pPr>
            <w:r w:rsidRPr="7F413191">
              <w:rPr>
                <w:rFonts w:cstheme="minorBidi"/>
              </w:rPr>
              <w:t xml:space="preserve">Current or recent experience teaching the relevant study at Unit 3 and 4 level, with preference given to applicants teaching the study in the current year and who have five or more years of teaching experience in that study. </w:t>
            </w:r>
            <w:r w:rsidR="519B0992" w:rsidRPr="7F413191">
              <w:rPr>
                <w:rFonts w:asciiTheme="minorHAnsi" w:hAnsiTheme="minorHAnsi" w:cstheme="minorBidi"/>
              </w:rPr>
              <w:t>Other relevant experience or activities</w:t>
            </w:r>
            <w:r w:rsidR="13AF1BC1" w:rsidRPr="7F413191">
              <w:rPr>
                <w:rFonts w:asciiTheme="minorHAnsi" w:hAnsiTheme="minorHAnsi" w:cstheme="minorBidi"/>
              </w:rPr>
              <w:t>.</w:t>
            </w:r>
          </w:p>
          <w:p w14:paraId="26DA25C3" w14:textId="29D8BF3C" w:rsidR="00E750D5" w:rsidRPr="00E750D5" w:rsidRDefault="7AA3E910" w:rsidP="00A24269">
            <w:pPr>
              <w:pStyle w:val="Bulletlevel2"/>
              <w:numPr>
                <w:ilvl w:val="0"/>
                <w:numId w:val="19"/>
              </w:numPr>
              <w:tabs>
                <w:tab w:val="clear" w:pos="425"/>
                <w:tab w:val="left" w:pos="296"/>
              </w:tabs>
              <w:rPr>
                <w:rFonts w:asciiTheme="minorHAnsi" w:hAnsiTheme="minorHAnsi" w:cstheme="minorBidi"/>
              </w:rPr>
            </w:pPr>
            <w:r w:rsidRPr="5916FD83">
              <w:rPr>
                <w:rFonts w:asciiTheme="minorHAnsi" w:hAnsiTheme="minorHAnsi" w:cstheme="minorBidi"/>
              </w:rPr>
              <w:t>Understanding of VCE assessment policy and procedures</w:t>
            </w:r>
          </w:p>
          <w:p w14:paraId="28E1647D" w14:textId="0BD14935" w:rsidR="00E750D5" w:rsidRPr="00BE71DA" w:rsidRDefault="7AA3E910" w:rsidP="00A24269">
            <w:pPr>
              <w:pStyle w:val="Bulletlevel2"/>
              <w:numPr>
                <w:ilvl w:val="0"/>
                <w:numId w:val="19"/>
              </w:numPr>
              <w:tabs>
                <w:tab w:val="clear" w:pos="425"/>
                <w:tab w:val="left" w:pos="296"/>
              </w:tabs>
              <w:rPr>
                <w:rFonts w:asciiTheme="minorHAnsi" w:hAnsiTheme="minorHAnsi" w:cstheme="minorBidi"/>
              </w:rPr>
            </w:pPr>
            <w:r w:rsidRPr="5916FD83">
              <w:rPr>
                <w:rFonts w:asciiTheme="minorHAnsi" w:hAnsiTheme="minorHAnsi" w:cstheme="minorBidi"/>
              </w:rPr>
              <w:t>Experience in other relevant VCE positions</w:t>
            </w:r>
          </w:p>
        </w:tc>
      </w:tr>
      <w:tr w:rsidR="00102F70" w:rsidRPr="00870A89" w14:paraId="4F95FA0B" w14:textId="77777777" w:rsidTr="6A83F23A">
        <w:tc>
          <w:tcPr>
            <w:tcW w:w="3290" w:type="dxa"/>
          </w:tcPr>
          <w:p w14:paraId="61C312EA" w14:textId="7CA84227" w:rsidR="00102F70" w:rsidRPr="001259C4" w:rsidRDefault="00D5722F" w:rsidP="004F1189">
            <w:pPr>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Working Collaboratively </w:t>
            </w:r>
          </w:p>
        </w:tc>
        <w:tc>
          <w:tcPr>
            <w:tcW w:w="6575" w:type="dxa"/>
            <w:gridSpan w:val="2"/>
          </w:tcPr>
          <w:p w14:paraId="13B987A8" w14:textId="13F8C933" w:rsidR="00102F70" w:rsidRPr="00D5722F" w:rsidRDefault="00D5722F" w:rsidP="00D5722F">
            <w:pPr>
              <w:pStyle w:val="Bulletlevel2"/>
              <w:numPr>
                <w:ilvl w:val="0"/>
                <w:numId w:val="0"/>
              </w:numPr>
            </w:pPr>
            <w:r>
              <w:t>Guides others to create a culture of collaboration; Identifies, and works to overcome, barriers to knowledge or information sharing; Identifies opportunities to work with other teams to deliver outcomes</w:t>
            </w:r>
          </w:p>
        </w:tc>
      </w:tr>
      <w:tr w:rsidR="00102F70" w:rsidRPr="00870A89" w14:paraId="791445E7" w14:textId="77777777" w:rsidTr="6A83F23A">
        <w:tc>
          <w:tcPr>
            <w:tcW w:w="3290" w:type="dxa"/>
          </w:tcPr>
          <w:p w14:paraId="529E176A" w14:textId="6823E1FF" w:rsidR="00102F70" w:rsidRPr="001259C4" w:rsidRDefault="1AB4F40F" w:rsidP="1E16F334">
            <w:pPr>
              <w:rPr>
                <w:rFonts w:asciiTheme="minorHAnsi" w:hAnsiTheme="minorHAnsi"/>
                <w:sz w:val="20"/>
                <w:szCs w:val="20"/>
                <w:lang w:val="en-AU"/>
              </w:rPr>
            </w:pPr>
            <w:r w:rsidRPr="1E16F334">
              <w:rPr>
                <w:rFonts w:asciiTheme="minorHAnsi" w:hAnsiTheme="minorHAnsi"/>
                <w:sz w:val="20"/>
                <w:szCs w:val="20"/>
                <w:lang w:val="en-AU"/>
              </w:rPr>
              <w:t>Project Deliver</w:t>
            </w:r>
            <w:r w:rsidR="4A9F96E5" w:rsidRPr="1E16F334">
              <w:rPr>
                <w:rFonts w:asciiTheme="minorHAnsi" w:hAnsiTheme="minorHAnsi"/>
                <w:sz w:val="20"/>
                <w:szCs w:val="20"/>
                <w:lang w:val="en-AU"/>
              </w:rPr>
              <w:t>y</w:t>
            </w:r>
          </w:p>
        </w:tc>
        <w:tc>
          <w:tcPr>
            <w:tcW w:w="6575" w:type="dxa"/>
            <w:gridSpan w:val="2"/>
          </w:tcPr>
          <w:p w14:paraId="15F52835" w14:textId="12279682" w:rsidR="00E750D5" w:rsidRPr="004B7F12" w:rsidRDefault="7C1E4DFA" w:rsidP="1E16F334">
            <w:pPr>
              <w:pStyle w:val="Bulletlevel2"/>
              <w:numPr>
                <w:ilvl w:val="0"/>
                <w:numId w:val="0"/>
              </w:numPr>
              <w:rPr>
                <w:lang w:val="en-AU"/>
              </w:rPr>
            </w:pPr>
            <w:r w:rsidRPr="1E16F334">
              <w:rPr>
                <w:lang w:val="en-AU"/>
              </w:rPr>
              <w:t>Translates strategies into programs or projects that enables achievement of outcomes require</w:t>
            </w:r>
            <w:r w:rsidR="0F4BCCF5" w:rsidRPr="1E16F334">
              <w:rPr>
                <w:lang w:val="en-AU"/>
              </w:rPr>
              <w:t>d.</w:t>
            </w:r>
            <w:r w:rsidR="6B078283" w:rsidRPr="1E16F334">
              <w:rPr>
                <w:lang w:val="en-AU"/>
              </w:rPr>
              <w:t xml:space="preserve"> Defines tasks to be delivered to meet agreed outcomes; Coordinates and guides others in the execution of work activities; Monitors progress of tasks against plans and takes corrective action when required</w:t>
            </w:r>
          </w:p>
        </w:tc>
      </w:tr>
      <w:tr w:rsidR="00323772" w:rsidRPr="00870A89" w14:paraId="78E4FA78" w14:textId="77777777" w:rsidTr="6A83F23A">
        <w:tc>
          <w:tcPr>
            <w:tcW w:w="3290" w:type="dxa"/>
          </w:tcPr>
          <w:p w14:paraId="2A8F79F6" w14:textId="63659D19" w:rsidR="00323772" w:rsidRPr="001259C4" w:rsidRDefault="6B078283" w:rsidP="1E16F334">
            <w:pPr>
              <w:rPr>
                <w:rFonts w:asciiTheme="minorHAnsi" w:hAnsiTheme="minorHAnsi"/>
                <w:sz w:val="20"/>
                <w:szCs w:val="20"/>
                <w:lang w:val="en-AU"/>
              </w:rPr>
            </w:pPr>
            <w:r w:rsidRPr="1E16F334">
              <w:rPr>
                <w:rFonts w:asciiTheme="minorHAnsi" w:hAnsiTheme="minorHAnsi"/>
                <w:sz w:val="20"/>
                <w:szCs w:val="20"/>
                <w:lang w:val="en-AU"/>
              </w:rPr>
              <w:t>Communicate with Impact</w:t>
            </w:r>
          </w:p>
        </w:tc>
        <w:tc>
          <w:tcPr>
            <w:tcW w:w="6575" w:type="dxa"/>
            <w:gridSpan w:val="2"/>
          </w:tcPr>
          <w:p w14:paraId="5D469C3F" w14:textId="2F728579" w:rsidR="00323772" w:rsidRPr="00870A89" w:rsidRDefault="6B078283" w:rsidP="1E16F334">
            <w:pPr>
              <w:pStyle w:val="Bulletlevel2"/>
              <w:numPr>
                <w:ilvl w:val="0"/>
                <w:numId w:val="0"/>
              </w:numPr>
              <w:rPr>
                <w:lang w:val="en-AU"/>
              </w:rPr>
            </w:pPr>
            <w:r w:rsidRPr="1E16F334">
              <w:rPr>
                <w:lang w:val="en-AU"/>
              </w:rPr>
              <w:t>Use various communication media to convey information, ideas, and insights in ways that maximises understanding of key messages; Posses good written and verbal communication skills</w:t>
            </w:r>
          </w:p>
        </w:tc>
      </w:tr>
    </w:tbl>
    <w:p w14:paraId="28F3B290" w14:textId="77777777" w:rsidR="00EC71D3" w:rsidRPr="00870A89" w:rsidRDefault="00EC71D3"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6A83F23A">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6A83F23A">
            <w:pPr>
              <w:pStyle w:val="BodyText"/>
              <w:rPr>
                <w:color w:val="FFFFFF" w:themeColor="background1"/>
              </w:rPr>
            </w:pPr>
            <w:r w:rsidRPr="6A83F23A">
              <w:rPr>
                <w:color w:val="FFFFFF" w:themeColor="background1"/>
              </w:rPr>
              <w:t>Key Selection Criteria</w:t>
            </w:r>
            <w:r w:rsidR="1F771CEE" w:rsidRPr="6A83F23A">
              <w:rPr>
                <w:color w:val="FFFFFF" w:themeColor="background1"/>
              </w:rPr>
              <w:t xml:space="preserve"> (KSC)</w:t>
            </w:r>
          </w:p>
        </w:tc>
        <w:tc>
          <w:tcPr>
            <w:tcW w:w="6604" w:type="dxa"/>
          </w:tcPr>
          <w:p w14:paraId="1CA80B4E" w14:textId="464E0D78" w:rsidR="00102F70" w:rsidRPr="00870A89" w:rsidRDefault="00102F70" w:rsidP="004F1189">
            <w:pPr>
              <w:pStyle w:val="Bulletlevel2"/>
              <w:numPr>
                <w:ilvl w:val="0"/>
                <w:numId w:val="0"/>
              </w:numPr>
              <w:rPr>
                <w:lang w:val="en-AU"/>
              </w:rPr>
            </w:pPr>
          </w:p>
        </w:tc>
      </w:tr>
      <w:tr w:rsidR="00924A04" w:rsidRPr="00870A89" w14:paraId="1B53C547" w14:textId="77777777" w:rsidTr="6A83F23A">
        <w:tc>
          <w:tcPr>
            <w:tcW w:w="9889" w:type="dxa"/>
            <w:gridSpan w:val="2"/>
          </w:tcPr>
          <w:p w14:paraId="3A9DB84F" w14:textId="13082074" w:rsidR="00E54339" w:rsidRPr="00924A0A" w:rsidRDefault="6BD71EC7" w:rsidP="28919FB4">
            <w:pPr>
              <w:pStyle w:val="Bulletlevel2"/>
              <w:numPr>
                <w:ilvl w:val="0"/>
                <w:numId w:val="0"/>
              </w:numPr>
              <w:rPr>
                <w:b/>
                <w:bCs/>
                <w:lang w:val="en-AU"/>
              </w:rPr>
            </w:pPr>
            <w:r w:rsidRPr="7F413191">
              <w:rPr>
                <w:b/>
                <w:bCs/>
                <w:lang w:val="en-AU"/>
              </w:rPr>
              <w:t>Generic Criteria</w:t>
            </w:r>
          </w:p>
          <w:p w14:paraId="4F6CBB38" w14:textId="77777777" w:rsidR="00924A0A" w:rsidRDefault="02DF9B3F" w:rsidP="28919FB4">
            <w:pPr>
              <w:pStyle w:val="Bulletlevel2"/>
              <w:numPr>
                <w:ilvl w:val="0"/>
                <w:numId w:val="0"/>
              </w:numPr>
              <w:rPr>
                <w:lang w:val="en-AU"/>
              </w:rPr>
            </w:pPr>
            <w:r w:rsidRPr="28919FB4">
              <w:rPr>
                <w:b/>
                <w:bCs/>
                <w:lang w:val="en-AU"/>
              </w:rPr>
              <w:t>Criteria 1:</w:t>
            </w:r>
            <w:r w:rsidRPr="28919FB4">
              <w:rPr>
                <w:lang w:val="en-AU"/>
              </w:rPr>
              <w:t xml:space="preserve"> Demonstrates the 'Victorian Public Sector Values' of Responsiveness, Integrity, Impartiality, Accountability, Respect, Leadership and Human Rights. </w:t>
            </w:r>
          </w:p>
          <w:p w14:paraId="5B0C71A2" w14:textId="77777777" w:rsidR="00E54339" w:rsidRPr="00924A0A" w:rsidRDefault="00E54339" w:rsidP="28919FB4">
            <w:pPr>
              <w:pStyle w:val="Bulletlevel2"/>
              <w:numPr>
                <w:ilvl w:val="0"/>
                <w:numId w:val="0"/>
              </w:numPr>
              <w:rPr>
                <w:b/>
                <w:bCs/>
                <w:lang w:val="en-AU"/>
              </w:rPr>
            </w:pPr>
          </w:p>
          <w:p w14:paraId="19572AF0" w14:textId="1B6BBA39" w:rsidR="00924A0A" w:rsidRPr="00924A0A" w:rsidRDefault="6BD71EC7" w:rsidP="28919FB4">
            <w:pPr>
              <w:pStyle w:val="Bulletlevel2"/>
              <w:numPr>
                <w:ilvl w:val="0"/>
                <w:numId w:val="0"/>
              </w:numPr>
              <w:rPr>
                <w:b/>
                <w:bCs/>
                <w:lang w:val="en-AU"/>
              </w:rPr>
            </w:pPr>
            <w:r w:rsidRPr="7F413191">
              <w:rPr>
                <w:b/>
                <w:bCs/>
                <w:lang w:val="en-AU"/>
              </w:rPr>
              <w:t>Position Specific Criteria</w:t>
            </w:r>
          </w:p>
          <w:p w14:paraId="5602BD30" w14:textId="18287324" w:rsidR="001B15A1" w:rsidRPr="00924A0A" w:rsidRDefault="246AC765" w:rsidP="001B15A1">
            <w:pPr>
              <w:pStyle w:val="Bulletlevel2"/>
              <w:numPr>
                <w:ilvl w:val="0"/>
                <w:numId w:val="0"/>
              </w:numPr>
              <w:rPr>
                <w:lang w:val="en-AU"/>
              </w:rPr>
            </w:pPr>
            <w:r w:rsidRPr="5916FD83">
              <w:rPr>
                <w:b/>
                <w:bCs/>
                <w:lang w:val="en-AU"/>
              </w:rPr>
              <w:t xml:space="preserve">Criteria </w:t>
            </w:r>
            <w:r w:rsidR="0FA80DCD" w:rsidRPr="5916FD83">
              <w:rPr>
                <w:b/>
                <w:bCs/>
                <w:lang w:val="en-AU"/>
              </w:rPr>
              <w:t>2</w:t>
            </w:r>
            <w:r w:rsidRPr="5916FD83">
              <w:rPr>
                <w:b/>
                <w:bCs/>
                <w:lang w:val="en-AU"/>
              </w:rPr>
              <w:t>:</w:t>
            </w:r>
            <w:r w:rsidRPr="5916FD83">
              <w:rPr>
                <w:lang w:val="en-AU"/>
              </w:rPr>
              <w:t xml:space="preserve"> ‘Study Expertise’ – please see the Capabilities section above for more detail.</w:t>
            </w:r>
            <w:r w:rsidRPr="5916FD83">
              <w:rPr>
                <w:b/>
                <w:bCs/>
                <w:lang w:val="en-AU"/>
              </w:rPr>
              <w:t xml:space="preserve"> </w:t>
            </w:r>
          </w:p>
          <w:p w14:paraId="6A264137" w14:textId="4A8487A3" w:rsidR="00924A0A" w:rsidRPr="00924A0A" w:rsidRDefault="2AA426D3" w:rsidP="28919FB4">
            <w:pPr>
              <w:pStyle w:val="Bulletlevel2"/>
              <w:numPr>
                <w:ilvl w:val="0"/>
                <w:numId w:val="0"/>
              </w:numPr>
              <w:rPr>
                <w:lang w:val="en-AU"/>
              </w:rPr>
            </w:pPr>
            <w:r w:rsidRPr="28919FB4">
              <w:rPr>
                <w:b/>
                <w:bCs/>
                <w:lang w:val="en-AU"/>
              </w:rPr>
              <w:t xml:space="preserve">Criteria </w:t>
            </w:r>
            <w:r w:rsidR="001B15A1">
              <w:rPr>
                <w:b/>
                <w:bCs/>
                <w:lang w:val="en-AU"/>
              </w:rPr>
              <w:t>3</w:t>
            </w:r>
            <w:r w:rsidRPr="28919FB4">
              <w:rPr>
                <w:b/>
                <w:bCs/>
                <w:lang w:val="en-AU"/>
              </w:rPr>
              <w:t>:</w:t>
            </w:r>
            <w:r w:rsidRPr="28919FB4">
              <w:rPr>
                <w:lang w:val="en-AU"/>
              </w:rPr>
              <w:t xml:space="preserve"> ‘Working Collaborative</w:t>
            </w:r>
            <w:r w:rsidR="66B007FE" w:rsidRPr="28919FB4">
              <w:rPr>
                <w:lang w:val="en-AU"/>
              </w:rPr>
              <w:t>ly</w:t>
            </w:r>
            <w:r w:rsidRPr="28919FB4">
              <w:rPr>
                <w:lang w:val="en-AU"/>
              </w:rPr>
              <w:t>’ – please see the Capabilities section above for more detail.</w:t>
            </w:r>
            <w:r w:rsidRPr="28919FB4">
              <w:rPr>
                <w:b/>
                <w:bCs/>
                <w:lang w:val="en-AU"/>
              </w:rPr>
              <w:t xml:space="preserve"> </w:t>
            </w:r>
          </w:p>
          <w:p w14:paraId="4C73510E" w14:textId="602981ED" w:rsidR="00924A0A" w:rsidRPr="00924A0A" w:rsidRDefault="02DF9B3F" w:rsidP="28919FB4">
            <w:pPr>
              <w:pStyle w:val="Bulletlevel2"/>
              <w:numPr>
                <w:ilvl w:val="0"/>
                <w:numId w:val="0"/>
              </w:numPr>
              <w:rPr>
                <w:lang w:val="en-AU"/>
              </w:rPr>
            </w:pPr>
            <w:r w:rsidRPr="28919FB4">
              <w:rPr>
                <w:b/>
                <w:bCs/>
                <w:lang w:val="en-AU"/>
              </w:rPr>
              <w:t xml:space="preserve">Criteria </w:t>
            </w:r>
            <w:r w:rsidR="00345749">
              <w:rPr>
                <w:b/>
                <w:bCs/>
                <w:lang w:val="en-AU"/>
              </w:rPr>
              <w:t>4</w:t>
            </w:r>
            <w:r w:rsidRPr="28919FB4">
              <w:rPr>
                <w:b/>
                <w:bCs/>
                <w:lang w:val="en-AU"/>
              </w:rPr>
              <w:t>:</w:t>
            </w:r>
            <w:r w:rsidRPr="28919FB4">
              <w:rPr>
                <w:lang w:val="en-AU"/>
              </w:rPr>
              <w:t xml:space="preserve"> ‘</w:t>
            </w:r>
            <w:r w:rsidR="4650B5A0" w:rsidRPr="28919FB4">
              <w:rPr>
                <w:lang w:val="en-AU"/>
              </w:rPr>
              <w:t>Project Delivery’</w:t>
            </w:r>
            <w:r w:rsidRPr="28919FB4">
              <w:rPr>
                <w:lang w:val="en-AU"/>
              </w:rPr>
              <w:t xml:space="preserve"> – please see the Capabilities section above for more detail.</w:t>
            </w:r>
          </w:p>
          <w:p w14:paraId="33994E0B" w14:textId="11ED269D" w:rsidR="00323772" w:rsidRPr="00870A89" w:rsidRDefault="02DF9B3F" w:rsidP="00924A0A">
            <w:pPr>
              <w:pStyle w:val="Bulletlevel2"/>
              <w:numPr>
                <w:ilvl w:val="0"/>
                <w:numId w:val="0"/>
              </w:numPr>
              <w:rPr>
                <w:lang w:val="en-AU"/>
              </w:rPr>
            </w:pPr>
            <w:r w:rsidRPr="28919FB4">
              <w:rPr>
                <w:b/>
                <w:bCs/>
                <w:lang w:val="en-AU"/>
              </w:rPr>
              <w:t xml:space="preserve">Criteria </w:t>
            </w:r>
            <w:r w:rsidR="00345749">
              <w:rPr>
                <w:b/>
                <w:bCs/>
                <w:lang w:val="en-AU"/>
              </w:rPr>
              <w:t>5</w:t>
            </w:r>
            <w:r w:rsidRPr="28919FB4">
              <w:rPr>
                <w:b/>
                <w:bCs/>
                <w:lang w:val="en-AU"/>
              </w:rPr>
              <w:t>:</w:t>
            </w:r>
            <w:r w:rsidRPr="28919FB4">
              <w:rPr>
                <w:lang w:val="en-AU"/>
              </w:rPr>
              <w:t xml:space="preserve"> ‘</w:t>
            </w:r>
            <w:r w:rsidR="00D5722F" w:rsidRPr="28919FB4">
              <w:rPr>
                <w:lang w:val="en-AU"/>
              </w:rPr>
              <w:t>Interpersonal Skills</w:t>
            </w:r>
            <w:r w:rsidRPr="28919FB4">
              <w:rPr>
                <w:lang w:val="en-AU"/>
              </w:rPr>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AF7B0DA" w14:textId="77777777" w:rsidTr="6A83F23A">
        <w:trPr>
          <w:cnfStyle w:val="100000000000" w:firstRow="1" w:lastRow="0" w:firstColumn="0" w:lastColumn="0" w:oddVBand="0" w:evenVBand="0" w:oddHBand="0" w:evenHBand="0" w:firstRowFirstColumn="0" w:firstRowLastColumn="0" w:lastRowFirstColumn="0" w:lastRowLastColumn="0"/>
        </w:trPr>
        <w:tc>
          <w:tcPr>
            <w:tcW w:w="3285" w:type="dxa"/>
          </w:tcPr>
          <w:p w14:paraId="0C8C8768" w14:textId="37DF08E1" w:rsidR="00102F70" w:rsidRPr="00870A89" w:rsidRDefault="00102F70" w:rsidP="6A83F23A">
            <w:pPr>
              <w:pStyle w:val="BodyText"/>
              <w:spacing w:before="48" w:after="48"/>
              <w:rPr>
                <w:color w:val="FFFFFF" w:themeColor="background1"/>
              </w:rPr>
            </w:pPr>
            <w:r w:rsidRPr="6A83F23A">
              <w:rPr>
                <w:color w:val="FFFFFF" w:themeColor="background1"/>
              </w:rPr>
              <w:t>Other Information</w:t>
            </w:r>
          </w:p>
        </w:tc>
        <w:tc>
          <w:tcPr>
            <w:tcW w:w="6604" w:type="dxa"/>
          </w:tcPr>
          <w:p w14:paraId="0633595B" w14:textId="77777777" w:rsidR="00102F70" w:rsidRPr="00870A89" w:rsidRDefault="00102F70" w:rsidP="00F70AB2">
            <w:pPr>
              <w:pStyle w:val="Bulletlevel2"/>
              <w:numPr>
                <w:ilvl w:val="0"/>
                <w:numId w:val="0"/>
              </w:numPr>
              <w:spacing w:before="48" w:after="48"/>
              <w:ind w:left="1381"/>
              <w:rPr>
                <w:lang w:val="en-AU"/>
              </w:rPr>
            </w:pPr>
          </w:p>
        </w:tc>
      </w:tr>
      <w:tr w:rsidR="00102F70" w:rsidRPr="00870A89" w14:paraId="731EBB8A" w14:textId="77777777" w:rsidTr="6A83F23A">
        <w:trPr>
          <w:trHeight w:val="10500"/>
        </w:trPr>
        <w:tc>
          <w:tcPr>
            <w:tcW w:w="3285" w:type="dxa"/>
          </w:tcPr>
          <w:p w14:paraId="0B488F43" w14:textId="29E5D089" w:rsidR="00102F70" w:rsidRPr="001259C4" w:rsidRDefault="003023B9"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Selection </w:t>
            </w:r>
          </w:p>
        </w:tc>
        <w:tc>
          <w:tcPr>
            <w:tcW w:w="6604" w:type="dxa"/>
          </w:tcPr>
          <w:p w14:paraId="3DFBB55C" w14:textId="0D219F1A" w:rsidR="00EC71D3" w:rsidRPr="004B7F12" w:rsidRDefault="57CBA275" w:rsidP="35A9F46C">
            <w:pPr>
              <w:pStyle w:val="Bullet"/>
              <w:numPr>
                <w:ilvl w:val="0"/>
                <w:numId w:val="0"/>
              </w:numPr>
              <w:rPr>
                <w:color w:val="auto"/>
              </w:rPr>
            </w:pPr>
            <w:r w:rsidRPr="35A9F46C">
              <w:rPr>
                <w:rFonts w:eastAsia="Arial"/>
              </w:rPr>
              <w:t xml:space="preserve">The merit selection process will </w:t>
            </w:r>
            <w:r w:rsidR="59219E64" w:rsidRPr="35A9F46C">
              <w:rPr>
                <w:rFonts w:eastAsia="Arial"/>
              </w:rPr>
              <w:t>be assessed on</w:t>
            </w:r>
            <w:r w:rsidRPr="35A9F46C">
              <w:rPr>
                <w:rFonts w:eastAsia="Arial"/>
              </w:rPr>
              <w:t xml:space="preserve"> your application</w:t>
            </w:r>
            <w:r w:rsidR="68152FCB" w:rsidRPr="35A9F46C">
              <w:rPr>
                <w:rFonts w:eastAsia="Arial"/>
              </w:rPr>
              <w:t xml:space="preserve">, </w:t>
            </w:r>
            <w:r w:rsidR="37813224" w:rsidRPr="35A9F46C">
              <w:rPr>
                <w:rFonts w:eastAsia="Arial"/>
              </w:rPr>
              <w:t xml:space="preserve">including </w:t>
            </w:r>
            <w:r w:rsidR="47570D0B" w:rsidRPr="35A9F46C">
              <w:rPr>
                <w:rFonts w:eastAsia="Arial"/>
              </w:rPr>
              <w:t xml:space="preserve">relevant </w:t>
            </w:r>
            <w:r w:rsidR="226D83C5" w:rsidRPr="35A9F46C">
              <w:rPr>
                <w:rFonts w:eastAsia="Arial"/>
              </w:rPr>
              <w:t xml:space="preserve">experience and expertise and </w:t>
            </w:r>
            <w:r w:rsidR="6422F697" w:rsidRPr="35A9F46C">
              <w:rPr>
                <w:rFonts w:eastAsia="Arial"/>
              </w:rPr>
              <w:t>ability to</w:t>
            </w:r>
            <w:r w:rsidR="2821F3B3" w:rsidRPr="35A9F46C">
              <w:rPr>
                <w:rFonts w:eastAsia="Arial"/>
              </w:rPr>
              <w:t xml:space="preserve"> demonstrate the</w:t>
            </w:r>
            <w:r w:rsidR="4005E7C7" w:rsidRPr="35A9F46C">
              <w:rPr>
                <w:rFonts w:eastAsia="Arial"/>
              </w:rPr>
              <w:t xml:space="preserve"> Key Selection Criteria</w:t>
            </w:r>
            <w:r w:rsidR="788B23E5" w:rsidRPr="35A9F46C">
              <w:rPr>
                <w:rFonts w:eastAsia="Arial"/>
              </w:rPr>
              <w:t>,</w:t>
            </w:r>
            <w:r w:rsidR="23254F65" w:rsidRPr="35A9F46C">
              <w:rPr>
                <w:rFonts w:eastAsia="Arial"/>
              </w:rPr>
              <w:t xml:space="preserve"> and</w:t>
            </w:r>
            <w:r w:rsidRPr="35A9F46C">
              <w:rPr>
                <w:rFonts w:eastAsia="Arial"/>
              </w:rPr>
              <w:t xml:space="preserve"> </w:t>
            </w:r>
            <w:r w:rsidR="53711AE8" w:rsidRPr="35A9F46C">
              <w:rPr>
                <w:rFonts w:eastAsia="Arial"/>
              </w:rPr>
              <w:t>from</w:t>
            </w:r>
            <w:r w:rsidRPr="35A9F46C">
              <w:rPr>
                <w:rFonts w:eastAsia="Arial"/>
              </w:rPr>
              <w:t xml:space="preserve"> Referee Checks</w:t>
            </w:r>
            <w:r w:rsidR="0FC56A25" w:rsidRPr="35A9F46C">
              <w:rPr>
                <w:rFonts w:eastAsia="Arial"/>
              </w:rPr>
              <w:t>.</w:t>
            </w:r>
          </w:p>
          <w:p w14:paraId="5B10D950" w14:textId="72894887" w:rsidR="00EC71D3" w:rsidRPr="004B7F12" w:rsidRDefault="2A25E5E0" w:rsidP="19AAD2AE">
            <w:pPr>
              <w:pStyle w:val="Bullet"/>
              <w:numPr>
                <w:ilvl w:val="0"/>
                <w:numId w:val="0"/>
              </w:numPr>
              <w:rPr>
                <w:rFonts w:eastAsia="Arial"/>
                <w:szCs w:val="20"/>
                <w:lang w:val="en-US"/>
              </w:rPr>
            </w:pPr>
            <w:r w:rsidRPr="19AAD2AE">
              <w:rPr>
                <w:rFonts w:eastAsia="Arial"/>
                <w:szCs w:val="20"/>
                <w:lang w:val="en-US"/>
              </w:rPr>
              <w:t xml:space="preserve">In </w:t>
            </w:r>
            <w:r w:rsidR="042416DD" w:rsidRPr="19AAD2AE">
              <w:rPr>
                <w:rFonts w:eastAsia="Arial"/>
                <w:szCs w:val="20"/>
                <w:lang w:val="en-US"/>
              </w:rPr>
              <w:t>addition,</w:t>
            </w:r>
            <w:r w:rsidRPr="19AAD2AE">
              <w:rPr>
                <w:rFonts w:eastAsia="Arial"/>
                <w:szCs w:val="20"/>
                <w:lang w:val="en-US"/>
              </w:rPr>
              <w:t xml:space="preserve"> if previously employed as an Assessor:</w:t>
            </w:r>
          </w:p>
          <w:p w14:paraId="529F4508" w14:textId="55887693" w:rsidR="00EC71D3" w:rsidRPr="004B7F12" w:rsidRDefault="0FC56A25" w:rsidP="35A9F46C">
            <w:pPr>
              <w:pStyle w:val="Bullet"/>
              <w:spacing w:before="0" w:after="0"/>
              <w:rPr>
                <w:rFonts w:eastAsia="Arial"/>
                <w:szCs w:val="20"/>
                <w:lang w:val="en-US"/>
              </w:rPr>
            </w:pPr>
            <w:r w:rsidRPr="35A9F46C">
              <w:rPr>
                <w:rFonts w:eastAsia="Arial"/>
                <w:szCs w:val="20"/>
                <w:lang w:val="en-US"/>
              </w:rPr>
              <w:t>Satisfactory performance on assessor statistics over the last 3-5 years, particularly from the most recent year as an assessor</w:t>
            </w:r>
          </w:p>
          <w:p w14:paraId="54D01961" w14:textId="32D8938F" w:rsidR="00EC71D3" w:rsidRPr="004B7F12" w:rsidRDefault="0FC56A25" w:rsidP="35A9F46C">
            <w:pPr>
              <w:pStyle w:val="Bullet"/>
              <w:spacing w:before="0" w:after="0"/>
              <w:rPr>
                <w:rFonts w:eastAsia="Arial"/>
                <w:szCs w:val="20"/>
                <w:lang w:val="en-US"/>
              </w:rPr>
            </w:pPr>
            <w:r w:rsidRPr="35A9F46C">
              <w:rPr>
                <w:rFonts w:eastAsia="Arial"/>
                <w:szCs w:val="20"/>
                <w:lang w:val="en-US"/>
              </w:rPr>
              <w:t>Compliance with the conditions of appointment</w:t>
            </w:r>
          </w:p>
          <w:p w14:paraId="5C2D16FB" w14:textId="01AD939D" w:rsidR="00EC71D3" w:rsidRPr="004B7F12" w:rsidRDefault="0FC56A25" w:rsidP="35A9F46C">
            <w:pPr>
              <w:pStyle w:val="Bullet"/>
              <w:spacing w:before="0" w:after="0"/>
              <w:rPr>
                <w:rFonts w:eastAsia="Arial"/>
                <w:szCs w:val="20"/>
                <w:lang w:val="en-US"/>
              </w:rPr>
            </w:pPr>
            <w:r w:rsidRPr="35A9F46C">
              <w:rPr>
                <w:rFonts w:eastAsia="Arial"/>
                <w:szCs w:val="20"/>
                <w:lang w:val="en-US"/>
              </w:rPr>
              <w:t>Behaviour consistent with the D</w:t>
            </w:r>
            <w:r w:rsidR="00FC34C9">
              <w:rPr>
                <w:rFonts w:eastAsia="Arial"/>
                <w:szCs w:val="20"/>
                <w:lang w:val="en-US"/>
              </w:rPr>
              <w:t xml:space="preserve">epartment of </w:t>
            </w:r>
            <w:r w:rsidRPr="35A9F46C">
              <w:rPr>
                <w:rFonts w:eastAsia="Arial"/>
                <w:szCs w:val="20"/>
                <w:lang w:val="en-US"/>
              </w:rPr>
              <w:t>E</w:t>
            </w:r>
            <w:r w:rsidR="00FC34C9">
              <w:rPr>
                <w:rFonts w:eastAsia="Arial"/>
                <w:szCs w:val="20"/>
                <w:lang w:val="en-US"/>
              </w:rPr>
              <w:t>ducation</w:t>
            </w:r>
            <w:r w:rsidRPr="35A9F46C">
              <w:rPr>
                <w:rFonts w:eastAsia="Arial"/>
                <w:szCs w:val="20"/>
                <w:lang w:val="en-US"/>
              </w:rPr>
              <w:t xml:space="preserve"> values</w:t>
            </w:r>
          </w:p>
          <w:p w14:paraId="2FF72871" w14:textId="34E28034" w:rsidR="00EC71D3" w:rsidRPr="004B7F12" w:rsidRDefault="0FC56A25" w:rsidP="35A9F46C">
            <w:pPr>
              <w:pStyle w:val="Bullet"/>
              <w:numPr>
                <w:ilvl w:val="0"/>
                <w:numId w:val="0"/>
              </w:numPr>
              <w:rPr>
                <w:rFonts w:eastAsia="Arial"/>
                <w:color w:val="auto"/>
              </w:rPr>
            </w:pPr>
            <w:r w:rsidRPr="35A9F46C">
              <w:rPr>
                <w:rFonts w:eastAsia="Arial"/>
                <w:color w:val="auto"/>
              </w:rPr>
              <w:t xml:space="preserve"> </w:t>
            </w:r>
          </w:p>
          <w:p w14:paraId="18FDF270" w14:textId="77777777" w:rsidR="00EC71D3" w:rsidRPr="004B7F12" w:rsidRDefault="00EC71D3" w:rsidP="004B7F12">
            <w:pPr>
              <w:pStyle w:val="Bullet"/>
              <w:numPr>
                <w:ilvl w:val="0"/>
                <w:numId w:val="0"/>
              </w:numPr>
              <w:rPr>
                <w:rFonts w:eastAsia="Arial"/>
                <w:szCs w:val="20"/>
              </w:rPr>
            </w:pPr>
            <w:r w:rsidRPr="004B7F12">
              <w:rPr>
                <w:rFonts w:eastAsia="Arial"/>
                <w:szCs w:val="20"/>
              </w:rPr>
              <w:t>The application process requires a response outlining experience and skills in the areas listed above, as well as detail of VCAA positions previously held by the applicant.</w:t>
            </w:r>
          </w:p>
          <w:p w14:paraId="614A77D8" w14:textId="77777777" w:rsidR="00EC71D3" w:rsidRPr="004B7F12" w:rsidRDefault="00EC71D3" w:rsidP="004B7F12">
            <w:pPr>
              <w:pStyle w:val="Bullet"/>
              <w:numPr>
                <w:ilvl w:val="0"/>
                <w:numId w:val="0"/>
              </w:numPr>
              <w:ind w:left="425" w:hanging="425"/>
              <w:rPr>
                <w:rFonts w:eastAsia="Arial"/>
                <w:szCs w:val="20"/>
              </w:rPr>
            </w:pPr>
          </w:p>
          <w:p w14:paraId="3A3E4C97" w14:textId="3515A6E7" w:rsidR="7F413191" w:rsidRDefault="724B5899" w:rsidP="5916FD83">
            <w:pPr>
              <w:pStyle w:val="Bullet"/>
              <w:numPr>
                <w:ilvl w:val="0"/>
                <w:numId w:val="0"/>
              </w:numPr>
            </w:pPr>
            <w:r w:rsidRPr="5916FD83">
              <w:rPr>
                <w:rFonts w:eastAsia="Arial"/>
              </w:rPr>
              <w:t xml:space="preserve">The VCAA has a policy of rotation, refreshment, and rejuvenation of assessing </w:t>
            </w:r>
            <w:r w:rsidR="7243DC2B" w:rsidRPr="5916FD83">
              <w:rPr>
                <w:rFonts w:eastAsia="Arial"/>
              </w:rPr>
              <w:t xml:space="preserve">teams. </w:t>
            </w:r>
          </w:p>
          <w:p w14:paraId="68CD674D" w14:textId="77777777" w:rsidR="00EC71D3" w:rsidRPr="004B7F12" w:rsidRDefault="00EC71D3" w:rsidP="00EC71D3">
            <w:pPr>
              <w:pStyle w:val="VCAAbody"/>
              <w:rPr>
                <w:rFonts w:ascii="Arial" w:hAnsi="Arial"/>
                <w:b/>
                <w:lang w:val="en-AU"/>
              </w:rPr>
            </w:pPr>
            <w:bookmarkStart w:id="1" w:name="_Hlk164082111"/>
            <w:bookmarkStart w:id="2" w:name="_Toc12093173"/>
            <w:r w:rsidRPr="004B7F12">
              <w:rPr>
                <w:rFonts w:ascii="Arial" w:hAnsi="Arial"/>
                <w:b/>
                <w:lang w:val="en-AU"/>
              </w:rPr>
              <w:t>Other Guidelines</w:t>
            </w:r>
          </w:p>
          <w:p w14:paraId="2B00D508" w14:textId="7ECF73AC" w:rsidR="00EC71D3" w:rsidRPr="004B7F12" w:rsidRDefault="66721A7C" w:rsidP="00EC71D3">
            <w:pPr>
              <w:pStyle w:val="VCAAbody"/>
              <w:rPr>
                <w:rFonts w:ascii="Arial" w:hAnsi="Arial"/>
                <w:lang w:val="en-AU"/>
              </w:rPr>
            </w:pPr>
            <w:r w:rsidRPr="5916FD83">
              <w:rPr>
                <w:rFonts w:ascii="Arial" w:hAnsi="Arial"/>
                <w:lang w:val="en-AU"/>
              </w:rPr>
              <w:t xml:space="preserve">Across the cohort of applicants and appointees for </w:t>
            </w:r>
            <w:r w:rsidR="3470F35C" w:rsidRPr="5916FD83">
              <w:rPr>
                <w:rFonts w:ascii="Arial" w:hAnsi="Arial"/>
                <w:lang w:val="en-AU"/>
              </w:rPr>
              <w:t xml:space="preserve">lead roles for </w:t>
            </w:r>
            <w:r w:rsidRPr="5916FD83">
              <w:rPr>
                <w:rFonts w:ascii="Arial" w:hAnsi="Arial"/>
                <w:lang w:val="en-AU"/>
              </w:rPr>
              <w:t>each external assessment, the following guidelines apply</w:t>
            </w:r>
            <w:r w:rsidR="5756BB0E" w:rsidRPr="5916FD83">
              <w:rPr>
                <w:rFonts w:ascii="Arial" w:hAnsi="Arial"/>
                <w:lang w:val="en-AU"/>
              </w:rPr>
              <w:t xml:space="preserve"> where possible</w:t>
            </w:r>
            <w:r w:rsidRPr="5916FD83">
              <w:rPr>
                <w:rFonts w:ascii="Arial" w:hAnsi="Arial"/>
                <w:lang w:val="en-AU"/>
              </w:rPr>
              <w:t>:</w:t>
            </w:r>
          </w:p>
          <w:p w14:paraId="59F96880" w14:textId="77777777" w:rsidR="00EC71D3" w:rsidRPr="004B7F12" w:rsidRDefault="00EC71D3" w:rsidP="00A24269">
            <w:pPr>
              <w:pStyle w:val="VCAAbody"/>
              <w:numPr>
                <w:ilvl w:val="0"/>
                <w:numId w:val="18"/>
              </w:numPr>
              <w:ind w:left="434"/>
              <w:rPr>
                <w:rFonts w:ascii="Arial" w:hAnsi="Arial"/>
                <w:lang w:val="en-AU"/>
              </w:rPr>
            </w:pPr>
            <w:r w:rsidRPr="004B7F12">
              <w:rPr>
                <w:rFonts w:ascii="Arial" w:hAnsi="Arial"/>
                <w:lang w:val="en-AU"/>
              </w:rPr>
              <w:t xml:space="preserve">There will be proportional representation of assessors from Government schools; Independent schools, Catholic schools and other (non-teaching applicants/adult education/tertiary). Representation will reflect the general pattern of enrolments by sector in the relevant study. </w:t>
            </w:r>
          </w:p>
          <w:p w14:paraId="7758AA22" w14:textId="5314885C" w:rsidR="00EC71D3" w:rsidRPr="004B7F12" w:rsidRDefault="66721A7C" w:rsidP="00A24269">
            <w:pPr>
              <w:pStyle w:val="VCAAbody"/>
              <w:numPr>
                <w:ilvl w:val="0"/>
                <w:numId w:val="18"/>
              </w:numPr>
              <w:ind w:left="434"/>
              <w:rPr>
                <w:rFonts w:ascii="Arial" w:hAnsi="Arial"/>
                <w:lang w:val="en-AU"/>
              </w:rPr>
            </w:pPr>
            <w:r w:rsidRPr="5916FD83">
              <w:rPr>
                <w:rFonts w:ascii="Arial" w:hAnsi="Arial"/>
                <w:lang w:val="en-AU"/>
              </w:rPr>
              <w:t>There will be equal gender representation</w:t>
            </w:r>
            <w:r w:rsidR="2570EFEB" w:rsidRPr="5916FD83">
              <w:rPr>
                <w:rFonts w:ascii="Arial" w:hAnsi="Arial"/>
                <w:lang w:val="en-AU"/>
              </w:rPr>
              <w:t>.</w:t>
            </w:r>
          </w:p>
          <w:p w14:paraId="6300059B" w14:textId="44092AD0" w:rsidR="00EC71D3" w:rsidRPr="004B7F12" w:rsidRDefault="00EC71D3" w:rsidP="00A24269">
            <w:pPr>
              <w:pStyle w:val="VCAAbody"/>
              <w:numPr>
                <w:ilvl w:val="0"/>
                <w:numId w:val="18"/>
              </w:numPr>
              <w:ind w:left="434"/>
              <w:rPr>
                <w:rFonts w:ascii="Arial" w:hAnsi="Arial"/>
              </w:rPr>
            </w:pPr>
            <w:r w:rsidRPr="5916FD83">
              <w:rPr>
                <w:rFonts w:ascii="Arial" w:hAnsi="Arial"/>
              </w:rPr>
              <w:t xml:space="preserve">Applicants with relevant expertise such as retired teachers, examination panel members not currently teaching, academics and specialists may be eligible for appointment to </w:t>
            </w:r>
            <w:r w:rsidR="35223433" w:rsidRPr="5916FD83">
              <w:rPr>
                <w:rFonts w:ascii="Arial" w:hAnsi="Arial"/>
              </w:rPr>
              <w:t xml:space="preserve">lead </w:t>
            </w:r>
            <w:r w:rsidRPr="5916FD83">
              <w:rPr>
                <w:rFonts w:ascii="Arial" w:hAnsi="Arial"/>
              </w:rPr>
              <w:t>assessing positions where the VCAA determines their experience is relevant to the assessment program.</w:t>
            </w:r>
          </w:p>
          <w:p w14:paraId="2439CCB8" w14:textId="3DBD3096" w:rsidR="00EC71D3" w:rsidRPr="004B7F12" w:rsidRDefault="00EC71D3" w:rsidP="00EC71D3">
            <w:pPr>
              <w:pStyle w:val="VCAAbody"/>
              <w:rPr>
                <w:rFonts w:ascii="Arial" w:hAnsi="Arial"/>
              </w:rPr>
            </w:pPr>
            <w:r w:rsidRPr="5FF70DB1">
              <w:rPr>
                <w:rFonts w:ascii="Arial" w:hAnsi="Arial"/>
              </w:rPr>
              <w:t>Examples include where non-teacher applicants have participated in study reviews, are experts in specialist areas such as particular musical instruments, small language studies and new areas of the curriculum. The overall composition of the assessor cohort will be taken into account when recommending these appointments.</w:t>
            </w:r>
          </w:p>
          <w:bookmarkEnd w:id="1"/>
          <w:bookmarkEnd w:id="2"/>
          <w:p w14:paraId="79ACBEC0" w14:textId="687C9C5F" w:rsidR="00EC71D3" w:rsidRPr="004B7F12" w:rsidRDefault="00345749" w:rsidP="5916FD83">
            <w:pPr>
              <w:pStyle w:val="VCAAbody"/>
              <w:rPr>
                <w:rFonts w:eastAsia="Arial"/>
              </w:rPr>
            </w:pPr>
            <w:r w:rsidRPr="5916FD83">
              <w:rPr>
                <w:rFonts w:eastAsia="Arial"/>
              </w:rPr>
              <w:t xml:space="preserve">Applicants for </w:t>
            </w:r>
            <w:r w:rsidR="5ED42B9F" w:rsidRPr="5916FD83">
              <w:rPr>
                <w:rFonts w:eastAsia="Arial"/>
              </w:rPr>
              <w:t>Executive Panel Members</w:t>
            </w:r>
            <w:r w:rsidRPr="5916FD83">
              <w:rPr>
                <w:rFonts w:eastAsia="Arial"/>
              </w:rPr>
              <w:t xml:space="preserve"> positions require current or recent experience teaching the relevant study at Unit 3 and 4 level, with preference given to applicants teaching the study in the current year and who have five or more years of teaching experience in that study.</w:t>
            </w:r>
          </w:p>
        </w:tc>
      </w:tr>
      <w:tr w:rsidR="00102F70" w:rsidRPr="00870A89" w14:paraId="5CF41AE7" w14:textId="77777777" w:rsidTr="6A83F23A">
        <w:tc>
          <w:tcPr>
            <w:tcW w:w="3285" w:type="dxa"/>
          </w:tcPr>
          <w:p w14:paraId="7D0D9DA2" w14:textId="72D7821C" w:rsidR="00102F70" w:rsidRPr="001259C4" w:rsidRDefault="003023B9"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Conditions of Appointment </w:t>
            </w:r>
          </w:p>
        </w:tc>
        <w:tc>
          <w:tcPr>
            <w:tcW w:w="6604" w:type="dxa"/>
          </w:tcPr>
          <w:p w14:paraId="2D4475F6" w14:textId="54B27BEC" w:rsidR="00102F70" w:rsidRPr="003023B9" w:rsidRDefault="6919BAB6" w:rsidP="28919FB4">
            <w:pPr>
              <w:pStyle w:val="Bulletlevel2"/>
              <w:numPr>
                <w:ilvl w:val="0"/>
                <w:numId w:val="0"/>
              </w:numPr>
              <w:spacing w:before="48" w:after="48"/>
              <w:rPr>
                <w:lang w:val="en-AU"/>
              </w:rPr>
            </w:pPr>
            <w:r w:rsidRPr="5916FD83">
              <w:rPr>
                <w:rFonts w:eastAsia="Arial"/>
                <w:lang w:val="en-AU"/>
              </w:rPr>
              <w:t xml:space="preserve">The following conditions of appointment apply for all </w:t>
            </w:r>
            <w:r w:rsidR="47053133" w:rsidRPr="5916FD83">
              <w:rPr>
                <w:rFonts w:eastAsia="Arial"/>
                <w:lang w:val="en-AU"/>
              </w:rPr>
              <w:t>executive panel member</w:t>
            </w:r>
            <w:r w:rsidR="10FB2E48" w:rsidRPr="5916FD83">
              <w:rPr>
                <w:rFonts w:eastAsia="Arial"/>
                <w:lang w:val="en-AU"/>
              </w:rPr>
              <w:t xml:space="preserve"> </w:t>
            </w:r>
            <w:r w:rsidRPr="5916FD83">
              <w:rPr>
                <w:rFonts w:eastAsia="Arial"/>
                <w:lang w:val="en-AU"/>
              </w:rPr>
              <w:t>roles. You will be asked to confirm these requirements in your application and complete a declaration following an offer of appointment:</w:t>
            </w:r>
          </w:p>
          <w:p w14:paraId="7BA2A1A3" w14:textId="62B913CE" w:rsidR="41D7D77A" w:rsidRDefault="41D7D77A" w:rsidP="00A24269">
            <w:pPr>
              <w:pStyle w:val="ListParagraph"/>
              <w:numPr>
                <w:ilvl w:val="0"/>
                <w:numId w:val="17"/>
              </w:numPr>
              <w:spacing w:before="0" w:after="0"/>
              <w:rPr>
                <w:lang w:val="en-AU"/>
              </w:rPr>
            </w:pPr>
            <w:r w:rsidRPr="5916FD83">
              <w:rPr>
                <w:rFonts w:ascii="Arial" w:eastAsia="Arial" w:hAnsi="Arial" w:cs="Arial"/>
                <w:sz w:val="20"/>
                <w:szCs w:val="20"/>
                <w:lang w:val="en-AU"/>
              </w:rPr>
              <w:t xml:space="preserve">You must maintain strict confidentiality in relation to discussions of </w:t>
            </w:r>
            <w:r w:rsidR="2DB01C2E" w:rsidRPr="5916FD83">
              <w:rPr>
                <w:rFonts w:ascii="Arial" w:eastAsia="Arial" w:hAnsi="Arial" w:cs="Arial"/>
                <w:sz w:val="20"/>
                <w:szCs w:val="20"/>
                <w:lang w:val="en-AU"/>
              </w:rPr>
              <w:t>the content</w:t>
            </w:r>
            <w:r w:rsidRPr="5916FD83">
              <w:rPr>
                <w:rFonts w:ascii="Arial" w:eastAsia="Arial" w:hAnsi="Arial" w:cs="Arial"/>
                <w:sz w:val="20"/>
                <w:szCs w:val="20"/>
                <w:lang w:val="en-AU"/>
              </w:rPr>
              <w:t xml:space="preserve"> and assessment of the examination paper, assessment guide, training materials and accompanying documentation.</w:t>
            </w:r>
          </w:p>
          <w:p w14:paraId="03155759" w14:textId="03890566" w:rsidR="00102F70" w:rsidRPr="003023B9" w:rsidRDefault="1FE704E1" w:rsidP="00A24269">
            <w:pPr>
              <w:pStyle w:val="ListParagraph"/>
              <w:numPr>
                <w:ilvl w:val="0"/>
                <w:numId w:val="17"/>
              </w:numPr>
              <w:spacing w:before="0" w:after="0"/>
              <w:rPr>
                <w:rFonts w:ascii="Arial" w:eastAsia="Arial" w:hAnsi="Arial" w:cs="Arial"/>
                <w:sz w:val="20"/>
                <w:szCs w:val="20"/>
                <w:lang w:val="en-AU"/>
              </w:rPr>
            </w:pPr>
            <w:r w:rsidRPr="35A9F46C">
              <w:rPr>
                <w:rFonts w:ascii="Arial" w:eastAsia="Arial" w:hAnsi="Arial" w:cs="Arial"/>
                <w:sz w:val="20"/>
                <w:szCs w:val="20"/>
                <w:lang w:val="en-AU"/>
              </w:rPr>
              <w:t xml:space="preserve">You must declare any </w:t>
            </w:r>
            <w:r w:rsidR="78CEE259" w:rsidRPr="35A9F46C">
              <w:rPr>
                <w:rFonts w:ascii="Arial" w:eastAsia="Arial" w:hAnsi="Arial" w:cs="Arial"/>
                <w:sz w:val="20"/>
                <w:szCs w:val="20"/>
                <w:lang w:val="en-AU"/>
              </w:rPr>
              <w:t xml:space="preserve">Conflict of Interest, </w:t>
            </w:r>
            <w:r w:rsidRPr="35A9F46C">
              <w:rPr>
                <w:rFonts w:ascii="Arial" w:eastAsia="Arial" w:hAnsi="Arial" w:cs="Arial"/>
                <w:sz w:val="20"/>
                <w:szCs w:val="20"/>
                <w:lang w:val="en-AU"/>
              </w:rPr>
              <w:t xml:space="preserve">close </w:t>
            </w:r>
            <w:r w:rsidR="43E34DB1" w:rsidRPr="35A9F46C">
              <w:rPr>
                <w:rFonts w:ascii="Arial" w:eastAsia="Arial" w:hAnsi="Arial" w:cs="Arial"/>
                <w:sz w:val="20"/>
                <w:szCs w:val="20"/>
                <w:lang w:val="en-AU"/>
              </w:rPr>
              <w:t>connections</w:t>
            </w:r>
            <w:r w:rsidRPr="35A9F46C">
              <w:rPr>
                <w:rFonts w:ascii="Arial" w:eastAsia="Arial" w:hAnsi="Arial" w:cs="Arial"/>
                <w:sz w:val="20"/>
                <w:szCs w:val="20"/>
                <w:lang w:val="en-AU"/>
              </w:rPr>
              <w:t xml:space="preserve"> and associations.</w:t>
            </w:r>
          </w:p>
          <w:p w14:paraId="4B08FCC7" w14:textId="604D33B1" w:rsidR="00102F70" w:rsidRPr="003023B9" w:rsidRDefault="4218FC9B" w:rsidP="00A24269">
            <w:pPr>
              <w:pStyle w:val="ListParagraph"/>
              <w:numPr>
                <w:ilvl w:val="0"/>
                <w:numId w:val="17"/>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460FCD6C" w14:textId="2EF08C7F" w:rsidR="00102F70" w:rsidRPr="003023B9" w:rsidRDefault="4218FC9B" w:rsidP="00A24269">
            <w:pPr>
              <w:pStyle w:val="ListParagraph"/>
              <w:numPr>
                <w:ilvl w:val="0"/>
                <w:numId w:val="17"/>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385F53C1" w14:textId="3BCB6B6A" w:rsidR="00EC71D3" w:rsidRPr="00EC71D3" w:rsidRDefault="51551898" w:rsidP="00A24269">
            <w:pPr>
              <w:pStyle w:val="ListParagraph"/>
              <w:numPr>
                <w:ilvl w:val="0"/>
                <w:numId w:val="17"/>
              </w:numPr>
              <w:spacing w:before="0" w:after="0"/>
              <w:rPr>
                <w:rFonts w:ascii="Arial" w:eastAsia="Arial" w:hAnsi="Arial" w:cs="Arial"/>
                <w:sz w:val="20"/>
                <w:szCs w:val="20"/>
              </w:rPr>
            </w:pPr>
            <w:r w:rsidRPr="5916FD83">
              <w:rPr>
                <w:rFonts w:ascii="Arial" w:eastAsia="Arial" w:hAnsi="Arial" w:cs="Arial"/>
                <w:sz w:val="20"/>
                <w:szCs w:val="20"/>
              </w:rPr>
              <w:t>You may not present at meetings, courses or conferences for teachers, or speak at any meetings on the requirements of the study design or examination specifications for the relevant VCE study area without the approval of the VCAA Director, Curriculum.</w:t>
            </w:r>
          </w:p>
          <w:p w14:paraId="0E653D7A" w14:textId="4943DD81" w:rsidR="00EC71D3" w:rsidRPr="00EC71D3" w:rsidRDefault="726120EE" w:rsidP="00A24269">
            <w:pPr>
              <w:pStyle w:val="ListParagraph"/>
              <w:numPr>
                <w:ilvl w:val="0"/>
                <w:numId w:val="17"/>
              </w:numPr>
              <w:spacing w:before="0" w:after="0"/>
              <w:rPr>
                <w:rFonts w:ascii="Arial" w:eastAsia="Arial" w:hAnsi="Arial" w:cs="Arial"/>
                <w:sz w:val="20"/>
                <w:szCs w:val="20"/>
                <w:lang w:val="en-AU"/>
              </w:rPr>
            </w:pPr>
            <w:r w:rsidRPr="5916FD83">
              <w:rPr>
                <w:rFonts w:ascii="Arial" w:eastAsia="Arial" w:hAnsi="Arial" w:cs="Arial"/>
                <w:sz w:val="20"/>
                <w:szCs w:val="20"/>
              </w:rPr>
              <w:t>You must be available to attend scheduled meetings leading up to and during the assessment period.</w:t>
            </w:r>
            <w:r w:rsidR="51551898" w:rsidRPr="5916FD83">
              <w:rPr>
                <w:rFonts w:ascii="Arial" w:eastAsia="Arial" w:hAnsi="Arial" w:cs="Arial"/>
                <w:sz w:val="20"/>
                <w:szCs w:val="20"/>
              </w:rPr>
              <w:t xml:space="preserve">  </w:t>
            </w:r>
          </w:p>
        </w:tc>
      </w:tr>
      <w:tr w:rsidR="00A825D8" w:rsidRPr="00870A89" w14:paraId="14C7A3F9" w14:textId="77777777" w:rsidTr="6A83F23A">
        <w:trPr>
          <w:trHeight w:val="2025"/>
        </w:trPr>
        <w:tc>
          <w:tcPr>
            <w:tcW w:w="0" w:type="dxa"/>
          </w:tcPr>
          <w:p w14:paraId="32BB71FF" w14:textId="3999803F" w:rsidR="00A825D8" w:rsidRPr="001259C4" w:rsidRDefault="00A825D8"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0" w:type="dxa"/>
          </w:tcPr>
          <w:p w14:paraId="71095525" w14:textId="264F1872" w:rsidR="001259C4" w:rsidRDefault="3D8290B2" w:rsidP="4A169423">
            <w:pPr>
              <w:pStyle w:val="paragraph"/>
              <w:spacing w:before="0" w:beforeAutospacing="0" w:after="0" w:afterAutospacing="0"/>
              <w:textAlignment w:val="baseline"/>
              <w:rPr>
                <w:rFonts w:ascii="Segoe UI" w:hAnsi="Segoe UI" w:cs="Segoe UI"/>
                <w:color w:val="000000"/>
                <w:sz w:val="18"/>
                <w:szCs w:val="18"/>
              </w:rPr>
            </w:pPr>
            <w:r w:rsidRPr="4A169423">
              <w:rPr>
                <w:rStyle w:val="normaltextrun"/>
                <w:rFonts w:ascii="Arial" w:hAnsi="Arial" w:cs="Arial"/>
                <w:sz w:val="20"/>
                <w:szCs w:val="20"/>
              </w:rPr>
              <w:t>Working from home unless directed in person at:</w:t>
            </w:r>
          </w:p>
          <w:p w14:paraId="0E146DFF" w14:textId="6AC86ECA" w:rsidR="001259C4" w:rsidRPr="001111AD" w:rsidRDefault="001259C4" w:rsidP="001259C4">
            <w:pPr>
              <w:pStyle w:val="Bullet"/>
              <w:rPr>
                <w:rStyle w:val="normaltextrun"/>
              </w:rPr>
            </w:pPr>
            <w:r w:rsidRPr="5916FD83">
              <w:rPr>
                <w:rStyle w:val="normaltextrun"/>
              </w:rPr>
              <w:t>VCAA: Level 7, 200 Victoria Parade, East Melbourne VIC 3002</w:t>
            </w:r>
          </w:p>
          <w:p w14:paraId="5879B3FC" w14:textId="77777777" w:rsidR="001111AD" w:rsidRPr="001111AD" w:rsidRDefault="3D8290B2" w:rsidP="001111AD">
            <w:pPr>
              <w:pStyle w:val="Bullet"/>
              <w:rPr>
                <w:rStyle w:val="normaltextrun"/>
              </w:rPr>
            </w:pPr>
            <w:r w:rsidRPr="1E16F334">
              <w:rPr>
                <w:rStyle w:val="normaltextrun"/>
                <w:lang w:val="en-US"/>
              </w:rPr>
              <w:t>VCAA Assessment Centre: 189 Urquhart Street, Coburg VIC 3058.</w:t>
            </w:r>
          </w:p>
          <w:p w14:paraId="5C110A5E" w14:textId="2CD4A154" w:rsidR="00A825D8" w:rsidRPr="003023B9" w:rsidRDefault="21DC5F96" w:rsidP="5916FD83">
            <w:pPr>
              <w:pStyle w:val="Bullet"/>
              <w:numPr>
                <w:ilvl w:val="0"/>
                <w:numId w:val="0"/>
              </w:numPr>
              <w:rPr>
                <w:rStyle w:val="normaltextrun"/>
                <w:rFonts w:asciiTheme="minorHAnsi" w:eastAsiaTheme="minorEastAsia" w:hAnsiTheme="minorHAnsi" w:cstheme="minorBidi"/>
                <w:kern w:val="0"/>
                <w:sz w:val="22"/>
                <w:lang w:val="en-US" w:eastAsia="en-US"/>
              </w:rPr>
            </w:pPr>
            <w:r w:rsidRPr="5916FD83">
              <w:rPr>
                <w:rStyle w:val="normaltextrun"/>
                <w:lang w:val="en-US"/>
              </w:rPr>
              <w:t>Where appointed assessors employed in Victorian schools are required to attend mandatory activities related to assessing, their school may be eligible for a payment from the VCAA to offset the cost of employing a CRT to cover the VCAA employee's classes.</w:t>
            </w:r>
          </w:p>
        </w:tc>
      </w:tr>
      <w:tr w:rsidR="00102F70" w:rsidRPr="00870A89" w14:paraId="6BFEE46D" w14:textId="77777777" w:rsidTr="6A83F23A">
        <w:tc>
          <w:tcPr>
            <w:tcW w:w="3285" w:type="dxa"/>
          </w:tcPr>
          <w:p w14:paraId="1C18F619" w14:textId="5B7B399A" w:rsidR="00102F70" w:rsidRPr="001259C4" w:rsidRDefault="00924A0A"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Allocation of Duties</w:t>
            </w:r>
          </w:p>
        </w:tc>
        <w:tc>
          <w:tcPr>
            <w:tcW w:w="6604" w:type="dxa"/>
          </w:tcPr>
          <w:p w14:paraId="04A5E996" w14:textId="5CDB4F0C" w:rsidR="00102F70" w:rsidRPr="00870A89" w:rsidRDefault="49003CCB" w:rsidP="7F413191">
            <w:pPr>
              <w:pStyle w:val="Bulletlevel2"/>
              <w:numPr>
                <w:ilvl w:val="0"/>
                <w:numId w:val="0"/>
              </w:numPr>
              <w:spacing w:before="48" w:after="48"/>
              <w:rPr>
                <w:lang w:val="en-US"/>
              </w:rPr>
            </w:pPr>
            <w:r w:rsidRPr="5916FD83">
              <w:rPr>
                <w:lang w:val="en-US"/>
              </w:rPr>
              <w:t>The incumbent can expect to be allocated duties, not specifically mentioned in this document, but within the capacity, qualifications and experience normally expected from persons occupying positions at this level.</w:t>
            </w:r>
          </w:p>
        </w:tc>
      </w:tr>
      <w:tr w:rsidR="00102F70" w:rsidRPr="00870A89" w14:paraId="40229A01" w14:textId="77777777" w:rsidTr="6A83F23A">
        <w:tc>
          <w:tcPr>
            <w:tcW w:w="3285" w:type="dxa"/>
          </w:tcPr>
          <w:p w14:paraId="09D8F990" w14:textId="12A02EDA" w:rsidR="00102F70" w:rsidRPr="001259C4" w:rsidRDefault="00924A0A"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Organisational Values, Governance, Safety &amp; Risk Management</w:t>
            </w:r>
          </w:p>
        </w:tc>
        <w:tc>
          <w:tcPr>
            <w:tcW w:w="6604" w:type="dxa"/>
          </w:tcPr>
          <w:p w14:paraId="63EAC208" w14:textId="4C76C2CD" w:rsidR="00102F70" w:rsidRPr="00870A89" w:rsidRDefault="49003CCB" w:rsidP="5916FD83">
            <w:pPr>
              <w:pStyle w:val="Bulletlevel2"/>
              <w:numPr>
                <w:ilvl w:val="0"/>
                <w:numId w:val="0"/>
              </w:numPr>
              <w:spacing w:before="48" w:after="48"/>
              <w:rPr>
                <w:lang w:val="en-AU"/>
              </w:rPr>
            </w:pPr>
            <w:r w:rsidRPr="5916FD83">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6A83F23A">
        <w:tc>
          <w:tcPr>
            <w:tcW w:w="3285" w:type="dxa"/>
          </w:tcPr>
          <w:p w14:paraId="63289971" w14:textId="3EB84057" w:rsidR="00102F70" w:rsidRPr="001259C4" w:rsidRDefault="003023B9"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Child Safe Standards</w:t>
            </w:r>
          </w:p>
        </w:tc>
        <w:tc>
          <w:tcPr>
            <w:tcW w:w="6604" w:type="dxa"/>
          </w:tcPr>
          <w:p w14:paraId="27935F77" w14:textId="3404922B" w:rsidR="00102F70" w:rsidRPr="00870A89" w:rsidRDefault="43FD600C" w:rsidP="00102F70">
            <w:pPr>
              <w:pStyle w:val="Bulletlevel2"/>
              <w:numPr>
                <w:ilvl w:val="0"/>
                <w:numId w:val="0"/>
              </w:numPr>
              <w:spacing w:before="48" w:after="48"/>
              <w:rPr>
                <w:lang w:val="en-AU"/>
              </w:rPr>
            </w:pPr>
            <w:r w:rsidRPr="5916FD83">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6A83F23A">
        <w:tc>
          <w:tcPr>
            <w:tcW w:w="3285" w:type="dxa"/>
          </w:tcPr>
          <w:p w14:paraId="3A736AC2" w14:textId="00E321BE" w:rsidR="003023B9" w:rsidRPr="001259C4" w:rsidRDefault="003023B9" w:rsidP="004F1189">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DE National Criminal History Record Check (NCHRC)</w:t>
            </w:r>
          </w:p>
        </w:tc>
        <w:tc>
          <w:tcPr>
            <w:tcW w:w="6604" w:type="dxa"/>
          </w:tcPr>
          <w:p w14:paraId="78D36060" w14:textId="189697A8" w:rsidR="003023B9" w:rsidRDefault="003023B9" w:rsidP="00102F70">
            <w:pPr>
              <w:pStyle w:val="Bulletlevel2"/>
              <w:numPr>
                <w:ilvl w:val="0"/>
                <w:numId w:val="0"/>
              </w:numPr>
              <w:spacing w:before="48" w:after="48"/>
              <w:rPr>
                <w:lang w:val="en-AU"/>
              </w:rPr>
            </w:pPr>
            <w:r>
              <w:rPr>
                <w:lang w:val="en-AU"/>
              </w:rPr>
              <w:t>All employees of the VCAA are required to have a current and satisfactory DE NCHRC or current VIT registration before they commence working with the VCAA.</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377F" w14:textId="77777777" w:rsidR="00FD29D3" w:rsidRDefault="00FD29D3" w:rsidP="00304EA1">
      <w:pPr>
        <w:spacing w:after="0" w:line="240" w:lineRule="auto"/>
      </w:pPr>
      <w:r>
        <w:separator/>
      </w:r>
    </w:p>
  </w:endnote>
  <w:endnote w:type="continuationSeparator" w:id="0">
    <w:p w14:paraId="19E6AFBA" w14:textId="77777777" w:rsidR="00FD29D3" w:rsidRDefault="00FD29D3" w:rsidP="00304EA1">
      <w:pPr>
        <w:spacing w:after="0" w:line="240" w:lineRule="auto"/>
      </w:pPr>
      <w:r>
        <w:continuationSeparator/>
      </w:r>
    </w:p>
  </w:endnote>
  <w:endnote w:type="continuationNotice" w:id="1">
    <w:p w14:paraId="36045F9E" w14:textId="77777777" w:rsidR="00DD3533" w:rsidRDefault="00DD3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3442" w14:textId="77777777" w:rsidR="00247D47" w:rsidRDefault="0024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7F413191">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376E4432" w:rsidR="00FD29D3" w:rsidRPr="00D06414" w:rsidRDefault="7F413191" w:rsidP="7F413191">
          <w:pPr>
            <w:tabs>
              <w:tab w:val="right" w:pos="9639"/>
            </w:tabs>
            <w:spacing w:before="120" w:line="240" w:lineRule="exact"/>
            <w:rPr>
              <w:rFonts w:asciiTheme="majorHAnsi" w:hAnsiTheme="majorHAnsi" w:cs="Arial"/>
              <w:color w:val="999999" w:themeColor="accent2"/>
              <w:sz w:val="18"/>
              <w:szCs w:val="18"/>
            </w:rPr>
          </w:pPr>
          <w:r w:rsidRPr="7F413191">
            <w:rPr>
              <w:rFonts w:asciiTheme="majorHAnsi" w:hAnsiTheme="majorHAnsi" w:cs="Arial"/>
              <w:color w:val="999999" w:themeColor="accent2"/>
              <w:sz w:val="18"/>
              <w:szCs w:val="18"/>
            </w:rPr>
            <w:t>Updated: December 2024</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8088" w14:textId="77777777" w:rsidR="00FD29D3" w:rsidRDefault="00FD29D3" w:rsidP="00304EA1">
      <w:pPr>
        <w:spacing w:after="0" w:line="240" w:lineRule="auto"/>
      </w:pPr>
      <w:r>
        <w:separator/>
      </w:r>
    </w:p>
  </w:footnote>
  <w:footnote w:type="continuationSeparator" w:id="0">
    <w:p w14:paraId="14FABB55" w14:textId="77777777" w:rsidR="00FD29D3" w:rsidRDefault="00FD29D3" w:rsidP="00304EA1">
      <w:pPr>
        <w:spacing w:after="0" w:line="240" w:lineRule="auto"/>
      </w:pPr>
      <w:r>
        <w:continuationSeparator/>
      </w:r>
    </w:p>
  </w:footnote>
  <w:footnote w:type="continuationNotice" w:id="1">
    <w:p w14:paraId="57D7CA35" w14:textId="77777777" w:rsidR="00DD3533" w:rsidRDefault="00DD3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F2BE" w14:textId="77777777" w:rsidR="00247D47" w:rsidRDefault="0024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5ED0690F" w:rsidR="00FD29D3" w:rsidRPr="002B0664" w:rsidRDefault="00DC7FAE" w:rsidP="00247D47">
    <w:pPr>
      <w:pStyle w:val="Captionsandfootnotes"/>
      <w:tabs>
        <w:tab w:val="left" w:pos="720"/>
        <w:tab w:val="left" w:pos="1440"/>
        <w:tab w:val="left" w:pos="2160"/>
        <w:tab w:val="left" w:pos="592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00102F70">
          <w:rPr>
            <w:color w:val="auto"/>
          </w:rPr>
          <w:t>Position Description</w:t>
        </w:r>
      </w:sdtContent>
    </w:sdt>
    <w:r w:rsidR="00FD29D3" w:rsidRPr="002B0664">
      <w:rPr>
        <w:color w:val="auto"/>
      </w:rPr>
      <w:tab/>
    </w:r>
    <w:r w:rsidR="00247D47">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92CF8"/>
    <w:multiLevelType w:val="hybridMultilevel"/>
    <w:tmpl w:val="BC8A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A8907"/>
    <w:multiLevelType w:val="hybridMultilevel"/>
    <w:tmpl w:val="318E9248"/>
    <w:lvl w:ilvl="0" w:tplc="63C4D56C">
      <w:start w:val="1"/>
      <w:numFmt w:val="bullet"/>
      <w:lvlText w:val=""/>
      <w:lvlJc w:val="left"/>
      <w:pPr>
        <w:ind w:left="720" w:hanging="360"/>
      </w:pPr>
      <w:rPr>
        <w:rFonts w:ascii="Symbol" w:hAnsi="Symbol" w:hint="default"/>
      </w:rPr>
    </w:lvl>
    <w:lvl w:ilvl="1" w:tplc="4BCA125E">
      <w:start w:val="1"/>
      <w:numFmt w:val="bullet"/>
      <w:lvlText w:val="o"/>
      <w:lvlJc w:val="left"/>
      <w:pPr>
        <w:ind w:left="1440" w:hanging="360"/>
      </w:pPr>
      <w:rPr>
        <w:rFonts w:ascii="Courier New" w:hAnsi="Courier New" w:hint="default"/>
      </w:rPr>
    </w:lvl>
    <w:lvl w:ilvl="2" w:tplc="F788A096">
      <w:start w:val="1"/>
      <w:numFmt w:val="bullet"/>
      <w:lvlText w:val=""/>
      <w:lvlJc w:val="left"/>
      <w:pPr>
        <w:ind w:left="2160" w:hanging="360"/>
      </w:pPr>
      <w:rPr>
        <w:rFonts w:ascii="Wingdings" w:hAnsi="Wingdings" w:hint="default"/>
      </w:rPr>
    </w:lvl>
    <w:lvl w:ilvl="3" w:tplc="263C38BA">
      <w:start w:val="1"/>
      <w:numFmt w:val="bullet"/>
      <w:lvlText w:val=""/>
      <w:lvlJc w:val="left"/>
      <w:pPr>
        <w:ind w:left="2880" w:hanging="360"/>
      </w:pPr>
      <w:rPr>
        <w:rFonts w:ascii="Symbol" w:hAnsi="Symbol" w:hint="default"/>
      </w:rPr>
    </w:lvl>
    <w:lvl w:ilvl="4" w:tplc="957890A2">
      <w:start w:val="1"/>
      <w:numFmt w:val="bullet"/>
      <w:lvlText w:val="o"/>
      <w:lvlJc w:val="left"/>
      <w:pPr>
        <w:ind w:left="3600" w:hanging="360"/>
      </w:pPr>
      <w:rPr>
        <w:rFonts w:ascii="Courier New" w:hAnsi="Courier New" w:hint="default"/>
      </w:rPr>
    </w:lvl>
    <w:lvl w:ilvl="5" w:tplc="2CCCF560">
      <w:start w:val="1"/>
      <w:numFmt w:val="bullet"/>
      <w:lvlText w:val=""/>
      <w:lvlJc w:val="left"/>
      <w:pPr>
        <w:ind w:left="4320" w:hanging="360"/>
      </w:pPr>
      <w:rPr>
        <w:rFonts w:ascii="Wingdings" w:hAnsi="Wingdings" w:hint="default"/>
      </w:rPr>
    </w:lvl>
    <w:lvl w:ilvl="6" w:tplc="E666998C">
      <w:start w:val="1"/>
      <w:numFmt w:val="bullet"/>
      <w:lvlText w:val=""/>
      <w:lvlJc w:val="left"/>
      <w:pPr>
        <w:ind w:left="5040" w:hanging="360"/>
      </w:pPr>
      <w:rPr>
        <w:rFonts w:ascii="Symbol" w:hAnsi="Symbol" w:hint="default"/>
      </w:rPr>
    </w:lvl>
    <w:lvl w:ilvl="7" w:tplc="3A789892">
      <w:start w:val="1"/>
      <w:numFmt w:val="bullet"/>
      <w:lvlText w:val="o"/>
      <w:lvlJc w:val="left"/>
      <w:pPr>
        <w:ind w:left="5760" w:hanging="360"/>
      </w:pPr>
      <w:rPr>
        <w:rFonts w:ascii="Courier New" w:hAnsi="Courier New" w:hint="default"/>
      </w:rPr>
    </w:lvl>
    <w:lvl w:ilvl="8" w:tplc="83B88D5A">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BDA2348"/>
    <w:multiLevelType w:val="hybridMultilevel"/>
    <w:tmpl w:val="5212CE14"/>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BE46E8"/>
    <w:multiLevelType w:val="hybridMultilevel"/>
    <w:tmpl w:val="E970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36388F5A"/>
    <w:lvl w:ilvl="0" w:tplc="02D63D2C">
      <w:start w:val="1"/>
      <w:numFmt w:val="bullet"/>
      <w:pStyle w:val="Bulletlevel2"/>
      <w:lvlText w:val=""/>
      <w:lvlJc w:val="left"/>
      <w:pPr>
        <w:ind w:left="360"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6075CDE"/>
    <w:multiLevelType w:val="hybridMultilevel"/>
    <w:tmpl w:val="B6F0CEA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num w:numId="1" w16cid:durableId="2172227">
    <w:abstractNumId w:val="12"/>
  </w:num>
  <w:num w:numId="2" w16cid:durableId="1208764004">
    <w:abstractNumId w:val="19"/>
  </w:num>
  <w:num w:numId="3" w16cid:durableId="1678000311">
    <w:abstractNumId w:val="17"/>
  </w:num>
  <w:num w:numId="4" w16cid:durableId="1018848057">
    <w:abstractNumId w:val="13"/>
  </w:num>
  <w:num w:numId="5" w16cid:durableId="1304190575">
    <w:abstractNumId w:val="10"/>
  </w:num>
  <w:num w:numId="6" w16cid:durableId="2057312338">
    <w:abstractNumId w:val="18"/>
  </w:num>
  <w:num w:numId="7" w16cid:durableId="1378581537">
    <w:abstractNumId w:val="9"/>
  </w:num>
  <w:num w:numId="8" w16cid:durableId="177081491">
    <w:abstractNumId w:val="7"/>
  </w:num>
  <w:num w:numId="9" w16cid:durableId="1056662414">
    <w:abstractNumId w:val="6"/>
  </w:num>
  <w:num w:numId="10" w16cid:durableId="351690595">
    <w:abstractNumId w:val="5"/>
  </w:num>
  <w:num w:numId="11" w16cid:durableId="563222272">
    <w:abstractNumId w:val="4"/>
  </w:num>
  <w:num w:numId="12" w16cid:durableId="927617986">
    <w:abstractNumId w:val="8"/>
  </w:num>
  <w:num w:numId="13" w16cid:durableId="983192970">
    <w:abstractNumId w:val="3"/>
  </w:num>
  <w:num w:numId="14" w16cid:durableId="76288812">
    <w:abstractNumId w:val="2"/>
  </w:num>
  <w:num w:numId="15" w16cid:durableId="764307513">
    <w:abstractNumId w:val="1"/>
  </w:num>
  <w:num w:numId="16" w16cid:durableId="296838537">
    <w:abstractNumId w:val="0"/>
  </w:num>
  <w:num w:numId="17" w16cid:durableId="2046521920">
    <w:abstractNumId w:val="15"/>
  </w:num>
  <w:num w:numId="18" w16cid:durableId="568884540">
    <w:abstractNumId w:val="14"/>
  </w:num>
  <w:num w:numId="19" w16cid:durableId="1896499773">
    <w:abstractNumId w:val="20"/>
  </w:num>
  <w:num w:numId="20" w16cid:durableId="1924727501">
    <w:abstractNumId w:val="11"/>
  </w:num>
  <w:num w:numId="21" w16cid:durableId="51237546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67585">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0AF2"/>
    <w:rsid w:val="0005780E"/>
    <w:rsid w:val="00065CC6"/>
    <w:rsid w:val="00085EF6"/>
    <w:rsid w:val="000A71F7"/>
    <w:rsid w:val="000C4968"/>
    <w:rsid w:val="000F09E4"/>
    <w:rsid w:val="000F16FD"/>
    <w:rsid w:val="000F5AAF"/>
    <w:rsid w:val="00102F70"/>
    <w:rsid w:val="001111AD"/>
    <w:rsid w:val="001259C4"/>
    <w:rsid w:val="00143520"/>
    <w:rsid w:val="00153AD2"/>
    <w:rsid w:val="001779EA"/>
    <w:rsid w:val="001B0491"/>
    <w:rsid w:val="001B15A1"/>
    <w:rsid w:val="001D3246"/>
    <w:rsid w:val="002279BA"/>
    <w:rsid w:val="002329F3"/>
    <w:rsid w:val="00243F0D"/>
    <w:rsid w:val="00247D47"/>
    <w:rsid w:val="00260767"/>
    <w:rsid w:val="0026455C"/>
    <w:rsid w:val="002647BB"/>
    <w:rsid w:val="002754C1"/>
    <w:rsid w:val="002841C8"/>
    <w:rsid w:val="0028516B"/>
    <w:rsid w:val="002B0664"/>
    <w:rsid w:val="002B47DA"/>
    <w:rsid w:val="002C2890"/>
    <w:rsid w:val="002C6F90"/>
    <w:rsid w:val="002E4FB5"/>
    <w:rsid w:val="002F6799"/>
    <w:rsid w:val="002FC5DF"/>
    <w:rsid w:val="003023B9"/>
    <w:rsid w:val="00302FB8"/>
    <w:rsid w:val="0030412B"/>
    <w:rsid w:val="00304EA1"/>
    <w:rsid w:val="00314D81"/>
    <w:rsid w:val="00322FC6"/>
    <w:rsid w:val="00323772"/>
    <w:rsid w:val="00332A95"/>
    <w:rsid w:val="00345749"/>
    <w:rsid w:val="0035293F"/>
    <w:rsid w:val="00381C75"/>
    <w:rsid w:val="00391986"/>
    <w:rsid w:val="00393C4A"/>
    <w:rsid w:val="003A00B4"/>
    <w:rsid w:val="003A06B2"/>
    <w:rsid w:val="003C5E71"/>
    <w:rsid w:val="004004C6"/>
    <w:rsid w:val="00417AA3"/>
    <w:rsid w:val="00425DFE"/>
    <w:rsid w:val="00434EDB"/>
    <w:rsid w:val="00440B32"/>
    <w:rsid w:val="0046078D"/>
    <w:rsid w:val="00495C80"/>
    <w:rsid w:val="004A2ED8"/>
    <w:rsid w:val="004B7F12"/>
    <w:rsid w:val="004E2E1B"/>
    <w:rsid w:val="004F1189"/>
    <w:rsid w:val="004F5BDA"/>
    <w:rsid w:val="0051631E"/>
    <w:rsid w:val="00537A1F"/>
    <w:rsid w:val="005544D6"/>
    <w:rsid w:val="00566029"/>
    <w:rsid w:val="005923CB"/>
    <w:rsid w:val="005B391B"/>
    <w:rsid w:val="005D041E"/>
    <w:rsid w:val="005D3D78"/>
    <w:rsid w:val="005E2EF0"/>
    <w:rsid w:val="005F4092"/>
    <w:rsid w:val="00604E87"/>
    <w:rsid w:val="006714E7"/>
    <w:rsid w:val="0068471E"/>
    <w:rsid w:val="00684F98"/>
    <w:rsid w:val="00693FFD"/>
    <w:rsid w:val="00694562"/>
    <w:rsid w:val="006D2159"/>
    <w:rsid w:val="006E248F"/>
    <w:rsid w:val="006E3154"/>
    <w:rsid w:val="006F787C"/>
    <w:rsid w:val="00702636"/>
    <w:rsid w:val="00720DFE"/>
    <w:rsid w:val="00724507"/>
    <w:rsid w:val="00773E6C"/>
    <w:rsid w:val="00781FB1"/>
    <w:rsid w:val="007D1B6D"/>
    <w:rsid w:val="00801A75"/>
    <w:rsid w:val="00813C37"/>
    <w:rsid w:val="008154B5"/>
    <w:rsid w:val="00823962"/>
    <w:rsid w:val="0084454E"/>
    <w:rsid w:val="00846215"/>
    <w:rsid w:val="00850410"/>
    <w:rsid w:val="00852719"/>
    <w:rsid w:val="00860115"/>
    <w:rsid w:val="00870A89"/>
    <w:rsid w:val="00881A49"/>
    <w:rsid w:val="0088783C"/>
    <w:rsid w:val="00924A04"/>
    <w:rsid w:val="00924A0A"/>
    <w:rsid w:val="009325D2"/>
    <w:rsid w:val="009370BC"/>
    <w:rsid w:val="0096007D"/>
    <w:rsid w:val="00970580"/>
    <w:rsid w:val="0098739B"/>
    <w:rsid w:val="009A2561"/>
    <w:rsid w:val="009B61E5"/>
    <w:rsid w:val="009D1E89"/>
    <w:rsid w:val="009E5707"/>
    <w:rsid w:val="00A17661"/>
    <w:rsid w:val="00A177B6"/>
    <w:rsid w:val="00A227F8"/>
    <w:rsid w:val="00A24269"/>
    <w:rsid w:val="00A24B2D"/>
    <w:rsid w:val="00A40966"/>
    <w:rsid w:val="00A6370C"/>
    <w:rsid w:val="00A825D8"/>
    <w:rsid w:val="00A921E0"/>
    <w:rsid w:val="00A922F4"/>
    <w:rsid w:val="00AC189B"/>
    <w:rsid w:val="00AE5526"/>
    <w:rsid w:val="00AE5CAD"/>
    <w:rsid w:val="00AF051B"/>
    <w:rsid w:val="00B01578"/>
    <w:rsid w:val="00B0738F"/>
    <w:rsid w:val="00B13D3B"/>
    <w:rsid w:val="00B230DB"/>
    <w:rsid w:val="00B26601"/>
    <w:rsid w:val="00B41951"/>
    <w:rsid w:val="00B53229"/>
    <w:rsid w:val="00B62480"/>
    <w:rsid w:val="00B63B23"/>
    <w:rsid w:val="00B81B70"/>
    <w:rsid w:val="00BB3BAB"/>
    <w:rsid w:val="00BD0724"/>
    <w:rsid w:val="00BD2B91"/>
    <w:rsid w:val="00BE4DE4"/>
    <w:rsid w:val="00BE5521"/>
    <w:rsid w:val="00BE71DA"/>
    <w:rsid w:val="00BF6C23"/>
    <w:rsid w:val="00C53263"/>
    <w:rsid w:val="00C53A42"/>
    <w:rsid w:val="00C75F1D"/>
    <w:rsid w:val="00C95156"/>
    <w:rsid w:val="00CA0DC2"/>
    <w:rsid w:val="00CB68E8"/>
    <w:rsid w:val="00D04F01"/>
    <w:rsid w:val="00D06414"/>
    <w:rsid w:val="00D24E5A"/>
    <w:rsid w:val="00D338E4"/>
    <w:rsid w:val="00D51947"/>
    <w:rsid w:val="00D532F0"/>
    <w:rsid w:val="00D56E0F"/>
    <w:rsid w:val="00D5722F"/>
    <w:rsid w:val="00D76E10"/>
    <w:rsid w:val="00D77413"/>
    <w:rsid w:val="00D82759"/>
    <w:rsid w:val="00D86C7A"/>
    <w:rsid w:val="00D86DE4"/>
    <w:rsid w:val="00D97F47"/>
    <w:rsid w:val="00DC7FAE"/>
    <w:rsid w:val="00DD3533"/>
    <w:rsid w:val="00DE1909"/>
    <w:rsid w:val="00DE51DB"/>
    <w:rsid w:val="00DE6052"/>
    <w:rsid w:val="00E208DF"/>
    <w:rsid w:val="00E23F1D"/>
    <w:rsid w:val="00E30E05"/>
    <w:rsid w:val="00E36361"/>
    <w:rsid w:val="00E46F0D"/>
    <w:rsid w:val="00E54339"/>
    <w:rsid w:val="00E55AE9"/>
    <w:rsid w:val="00E7078B"/>
    <w:rsid w:val="00E7229D"/>
    <w:rsid w:val="00E750D5"/>
    <w:rsid w:val="00E77397"/>
    <w:rsid w:val="00E8432E"/>
    <w:rsid w:val="00EB0C84"/>
    <w:rsid w:val="00EC71D3"/>
    <w:rsid w:val="00EE5E8F"/>
    <w:rsid w:val="00F17FDE"/>
    <w:rsid w:val="00F40D53"/>
    <w:rsid w:val="00F4525C"/>
    <w:rsid w:val="00F50D86"/>
    <w:rsid w:val="00F70AB2"/>
    <w:rsid w:val="00F978B9"/>
    <w:rsid w:val="00FC34C9"/>
    <w:rsid w:val="00FD29D3"/>
    <w:rsid w:val="00FE3F0B"/>
    <w:rsid w:val="014155A8"/>
    <w:rsid w:val="020A46D2"/>
    <w:rsid w:val="02DF9B3F"/>
    <w:rsid w:val="03AA7A5C"/>
    <w:rsid w:val="03D8B30E"/>
    <w:rsid w:val="040EFAFD"/>
    <w:rsid w:val="042416DD"/>
    <w:rsid w:val="04E5B4CA"/>
    <w:rsid w:val="0530AC86"/>
    <w:rsid w:val="06B5C864"/>
    <w:rsid w:val="074005C9"/>
    <w:rsid w:val="07A6E05F"/>
    <w:rsid w:val="07DE3C3E"/>
    <w:rsid w:val="07FDAB03"/>
    <w:rsid w:val="08522CE9"/>
    <w:rsid w:val="08E56696"/>
    <w:rsid w:val="0905ED8B"/>
    <w:rsid w:val="09E03468"/>
    <w:rsid w:val="0A3C915C"/>
    <w:rsid w:val="0AF98017"/>
    <w:rsid w:val="0AFE6E0A"/>
    <w:rsid w:val="0AFF2226"/>
    <w:rsid w:val="0C650F8F"/>
    <w:rsid w:val="0CF4B456"/>
    <w:rsid w:val="0D58936C"/>
    <w:rsid w:val="0D6E9F45"/>
    <w:rsid w:val="0DB3EC64"/>
    <w:rsid w:val="0DE1EF85"/>
    <w:rsid w:val="0E6238E2"/>
    <w:rsid w:val="0EC0F892"/>
    <w:rsid w:val="0EC62EE2"/>
    <w:rsid w:val="0EF70E83"/>
    <w:rsid w:val="0EFBF58C"/>
    <w:rsid w:val="0EFF4361"/>
    <w:rsid w:val="0F42A482"/>
    <w:rsid w:val="0F4BCCF5"/>
    <w:rsid w:val="0FA80DCD"/>
    <w:rsid w:val="0FA8C62B"/>
    <w:rsid w:val="0FC56A25"/>
    <w:rsid w:val="101B7498"/>
    <w:rsid w:val="10D276ED"/>
    <w:rsid w:val="10FB2E48"/>
    <w:rsid w:val="117A4A22"/>
    <w:rsid w:val="127EA27B"/>
    <w:rsid w:val="12A88408"/>
    <w:rsid w:val="12AC4916"/>
    <w:rsid w:val="134210F7"/>
    <w:rsid w:val="136A0459"/>
    <w:rsid w:val="13AF1BC1"/>
    <w:rsid w:val="13F97391"/>
    <w:rsid w:val="13FD6BF7"/>
    <w:rsid w:val="14188363"/>
    <w:rsid w:val="1460D8BE"/>
    <w:rsid w:val="14A8EA15"/>
    <w:rsid w:val="14E99ED8"/>
    <w:rsid w:val="15DA9555"/>
    <w:rsid w:val="168B5833"/>
    <w:rsid w:val="16A4D81E"/>
    <w:rsid w:val="16A6018D"/>
    <w:rsid w:val="16D31912"/>
    <w:rsid w:val="174BF51F"/>
    <w:rsid w:val="1777FBD1"/>
    <w:rsid w:val="17964E85"/>
    <w:rsid w:val="17B77726"/>
    <w:rsid w:val="17D32CCF"/>
    <w:rsid w:val="183DF5F3"/>
    <w:rsid w:val="18A83EEC"/>
    <w:rsid w:val="19582C7D"/>
    <w:rsid w:val="196F3547"/>
    <w:rsid w:val="1971E605"/>
    <w:rsid w:val="19AAD2AE"/>
    <w:rsid w:val="19AF90E0"/>
    <w:rsid w:val="1A8B08E5"/>
    <w:rsid w:val="1AB4F40F"/>
    <w:rsid w:val="1B606D78"/>
    <w:rsid w:val="1B6A9ECE"/>
    <w:rsid w:val="1B984C66"/>
    <w:rsid w:val="1BBF82C0"/>
    <w:rsid w:val="1BD0EA02"/>
    <w:rsid w:val="1BD111CC"/>
    <w:rsid w:val="1C04C108"/>
    <w:rsid w:val="1C354510"/>
    <w:rsid w:val="1CC8AAEB"/>
    <w:rsid w:val="1CE78C08"/>
    <w:rsid w:val="1D191AE4"/>
    <w:rsid w:val="1DD88F2E"/>
    <w:rsid w:val="1E05C7DE"/>
    <w:rsid w:val="1E16F334"/>
    <w:rsid w:val="1E4DEBF7"/>
    <w:rsid w:val="1E97DCAB"/>
    <w:rsid w:val="1EB60544"/>
    <w:rsid w:val="1F00585D"/>
    <w:rsid w:val="1F076E82"/>
    <w:rsid w:val="1F771CEE"/>
    <w:rsid w:val="1FE704E1"/>
    <w:rsid w:val="20F11812"/>
    <w:rsid w:val="20FAB250"/>
    <w:rsid w:val="2164BD8C"/>
    <w:rsid w:val="21DC5F96"/>
    <w:rsid w:val="21E34B6A"/>
    <w:rsid w:val="226D83C5"/>
    <w:rsid w:val="22E95C10"/>
    <w:rsid w:val="23254F65"/>
    <w:rsid w:val="24426F16"/>
    <w:rsid w:val="246AC765"/>
    <w:rsid w:val="25411E2E"/>
    <w:rsid w:val="2566A9A1"/>
    <w:rsid w:val="2570EFEB"/>
    <w:rsid w:val="259BC109"/>
    <w:rsid w:val="27353241"/>
    <w:rsid w:val="275ADECB"/>
    <w:rsid w:val="278ADBEB"/>
    <w:rsid w:val="27B9FCDD"/>
    <w:rsid w:val="2821F3B3"/>
    <w:rsid w:val="28919FB4"/>
    <w:rsid w:val="28B92511"/>
    <w:rsid w:val="28D04BF7"/>
    <w:rsid w:val="28D39DB6"/>
    <w:rsid w:val="28F20AFB"/>
    <w:rsid w:val="2921885A"/>
    <w:rsid w:val="2960F4A3"/>
    <w:rsid w:val="297B55E3"/>
    <w:rsid w:val="298DBA50"/>
    <w:rsid w:val="29E3CDBD"/>
    <w:rsid w:val="2A1B9408"/>
    <w:rsid w:val="2A25E5E0"/>
    <w:rsid w:val="2A68AC26"/>
    <w:rsid w:val="2AA426D3"/>
    <w:rsid w:val="2B1AA529"/>
    <w:rsid w:val="2B368ED8"/>
    <w:rsid w:val="2B80E2FC"/>
    <w:rsid w:val="2B8666C8"/>
    <w:rsid w:val="2B9D85D2"/>
    <w:rsid w:val="2C059B25"/>
    <w:rsid w:val="2C38AAF8"/>
    <w:rsid w:val="2C8EF642"/>
    <w:rsid w:val="2CC71D36"/>
    <w:rsid w:val="2D2FC0E0"/>
    <w:rsid w:val="2D4BE67C"/>
    <w:rsid w:val="2DB01C2E"/>
    <w:rsid w:val="2DB3051C"/>
    <w:rsid w:val="2DB80397"/>
    <w:rsid w:val="2DCFC877"/>
    <w:rsid w:val="2DE35DA0"/>
    <w:rsid w:val="2E131881"/>
    <w:rsid w:val="2E426ADC"/>
    <w:rsid w:val="2EEA6276"/>
    <w:rsid w:val="2EEE0828"/>
    <w:rsid w:val="2F3950D3"/>
    <w:rsid w:val="2FAE4AA3"/>
    <w:rsid w:val="30035FF5"/>
    <w:rsid w:val="30908B64"/>
    <w:rsid w:val="31126B01"/>
    <w:rsid w:val="31533454"/>
    <w:rsid w:val="315FA7AD"/>
    <w:rsid w:val="31EAD0FC"/>
    <w:rsid w:val="324C71B3"/>
    <w:rsid w:val="325C0DC7"/>
    <w:rsid w:val="3274574A"/>
    <w:rsid w:val="334193DF"/>
    <w:rsid w:val="33DF2325"/>
    <w:rsid w:val="345426FB"/>
    <w:rsid w:val="3470F35C"/>
    <w:rsid w:val="347D38D8"/>
    <w:rsid w:val="34E22BB1"/>
    <w:rsid w:val="35223433"/>
    <w:rsid w:val="35659725"/>
    <w:rsid w:val="356E3A08"/>
    <w:rsid w:val="35A9F46C"/>
    <w:rsid w:val="35FD885C"/>
    <w:rsid w:val="36053CDA"/>
    <w:rsid w:val="3675AC03"/>
    <w:rsid w:val="373544E9"/>
    <w:rsid w:val="37769977"/>
    <w:rsid w:val="37813224"/>
    <w:rsid w:val="3789D620"/>
    <w:rsid w:val="37FBAF78"/>
    <w:rsid w:val="380B7143"/>
    <w:rsid w:val="38918777"/>
    <w:rsid w:val="38D7C896"/>
    <w:rsid w:val="392CE471"/>
    <w:rsid w:val="39B691BE"/>
    <w:rsid w:val="3A1E654C"/>
    <w:rsid w:val="3A3B1639"/>
    <w:rsid w:val="3AA7E3D8"/>
    <w:rsid w:val="3AE4E57F"/>
    <w:rsid w:val="3B42848F"/>
    <w:rsid w:val="3B52F8DF"/>
    <w:rsid w:val="3BD381AF"/>
    <w:rsid w:val="3C1ECDAB"/>
    <w:rsid w:val="3C53B9F7"/>
    <w:rsid w:val="3CFECDF0"/>
    <w:rsid w:val="3D5B0821"/>
    <w:rsid w:val="3D8290B2"/>
    <w:rsid w:val="3E118E6B"/>
    <w:rsid w:val="3E166EE5"/>
    <w:rsid w:val="3E524537"/>
    <w:rsid w:val="3EAA04A7"/>
    <w:rsid w:val="3EF4A300"/>
    <w:rsid w:val="3F532481"/>
    <w:rsid w:val="4005E7C7"/>
    <w:rsid w:val="40352816"/>
    <w:rsid w:val="40D3E056"/>
    <w:rsid w:val="40D61928"/>
    <w:rsid w:val="4147243E"/>
    <w:rsid w:val="41D7D77A"/>
    <w:rsid w:val="4218FC9B"/>
    <w:rsid w:val="42A72597"/>
    <w:rsid w:val="4334FFCC"/>
    <w:rsid w:val="433526B2"/>
    <w:rsid w:val="43E34DB1"/>
    <w:rsid w:val="43FD600C"/>
    <w:rsid w:val="441B4F99"/>
    <w:rsid w:val="448D5E22"/>
    <w:rsid w:val="4547960B"/>
    <w:rsid w:val="4650B5A0"/>
    <w:rsid w:val="46E825CE"/>
    <w:rsid w:val="47053133"/>
    <w:rsid w:val="4720A18C"/>
    <w:rsid w:val="47570D0B"/>
    <w:rsid w:val="47694C94"/>
    <w:rsid w:val="47C7611B"/>
    <w:rsid w:val="485B71B6"/>
    <w:rsid w:val="48A10E2B"/>
    <w:rsid w:val="48A1C10C"/>
    <w:rsid w:val="48FC7EC2"/>
    <w:rsid w:val="49003CCB"/>
    <w:rsid w:val="491616D0"/>
    <w:rsid w:val="4917FAD2"/>
    <w:rsid w:val="4933EAFB"/>
    <w:rsid w:val="4997753A"/>
    <w:rsid w:val="4A123FBD"/>
    <w:rsid w:val="4A169423"/>
    <w:rsid w:val="4A915E59"/>
    <w:rsid w:val="4A9F96E5"/>
    <w:rsid w:val="4B3F2AA4"/>
    <w:rsid w:val="4B685407"/>
    <w:rsid w:val="4B7285A2"/>
    <w:rsid w:val="4C8E8147"/>
    <w:rsid w:val="4C933A1F"/>
    <w:rsid w:val="4EF38CDE"/>
    <w:rsid w:val="4F255C0D"/>
    <w:rsid w:val="4F3221BD"/>
    <w:rsid w:val="4F5FC747"/>
    <w:rsid w:val="4FA4F751"/>
    <w:rsid w:val="4FE5A8C5"/>
    <w:rsid w:val="500F6066"/>
    <w:rsid w:val="50343461"/>
    <w:rsid w:val="50C44371"/>
    <w:rsid w:val="510BDB47"/>
    <w:rsid w:val="51551898"/>
    <w:rsid w:val="519B0992"/>
    <w:rsid w:val="5204D4DF"/>
    <w:rsid w:val="521D6C9B"/>
    <w:rsid w:val="5273A7CA"/>
    <w:rsid w:val="529720A3"/>
    <w:rsid w:val="52A9A8BA"/>
    <w:rsid w:val="52E02D96"/>
    <w:rsid w:val="53711AE8"/>
    <w:rsid w:val="539AA83D"/>
    <w:rsid w:val="53D7F12A"/>
    <w:rsid w:val="5471EED9"/>
    <w:rsid w:val="547DF423"/>
    <w:rsid w:val="548013CC"/>
    <w:rsid w:val="54C79D22"/>
    <w:rsid w:val="54F8D243"/>
    <w:rsid w:val="55593D70"/>
    <w:rsid w:val="555CF277"/>
    <w:rsid w:val="55715590"/>
    <w:rsid w:val="558FE279"/>
    <w:rsid w:val="55F6CB7D"/>
    <w:rsid w:val="560391E2"/>
    <w:rsid w:val="56188DE5"/>
    <w:rsid w:val="5653D64C"/>
    <w:rsid w:val="569E6916"/>
    <w:rsid w:val="56C93E55"/>
    <w:rsid w:val="56E301C3"/>
    <w:rsid w:val="57325DFF"/>
    <w:rsid w:val="5756BB0E"/>
    <w:rsid w:val="5775011D"/>
    <w:rsid w:val="57891878"/>
    <w:rsid w:val="57AF0FDB"/>
    <w:rsid w:val="57BA2C15"/>
    <w:rsid w:val="57CBA275"/>
    <w:rsid w:val="589954B0"/>
    <w:rsid w:val="58DF86AE"/>
    <w:rsid w:val="5916FD83"/>
    <w:rsid w:val="59219E64"/>
    <w:rsid w:val="595DADDA"/>
    <w:rsid w:val="597A8918"/>
    <w:rsid w:val="59AF1E90"/>
    <w:rsid w:val="59CF115B"/>
    <w:rsid w:val="5A1A44DD"/>
    <w:rsid w:val="5B4EAB36"/>
    <w:rsid w:val="5C948A0C"/>
    <w:rsid w:val="5C9F568E"/>
    <w:rsid w:val="5DA47F11"/>
    <w:rsid w:val="5DC377F2"/>
    <w:rsid w:val="5E866099"/>
    <w:rsid w:val="5EAEE2FE"/>
    <w:rsid w:val="5ED42B9F"/>
    <w:rsid w:val="5EF3E25E"/>
    <w:rsid w:val="5F2A0BF4"/>
    <w:rsid w:val="5F2EB81B"/>
    <w:rsid w:val="5F31A2AF"/>
    <w:rsid w:val="5F3DD05A"/>
    <w:rsid w:val="5F491C30"/>
    <w:rsid w:val="5F58F2CE"/>
    <w:rsid w:val="5FE0D422"/>
    <w:rsid w:val="5FF70DB1"/>
    <w:rsid w:val="6013A739"/>
    <w:rsid w:val="60229D81"/>
    <w:rsid w:val="602BDC42"/>
    <w:rsid w:val="60311F08"/>
    <w:rsid w:val="606768D5"/>
    <w:rsid w:val="606D9C50"/>
    <w:rsid w:val="60908997"/>
    <w:rsid w:val="613B7867"/>
    <w:rsid w:val="619F6B9F"/>
    <w:rsid w:val="61A1F8C7"/>
    <w:rsid w:val="61D44680"/>
    <w:rsid w:val="62033246"/>
    <w:rsid w:val="6275289A"/>
    <w:rsid w:val="629A6773"/>
    <w:rsid w:val="6366AA35"/>
    <w:rsid w:val="63794D22"/>
    <w:rsid w:val="6381C0FF"/>
    <w:rsid w:val="63F784D8"/>
    <w:rsid w:val="6422F697"/>
    <w:rsid w:val="649C9423"/>
    <w:rsid w:val="64CE3D12"/>
    <w:rsid w:val="650C2A64"/>
    <w:rsid w:val="655567EB"/>
    <w:rsid w:val="658A2AF8"/>
    <w:rsid w:val="65C7E221"/>
    <w:rsid w:val="662C2E18"/>
    <w:rsid w:val="66721A7C"/>
    <w:rsid w:val="66B007FE"/>
    <w:rsid w:val="67293D25"/>
    <w:rsid w:val="673668F4"/>
    <w:rsid w:val="677FA6D9"/>
    <w:rsid w:val="6784AD6B"/>
    <w:rsid w:val="67C26E2F"/>
    <w:rsid w:val="68152FCB"/>
    <w:rsid w:val="68C189D7"/>
    <w:rsid w:val="6919BAB6"/>
    <w:rsid w:val="6A156522"/>
    <w:rsid w:val="6A43CA99"/>
    <w:rsid w:val="6A5E8805"/>
    <w:rsid w:val="6A83F23A"/>
    <w:rsid w:val="6AA3E127"/>
    <w:rsid w:val="6B078283"/>
    <w:rsid w:val="6B2E0FEB"/>
    <w:rsid w:val="6BB4C534"/>
    <w:rsid w:val="6BC9CFC6"/>
    <w:rsid w:val="6BD71EC7"/>
    <w:rsid w:val="6C1492FC"/>
    <w:rsid w:val="6CC0E47E"/>
    <w:rsid w:val="6DE1A868"/>
    <w:rsid w:val="700A0476"/>
    <w:rsid w:val="708AC69A"/>
    <w:rsid w:val="70EA4D81"/>
    <w:rsid w:val="71C020F3"/>
    <w:rsid w:val="7243DC2B"/>
    <w:rsid w:val="724B5899"/>
    <w:rsid w:val="726120EE"/>
    <w:rsid w:val="73318101"/>
    <w:rsid w:val="73556A29"/>
    <w:rsid w:val="73AA8EE0"/>
    <w:rsid w:val="73B2791A"/>
    <w:rsid w:val="73B61BC1"/>
    <w:rsid w:val="73E91086"/>
    <w:rsid w:val="747BF239"/>
    <w:rsid w:val="74B2165A"/>
    <w:rsid w:val="75E90ACD"/>
    <w:rsid w:val="75F00E21"/>
    <w:rsid w:val="76D5846A"/>
    <w:rsid w:val="77492882"/>
    <w:rsid w:val="779D5B2A"/>
    <w:rsid w:val="77A97AF1"/>
    <w:rsid w:val="77C6E8BA"/>
    <w:rsid w:val="7801A2AB"/>
    <w:rsid w:val="788B23E5"/>
    <w:rsid w:val="78CEE259"/>
    <w:rsid w:val="7A0E945A"/>
    <w:rsid w:val="7A3555B1"/>
    <w:rsid w:val="7A47AAF6"/>
    <w:rsid w:val="7AA3E910"/>
    <w:rsid w:val="7AA82EA1"/>
    <w:rsid w:val="7AD917D8"/>
    <w:rsid w:val="7B070B9D"/>
    <w:rsid w:val="7B480EF7"/>
    <w:rsid w:val="7BD532B4"/>
    <w:rsid w:val="7C1E4DFA"/>
    <w:rsid w:val="7C45657B"/>
    <w:rsid w:val="7C4A1F20"/>
    <w:rsid w:val="7C7BF6ED"/>
    <w:rsid w:val="7D6AF8BA"/>
    <w:rsid w:val="7D76D3C4"/>
    <w:rsid w:val="7D7AC959"/>
    <w:rsid w:val="7D893C3D"/>
    <w:rsid w:val="7E4914A4"/>
    <w:rsid w:val="7EC0FF9B"/>
    <w:rsid w:val="7F2E555C"/>
    <w:rsid w:val="7F413191"/>
    <w:rsid w:val="7FE78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15:docId w15:val="{F5227046-C882-47F8-A1BC-C88706A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2"/>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3"/>
      </w:numPr>
    </w:pPr>
  </w:style>
  <w:style w:type="paragraph" w:customStyle="1" w:styleId="Numbers">
    <w:name w:val="Numbers"/>
    <w:basedOn w:val="Bullet"/>
    <w:qFormat/>
    <w:rsid w:val="0035293F"/>
    <w:pPr>
      <w:numPr>
        <w:numId w:val="4"/>
      </w:numPr>
      <w:ind w:left="425" w:hanging="425"/>
    </w:pPr>
    <w:rPr>
      <w:lang w:val="en-US"/>
    </w:rPr>
  </w:style>
  <w:style w:type="paragraph" w:customStyle="1" w:styleId="Tablecondensedbullet">
    <w:name w:val="Table condensed bullet"/>
    <w:basedOn w:val="Normal"/>
    <w:qFormat/>
    <w:rsid w:val="00495C80"/>
    <w:pPr>
      <w:numPr>
        <w:numId w:val="5"/>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7"/>
      </w:numPr>
      <w:contextualSpacing/>
    </w:pPr>
  </w:style>
  <w:style w:type="paragraph" w:styleId="ListBullet2">
    <w:name w:val="List Bullet 2"/>
    <w:basedOn w:val="Normal"/>
    <w:uiPriority w:val="99"/>
    <w:semiHidden/>
    <w:unhideWhenUsed/>
    <w:rsid w:val="00870A89"/>
    <w:pPr>
      <w:numPr>
        <w:numId w:val="8"/>
      </w:numPr>
      <w:contextualSpacing/>
    </w:pPr>
  </w:style>
  <w:style w:type="paragraph" w:styleId="ListBullet3">
    <w:name w:val="List Bullet 3"/>
    <w:basedOn w:val="Normal"/>
    <w:uiPriority w:val="99"/>
    <w:semiHidden/>
    <w:unhideWhenUsed/>
    <w:rsid w:val="00870A89"/>
    <w:pPr>
      <w:numPr>
        <w:numId w:val="9"/>
      </w:numPr>
      <w:contextualSpacing/>
    </w:pPr>
  </w:style>
  <w:style w:type="paragraph" w:styleId="ListBullet4">
    <w:name w:val="List Bullet 4"/>
    <w:basedOn w:val="Normal"/>
    <w:uiPriority w:val="99"/>
    <w:semiHidden/>
    <w:unhideWhenUsed/>
    <w:rsid w:val="00870A89"/>
    <w:pPr>
      <w:numPr>
        <w:numId w:val="10"/>
      </w:numPr>
      <w:contextualSpacing/>
    </w:pPr>
  </w:style>
  <w:style w:type="paragraph" w:styleId="ListBullet5">
    <w:name w:val="List Bullet 5"/>
    <w:basedOn w:val="Normal"/>
    <w:uiPriority w:val="99"/>
    <w:semiHidden/>
    <w:unhideWhenUsed/>
    <w:rsid w:val="00870A89"/>
    <w:pPr>
      <w:numPr>
        <w:numId w:val="11"/>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2"/>
      </w:numPr>
      <w:contextualSpacing/>
    </w:pPr>
  </w:style>
  <w:style w:type="paragraph" w:styleId="ListNumber2">
    <w:name w:val="List Number 2"/>
    <w:basedOn w:val="Normal"/>
    <w:uiPriority w:val="99"/>
    <w:semiHidden/>
    <w:unhideWhenUsed/>
    <w:rsid w:val="00870A89"/>
    <w:pPr>
      <w:numPr>
        <w:numId w:val="13"/>
      </w:numPr>
      <w:contextualSpacing/>
    </w:pPr>
  </w:style>
  <w:style w:type="paragraph" w:styleId="ListNumber3">
    <w:name w:val="List Number 3"/>
    <w:basedOn w:val="Normal"/>
    <w:uiPriority w:val="99"/>
    <w:semiHidden/>
    <w:unhideWhenUsed/>
    <w:rsid w:val="00870A89"/>
    <w:pPr>
      <w:numPr>
        <w:numId w:val="14"/>
      </w:numPr>
      <w:contextualSpacing/>
    </w:pPr>
  </w:style>
  <w:style w:type="paragraph" w:styleId="ListNumber4">
    <w:name w:val="List Number 4"/>
    <w:basedOn w:val="Normal"/>
    <w:uiPriority w:val="99"/>
    <w:semiHidden/>
    <w:unhideWhenUsed/>
    <w:rsid w:val="00870A89"/>
    <w:pPr>
      <w:numPr>
        <w:numId w:val="15"/>
      </w:numPr>
      <w:contextualSpacing/>
    </w:pPr>
  </w:style>
  <w:style w:type="paragraph" w:styleId="ListNumber5">
    <w:name w:val="List Number 5"/>
    <w:basedOn w:val="Normal"/>
    <w:uiPriority w:val="99"/>
    <w:semiHidden/>
    <w:unhideWhenUsed/>
    <w:rsid w:val="00870A89"/>
    <w:pPr>
      <w:numPr>
        <w:numId w:val="16"/>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1259C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259C4"/>
  </w:style>
  <w:style w:type="character" w:customStyle="1" w:styleId="eop">
    <w:name w:val="eop"/>
    <w:basedOn w:val="DefaultParagraphFont"/>
    <w:rsid w:val="001259C4"/>
  </w:style>
  <w:style w:type="character" w:styleId="CommentReference">
    <w:name w:val="annotation reference"/>
    <w:basedOn w:val="DefaultParagraphFont"/>
    <w:uiPriority w:val="99"/>
    <w:semiHidden/>
    <w:unhideWhenUsed/>
    <w:rsid w:val="00694562"/>
    <w:rPr>
      <w:sz w:val="16"/>
      <w:szCs w:val="16"/>
    </w:rPr>
  </w:style>
  <w:style w:type="character" w:styleId="Mention">
    <w:name w:val="Mention"/>
    <w:basedOn w:val="DefaultParagraphFont"/>
    <w:uiPriority w:val="99"/>
    <w:unhideWhenUsed/>
    <w:rsid w:val="00694562"/>
    <w:rPr>
      <w:color w:val="2B579A"/>
      <w:shd w:val="clear" w:color="auto" w:fill="E1DFDD"/>
    </w:rPr>
  </w:style>
  <w:style w:type="paragraph" w:styleId="Revision">
    <w:name w:val="Revision"/>
    <w:hidden/>
    <w:uiPriority w:val="99"/>
    <w:semiHidden/>
    <w:rsid w:val="00F70AB2"/>
    <w:pPr>
      <w:spacing w:after="0" w:line="240" w:lineRule="auto"/>
    </w:pPr>
  </w:style>
  <w:style w:type="paragraph" w:customStyle="1" w:styleId="VCAAbody">
    <w:name w:val="VCAA body"/>
    <w:link w:val="VCAAbodyChar"/>
    <w:qFormat/>
    <w:rsid w:val="00EC71D3"/>
    <w:pPr>
      <w:spacing w:before="120" w:after="120" w:line="280" w:lineRule="exact"/>
    </w:pPr>
    <w:rPr>
      <w:rFonts w:asciiTheme="majorHAnsi" w:hAnsiTheme="majorHAnsi" w:cs="Arial"/>
      <w:color w:val="000000" w:themeColor="text1"/>
      <w:sz w:val="20"/>
    </w:rPr>
  </w:style>
  <w:style w:type="paragraph" w:customStyle="1" w:styleId="VCAAbullet">
    <w:name w:val="VCAA bullet"/>
    <w:basedOn w:val="VCAAbody"/>
    <w:qFormat/>
    <w:rsid w:val="00EC71D3"/>
    <w:pPr>
      <w:tabs>
        <w:tab w:val="left" w:pos="425"/>
      </w:tabs>
      <w:spacing w:before="60" w:after="60"/>
      <w:ind w:left="425" w:hanging="425"/>
    </w:pPr>
    <w:rPr>
      <w:rFonts w:eastAsia="Times New Roman"/>
      <w:kern w:val="22"/>
      <w:lang w:val="en-GB" w:eastAsia="ja-JP"/>
    </w:rPr>
  </w:style>
  <w:style w:type="character" w:customStyle="1" w:styleId="VCAAbodyChar">
    <w:name w:val="VCAA body Char"/>
    <w:basedOn w:val="DefaultParagraphFont"/>
    <w:link w:val="VCAAbody"/>
    <w:rsid w:val="00EC71D3"/>
    <w:rPr>
      <w:rFonts w:asciiTheme="majorHAnsi" w:hAnsiTheme="majorHAnsi" w:cs="Arial"/>
      <w:color w:val="000000" w:themeColor="text1"/>
      <w:sz w:val="20"/>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24815">
      <w:bodyDiv w:val="1"/>
      <w:marLeft w:val="0"/>
      <w:marRight w:val="0"/>
      <w:marTop w:val="0"/>
      <w:marBottom w:val="0"/>
      <w:divBdr>
        <w:top w:val="none" w:sz="0" w:space="0" w:color="auto"/>
        <w:left w:val="none" w:sz="0" w:space="0" w:color="auto"/>
        <w:bottom w:val="none" w:sz="0" w:space="0" w:color="auto"/>
        <w:right w:val="none" w:sz="0" w:space="0" w:color="auto"/>
      </w:divBdr>
      <w:divsChild>
        <w:div w:id="41951921">
          <w:marLeft w:val="0"/>
          <w:marRight w:val="0"/>
          <w:marTop w:val="0"/>
          <w:marBottom w:val="0"/>
          <w:divBdr>
            <w:top w:val="none" w:sz="0" w:space="0" w:color="auto"/>
            <w:left w:val="none" w:sz="0" w:space="0" w:color="auto"/>
            <w:bottom w:val="none" w:sz="0" w:space="0" w:color="auto"/>
            <w:right w:val="none" w:sz="0" w:space="0" w:color="auto"/>
          </w:divBdr>
        </w:div>
        <w:div w:id="512689586">
          <w:marLeft w:val="0"/>
          <w:marRight w:val="0"/>
          <w:marTop w:val="0"/>
          <w:marBottom w:val="0"/>
          <w:divBdr>
            <w:top w:val="none" w:sz="0" w:space="0" w:color="auto"/>
            <w:left w:val="none" w:sz="0" w:space="0" w:color="auto"/>
            <w:bottom w:val="none" w:sz="0" w:space="0" w:color="auto"/>
            <w:right w:val="none" w:sz="0" w:space="0" w:color="auto"/>
          </w:divBdr>
        </w:div>
        <w:div w:id="644895108">
          <w:marLeft w:val="0"/>
          <w:marRight w:val="0"/>
          <w:marTop w:val="0"/>
          <w:marBottom w:val="0"/>
          <w:divBdr>
            <w:top w:val="none" w:sz="0" w:space="0" w:color="auto"/>
            <w:left w:val="none" w:sz="0" w:space="0" w:color="auto"/>
            <w:bottom w:val="none" w:sz="0" w:space="0" w:color="auto"/>
            <w:right w:val="none" w:sz="0" w:space="0" w:color="auto"/>
          </w:divBdr>
        </w:div>
        <w:div w:id="831071355">
          <w:marLeft w:val="0"/>
          <w:marRight w:val="0"/>
          <w:marTop w:val="0"/>
          <w:marBottom w:val="0"/>
          <w:divBdr>
            <w:top w:val="none" w:sz="0" w:space="0" w:color="auto"/>
            <w:left w:val="none" w:sz="0" w:space="0" w:color="auto"/>
            <w:bottom w:val="none" w:sz="0" w:space="0" w:color="auto"/>
            <w:right w:val="none" w:sz="0" w:space="0" w:color="auto"/>
          </w:divBdr>
        </w:div>
        <w:div w:id="886530910">
          <w:marLeft w:val="0"/>
          <w:marRight w:val="0"/>
          <w:marTop w:val="0"/>
          <w:marBottom w:val="0"/>
          <w:divBdr>
            <w:top w:val="none" w:sz="0" w:space="0" w:color="auto"/>
            <w:left w:val="none" w:sz="0" w:space="0" w:color="auto"/>
            <w:bottom w:val="none" w:sz="0" w:space="0" w:color="auto"/>
            <w:right w:val="none" w:sz="0" w:space="0" w:color="auto"/>
          </w:divBdr>
        </w:div>
        <w:div w:id="897935115">
          <w:marLeft w:val="0"/>
          <w:marRight w:val="0"/>
          <w:marTop w:val="0"/>
          <w:marBottom w:val="0"/>
          <w:divBdr>
            <w:top w:val="none" w:sz="0" w:space="0" w:color="auto"/>
            <w:left w:val="none" w:sz="0" w:space="0" w:color="auto"/>
            <w:bottom w:val="none" w:sz="0" w:space="0" w:color="auto"/>
            <w:right w:val="none" w:sz="0" w:space="0" w:color="auto"/>
          </w:divBdr>
        </w:div>
        <w:div w:id="1096755693">
          <w:marLeft w:val="0"/>
          <w:marRight w:val="0"/>
          <w:marTop w:val="0"/>
          <w:marBottom w:val="0"/>
          <w:divBdr>
            <w:top w:val="none" w:sz="0" w:space="0" w:color="auto"/>
            <w:left w:val="none" w:sz="0" w:space="0" w:color="auto"/>
            <w:bottom w:val="none" w:sz="0" w:space="0" w:color="auto"/>
            <w:right w:val="none" w:sz="0" w:space="0" w:color="auto"/>
          </w:divBdr>
        </w:div>
        <w:div w:id="1130710325">
          <w:marLeft w:val="0"/>
          <w:marRight w:val="0"/>
          <w:marTop w:val="0"/>
          <w:marBottom w:val="0"/>
          <w:divBdr>
            <w:top w:val="none" w:sz="0" w:space="0" w:color="auto"/>
            <w:left w:val="none" w:sz="0" w:space="0" w:color="auto"/>
            <w:bottom w:val="none" w:sz="0" w:space="0" w:color="auto"/>
            <w:right w:val="none" w:sz="0" w:space="0" w:color="auto"/>
          </w:divBdr>
        </w:div>
        <w:div w:id="1134371423">
          <w:marLeft w:val="0"/>
          <w:marRight w:val="0"/>
          <w:marTop w:val="0"/>
          <w:marBottom w:val="0"/>
          <w:divBdr>
            <w:top w:val="none" w:sz="0" w:space="0" w:color="auto"/>
            <w:left w:val="none" w:sz="0" w:space="0" w:color="auto"/>
            <w:bottom w:val="none" w:sz="0" w:space="0" w:color="auto"/>
            <w:right w:val="none" w:sz="0" w:space="0" w:color="auto"/>
          </w:divBdr>
        </w:div>
        <w:div w:id="1405563202">
          <w:marLeft w:val="0"/>
          <w:marRight w:val="0"/>
          <w:marTop w:val="0"/>
          <w:marBottom w:val="0"/>
          <w:divBdr>
            <w:top w:val="none" w:sz="0" w:space="0" w:color="auto"/>
            <w:left w:val="none" w:sz="0" w:space="0" w:color="auto"/>
            <w:bottom w:val="none" w:sz="0" w:space="0" w:color="auto"/>
            <w:right w:val="none" w:sz="0" w:space="0" w:color="auto"/>
          </w:divBdr>
        </w:div>
        <w:div w:id="1813672793">
          <w:marLeft w:val="0"/>
          <w:marRight w:val="0"/>
          <w:marTop w:val="0"/>
          <w:marBottom w:val="0"/>
          <w:divBdr>
            <w:top w:val="none" w:sz="0" w:space="0" w:color="auto"/>
            <w:left w:val="none" w:sz="0" w:space="0" w:color="auto"/>
            <w:bottom w:val="none" w:sz="0" w:space="0" w:color="auto"/>
            <w:right w:val="none" w:sz="0" w:space="0" w:color="auto"/>
          </w:divBdr>
        </w:div>
      </w:divsChild>
    </w:div>
    <w:div w:id="1528132961">
      <w:bodyDiv w:val="1"/>
      <w:marLeft w:val="0"/>
      <w:marRight w:val="0"/>
      <w:marTop w:val="0"/>
      <w:marBottom w:val="0"/>
      <w:divBdr>
        <w:top w:val="none" w:sz="0" w:space="0" w:color="auto"/>
        <w:left w:val="none" w:sz="0" w:space="0" w:color="auto"/>
        <w:bottom w:val="none" w:sz="0" w:space="0" w:color="auto"/>
        <w:right w:val="none" w:sz="0" w:space="0" w:color="auto"/>
      </w:divBdr>
    </w:div>
    <w:div w:id="1532842764">
      <w:bodyDiv w:val="1"/>
      <w:marLeft w:val="0"/>
      <w:marRight w:val="0"/>
      <w:marTop w:val="0"/>
      <w:marBottom w:val="0"/>
      <w:divBdr>
        <w:top w:val="none" w:sz="0" w:space="0" w:color="auto"/>
        <w:left w:val="none" w:sz="0" w:space="0" w:color="auto"/>
        <w:bottom w:val="none" w:sz="0" w:space="0" w:color="auto"/>
        <w:right w:val="none" w:sz="0" w:space="0" w:color="auto"/>
      </w:divBdr>
    </w:div>
    <w:div w:id="1572999949">
      <w:bodyDiv w:val="1"/>
      <w:marLeft w:val="0"/>
      <w:marRight w:val="0"/>
      <w:marTop w:val="0"/>
      <w:marBottom w:val="0"/>
      <w:divBdr>
        <w:top w:val="none" w:sz="0" w:space="0" w:color="auto"/>
        <w:left w:val="none" w:sz="0" w:space="0" w:color="auto"/>
        <w:bottom w:val="none" w:sz="0" w:space="0" w:color="auto"/>
        <w:right w:val="none" w:sz="0" w:space="0" w:color="auto"/>
      </w:divBdr>
      <w:divsChild>
        <w:div w:id="1153526479">
          <w:marLeft w:val="0"/>
          <w:marRight w:val="0"/>
          <w:marTop w:val="0"/>
          <w:marBottom w:val="0"/>
          <w:divBdr>
            <w:top w:val="none" w:sz="0" w:space="0" w:color="auto"/>
            <w:left w:val="none" w:sz="0" w:space="0" w:color="auto"/>
            <w:bottom w:val="none" w:sz="0" w:space="0" w:color="auto"/>
            <w:right w:val="none" w:sz="0" w:space="0" w:color="auto"/>
          </w:divBdr>
        </w:div>
        <w:div w:id="1295137778">
          <w:marLeft w:val="0"/>
          <w:marRight w:val="0"/>
          <w:marTop w:val="0"/>
          <w:marBottom w:val="0"/>
          <w:divBdr>
            <w:top w:val="none" w:sz="0" w:space="0" w:color="auto"/>
            <w:left w:val="none" w:sz="0" w:space="0" w:color="auto"/>
            <w:bottom w:val="none" w:sz="0" w:space="0" w:color="auto"/>
            <w:right w:val="none" w:sz="0" w:space="0" w:color="auto"/>
          </w:divBdr>
        </w:div>
        <w:div w:id="1787889643">
          <w:marLeft w:val="0"/>
          <w:marRight w:val="0"/>
          <w:marTop w:val="0"/>
          <w:marBottom w:val="0"/>
          <w:divBdr>
            <w:top w:val="none" w:sz="0" w:space="0" w:color="auto"/>
            <w:left w:val="none" w:sz="0" w:space="0" w:color="auto"/>
            <w:bottom w:val="none" w:sz="0" w:space="0" w:color="auto"/>
            <w:right w:val="none" w:sz="0" w:space="0" w:color="auto"/>
          </w:divBdr>
        </w:div>
      </w:divsChild>
    </w:div>
    <w:div w:id="1634172537">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361B"/>
    <w:rsid w:val="00227148"/>
    <w:rsid w:val="002B5BB3"/>
    <w:rsid w:val="00425F90"/>
    <w:rsid w:val="005B7012"/>
    <w:rsid w:val="006714E7"/>
    <w:rsid w:val="00846215"/>
    <w:rsid w:val="008800BF"/>
    <w:rsid w:val="009325D2"/>
    <w:rsid w:val="0096007D"/>
    <w:rsid w:val="00980164"/>
    <w:rsid w:val="009F3A30"/>
    <w:rsid w:val="00E71E81"/>
    <w:rsid w:val="00EE5E8F"/>
    <w:rsid w:val="00FD29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486E605-2558-47EC-96D4-A43F2D280DFF}"/>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60fb03a3-f338-41ac-9cc2-112c53067bc4"/>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e76e0e30-3d7e-4498-a829-09804fcf5b5d"/>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7554</Characters>
  <Application>Microsoft Office Word</Application>
  <DocSecurity>4</DocSecurity>
  <Lines>62</Lines>
  <Paragraphs>17</Paragraphs>
  <ScaleCrop>false</ScaleCrop>
  <Company>Victorian Curriculum and Assessment Authority</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Amanda Stephens</cp:lastModifiedBy>
  <cp:revision>18</cp:revision>
  <cp:lastPrinted>2025-01-02T04:31:00Z</cp:lastPrinted>
  <dcterms:created xsi:type="dcterms:W3CDTF">2024-12-13T00:18:00Z</dcterms:created>
  <dcterms:modified xsi:type="dcterms:W3CDTF">2025-01-06T04:55:00Z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