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264E" w14:textId="77777777" w:rsidR="007E7F3E" w:rsidRDefault="007E7F3E" w:rsidP="007E7F3E">
      <w:r>
        <w:rPr>
          <w:b/>
          <w:bCs/>
        </w:rPr>
        <w:t>Presenter</w:t>
      </w:r>
      <w:r w:rsidR="00BD7466" w:rsidRPr="00BD7466">
        <w:t xml:space="preserve"> </w:t>
      </w:r>
      <w:r w:rsidR="009C08FA" w:rsidRPr="009C08FA">
        <w:t xml:space="preserve">- </w:t>
      </w:r>
      <w:r w:rsidRPr="007E7F3E">
        <w:t xml:space="preserve">Welcome to the inaugural VCAA Chief Assessors External Assessment Presentation for Foundation Mathematics. This initiative is intended to provide teachers and students across Victoria with valuable insights into the marking of the 2025 examination. This PowerPoint presentation, we'll unpack the External Assessment Report and provide a consistent explanation of the examination marking process. This presentation will provide extended explanations and analysis of questions that will help guide your thinking in the marking of student responses. As such, it will provide all schools with the same key teaching and learning materials related to examination performance. The resources used for this presentation include the Foundation Mathematics Examination, the associated External Assessment Report, the information gathered from the Assessor Training Day, and insights from the Chief Assessor. Together, they'll provide extensive information to draw upon to create this video. </w:t>
      </w:r>
    </w:p>
    <w:p w14:paraId="5AE8BBCE" w14:textId="77777777" w:rsidR="007E7F3E" w:rsidRDefault="007E7F3E" w:rsidP="007E7F3E">
      <w:r w:rsidRPr="007E7F3E">
        <w:t xml:space="preserve">The 2024 Foundation Mathematics Examination paper was presented with two sections. Section A contained 20 multiple choice questions worth 20 marks, and Section B contained 12 written response questions worth 60 marks. The top scoring multiple choice questions were Question 8, where 86% of students responded correctly, and Question 7, where 84% of students responded correctly. The most challenging multiple choice questions were Question 2 and 17, where only 24% of students responded correctly. </w:t>
      </w:r>
    </w:p>
    <w:p w14:paraId="129FEC3C" w14:textId="77777777" w:rsidR="009F7C8C" w:rsidRPr="009F7C8C" w:rsidRDefault="009F7C8C" w:rsidP="009F7C8C">
      <w:pPr>
        <w:rPr>
          <w:b/>
          <w:bCs/>
        </w:rPr>
      </w:pPr>
      <w:r w:rsidRPr="009F7C8C">
        <w:rPr>
          <w:b/>
          <w:bCs/>
        </w:rPr>
        <w:t>Section A – Multiple Choice questions</w:t>
      </w:r>
    </w:p>
    <w:p w14:paraId="5FD3A5FA" w14:textId="64286AE6" w:rsidR="007E7F3E" w:rsidRDefault="007E7F3E" w:rsidP="007E7F3E">
      <w:r w:rsidRPr="007E7F3E">
        <w:t xml:space="preserve">The next set of slides will look at many of the multiple choice questions in more detail. In Question 1, which was linked to the algebra, number, and structure area of study required students to construct a simplified ratio of one to two, for the two paint colours of green and blue respectively, and then increase this by a factor of 250. 16% of students chose the distractor of A, being 125 millilitres. This value was calculated if the ratio values were assigned to the wrong paint colour. </w:t>
      </w:r>
    </w:p>
    <w:p w14:paraId="31922D75" w14:textId="4FE6AEFB" w:rsidR="007E7F3E" w:rsidRDefault="007E7F3E" w:rsidP="007E7F3E">
      <w:r w:rsidRPr="007E7F3E">
        <w:t xml:space="preserve">Question 15, which was linked to the financial and consumer mathematics area of study required students to convert the 21 late days into three weeks so the weekly late fee could be applied. The initial fee of $10 was also included with this amount. 16% of students chose the distractor of A, which was $68. This value was possible if the late time was not converted into weeks, and therefore resulted in a late fee cost of seven times 21, which was $147. This was much larger than the maximum fee that could be applied, hence, $68 was chosen as the late fee. </w:t>
      </w:r>
    </w:p>
    <w:p w14:paraId="1163F2DE" w14:textId="77777777" w:rsidR="007E7F3E" w:rsidRDefault="007E7F3E" w:rsidP="007E7F3E">
      <w:r w:rsidRPr="007E7F3E">
        <w:t xml:space="preserve">Question 19, which was linked to the space and measurement area of study, required students to apply the time zone adjustment to the Melbourne time to find the Perth time by subtracting two hours. 16% of students chose the distractor of A being 8:45 PM, which was found by adding the two hour adjustment instead of subtracting. </w:t>
      </w:r>
    </w:p>
    <w:p w14:paraId="4B72E5E9" w14:textId="77777777" w:rsidR="007E7F3E" w:rsidRDefault="007E7F3E" w:rsidP="007E7F3E">
      <w:r w:rsidRPr="007E7F3E">
        <w:lastRenderedPageBreak/>
        <w:t xml:space="preserve">Question 14, which was linked to the financial and consumer mathematics area of study required students to select the correct annual income bracket linked to $67,450, which was 66,876 to 70,888. The repayment rate of 3% was then applied to the annual income. 30% of students chose the distractor of C. This option incorrectly calculated 2.5% of the quoted annual income instead of the needed 3%. </w:t>
      </w:r>
    </w:p>
    <w:p w14:paraId="7E933F4F" w14:textId="77777777" w:rsidR="007E7F3E" w:rsidRDefault="007E7F3E" w:rsidP="007E7F3E">
      <w:r w:rsidRPr="007E7F3E">
        <w:t xml:space="preserve">Question 9, which was linked to the data analysis probability and statistics area of study required students to calculate the mean of the tabled values, which came to 33.6. Subtracting the quoted mean of 28 led to the correct answer. 22% of students chose the distractor of D. This option corresponded to students assuming the mean value of 33.6 was the correct response, and neglected to progress further to calculate the difference between the means. </w:t>
      </w:r>
    </w:p>
    <w:p w14:paraId="3B21445A" w14:textId="77777777" w:rsidR="007E7F3E" w:rsidRDefault="007E7F3E" w:rsidP="007E7F3E">
      <w:r w:rsidRPr="007E7F3E">
        <w:t xml:space="preserve">Question 12, which was linked to the financial and consumer mathematics area of study, required students to calculate a selling price by including a percentage markup and GST. The calculation could have been separated into smaller calculations, which found 40% of the wholesale price, and then adding this to the original amount, and then finding 10% of the total. Alternatively, the calculation could have applied the percentage markup of 140%. 16% of students chose distractor A. This option only considered the 40% markup and omitted the GST. </w:t>
      </w:r>
    </w:p>
    <w:p w14:paraId="14F6F960" w14:textId="77777777" w:rsidR="007E7F3E" w:rsidRDefault="007E7F3E" w:rsidP="007E7F3E">
      <w:r w:rsidRPr="007E7F3E">
        <w:t xml:space="preserve">Question 16, which was linked to the space and measurement area of study required students to use a conversion and then a ratio, proportion, or scale factor to calculate the volume of water needed to be added to the pool. 18% of students chose distractor A. This option did not account for the measurement conversion between centimetres and metres. 18% of students also chose distractor B. This option used an incorrect conversion in changing 0.64 metres to centimetres, or changing four centimetres into metres. </w:t>
      </w:r>
    </w:p>
    <w:p w14:paraId="0D807B86" w14:textId="77777777" w:rsidR="007E7F3E" w:rsidRDefault="007E7F3E" w:rsidP="007E7F3E">
      <w:r w:rsidRPr="007E7F3E">
        <w:t xml:space="preserve">Question 11, which was linked to the financial and consumer mathematics area of study required students to partition the sale price of $1 million into intervals linked to specific percentage calculations for the commission. 19% of students chose distractor C. This option was the result of calculating 2% of the entire sale price, neglecting all other stated percentages. </w:t>
      </w:r>
    </w:p>
    <w:p w14:paraId="0E4C8058" w14:textId="77777777" w:rsidR="007E7F3E" w:rsidRDefault="007E7F3E" w:rsidP="007E7F3E">
      <w:r w:rsidRPr="007E7F3E">
        <w:t xml:space="preserve">Question 18, which was linked to the algebra, number, and structure area of study, required students to find 4% of 200, and then use this to create a range of values. 22% of students chose distractor B. This option added and subtracted four rather than adding and subtracting 4%, showing the responses neglected to find the appropriate percentage. </w:t>
      </w:r>
    </w:p>
    <w:p w14:paraId="7F942069" w14:textId="77777777" w:rsidR="007E7F3E" w:rsidRDefault="007E7F3E" w:rsidP="007E7F3E">
      <w:r w:rsidRPr="007E7F3E">
        <w:t xml:space="preserve">Question 3, which was linked to the algebra, number, and structure area of study required students to use rates to find a total cost. One of the key components of the calculation was to convert kilowatt hours into days, hence the inclusion of 24 in the </w:t>
      </w:r>
      <w:r w:rsidRPr="007E7F3E">
        <w:lastRenderedPageBreak/>
        <w:t xml:space="preserve">solution. 28% of students chose distractor B. This option did not include the multiplication of 24, which was needed to convert the rate of kilowatt hours into days. </w:t>
      </w:r>
    </w:p>
    <w:p w14:paraId="1EEC9941" w14:textId="77777777" w:rsidR="007E7F3E" w:rsidRDefault="007E7F3E" w:rsidP="007E7F3E">
      <w:r w:rsidRPr="007E7F3E">
        <w:t xml:space="preserve">Question 13, which was linked to the financial and consumer mathematics area of study required students to use a manipulated form of the simple interest rule. The calculation of interest earned, which required the investment to be subtracted from the balance was a crucial component to find the correct rate. Trial and error was also a viable method to find the key. 22% of students chose distractor C. This option worked with a simple interest value of $1,750, or a compounding interest calculation with monthly repayments. </w:t>
      </w:r>
    </w:p>
    <w:p w14:paraId="656852FD" w14:textId="77777777" w:rsidR="007E7F3E" w:rsidRDefault="007E7F3E" w:rsidP="007E7F3E">
      <w:r w:rsidRPr="007E7F3E">
        <w:t xml:space="preserve">Question 10, which was linked to the data analysis, probability, and statistics area of study required students to find the percentage of respondents corresponding to 260 out of 1064, and then count the number of news sources with a value less than this percentage. 31% of students chose distractor A. Since the percentage for 260 out of 1064 was 24.44%, the news source of 24% was not included in the count, with respondents believing this was not less than 24.44%, hence, the option of six was chosen rather than seven. </w:t>
      </w:r>
    </w:p>
    <w:p w14:paraId="58354274" w14:textId="0DAF2ACA" w:rsidR="007E7F3E" w:rsidRDefault="007E7F3E" w:rsidP="007E7F3E">
      <w:r w:rsidRPr="007E7F3E">
        <w:t xml:space="preserve">Question 4, which was linked to the algebra, number, and structure area of study required students to convert </w:t>
      </w:r>
      <w:r w:rsidR="00DB5120" w:rsidRPr="007E7F3E">
        <w:t>kilograms</w:t>
      </w:r>
      <w:r w:rsidRPr="007E7F3E">
        <w:t xml:space="preserve"> into grams, and then calculate the cooking time for the converted weight of 1,600 grams. 54% of students chose distractor A. This option neglected to convert 1.6 </w:t>
      </w:r>
      <w:r w:rsidR="00DB5120" w:rsidRPr="007E7F3E">
        <w:t>kilograms</w:t>
      </w:r>
      <w:r w:rsidRPr="007E7F3E">
        <w:t xml:space="preserve"> to grams and just made the calculation, with 1.6 being substituted into the rule instead of 1,600. </w:t>
      </w:r>
    </w:p>
    <w:p w14:paraId="45B995FE" w14:textId="77777777" w:rsidR="007E7F3E" w:rsidRDefault="007E7F3E" w:rsidP="007E7F3E">
      <w:r w:rsidRPr="007E7F3E">
        <w:t xml:space="preserve">Question 6, which was linked to the algebra, number, and structure area of study required a series of percentages to be identified for the included horizontal bar chart, and then combined them to determine the overall salt intake. 38% of students chose distractor C. This option corresponded to the correct total percentage intake of salt consumed, but the question only required the percentage that exceeded the recommended intake. 100% should have been subtracted from the total percentage intake to obtain the correct answer. Note that the graph for Question 6 is not reproduced here. It is available on page five of the examination paper. </w:t>
      </w:r>
    </w:p>
    <w:p w14:paraId="75290A0E" w14:textId="5108192E" w:rsidR="007E7F3E" w:rsidRDefault="007E7F3E" w:rsidP="007E7F3E">
      <w:r w:rsidRPr="007E7F3E">
        <w:t xml:space="preserve">Question 20, which was linked to the space and measurement area of study required students to use the dimensions of one hexagon to calculate the number that would fit length and </w:t>
      </w:r>
      <w:r w:rsidR="00DB5120" w:rsidRPr="007E7F3E">
        <w:t>width wise</w:t>
      </w:r>
      <w:r w:rsidRPr="007E7F3E">
        <w:t xml:space="preserve"> on the table mat. The calculation required adjustments, as only whole tiles were asked to be counted. 30% of students chose distractor A. This option corresponded to the calculations being applied to the image shown in the question where visually there would be three tiles in every column and five tiles across, the multiplication giving 15 tiles. This option neglected to consider the physical size of the table mat, or the precise dimensions of the hexagon. </w:t>
      </w:r>
    </w:p>
    <w:p w14:paraId="68B787BD" w14:textId="77777777" w:rsidR="007E7F3E" w:rsidRDefault="007E7F3E" w:rsidP="007E7F3E">
      <w:r w:rsidRPr="007E7F3E">
        <w:lastRenderedPageBreak/>
        <w:t xml:space="preserve">Question 5, which was linked to the algebra, number, and structure area of study required the given lines of travel for both vehicles included in the graph to be extended until they intersected. At this intersection point, the distances travelled by each vehicle could be read from the graph. As the question asked for the distance travelled by the ambulance, an interpretation of the graph was required. Distances read from the graph were measured from the home, and the ambulance initially began 100 kilometres from home. It met the patient 80 kilometres from the home. These values show that the ambulance will have travelled 100 kilometres. 41% of students chose distractor B. This option corresponded to the distance measure from the home for the ambulance, and not the actual distance travelled by the ambulance. </w:t>
      </w:r>
    </w:p>
    <w:p w14:paraId="06219283" w14:textId="77777777" w:rsidR="007E7F3E" w:rsidRDefault="007E7F3E" w:rsidP="007E7F3E">
      <w:r w:rsidRPr="007E7F3E">
        <w:t xml:space="preserve">Question 2, which was linked to the algebra, number, and structure area of study required approximations to be made to one significant figure to comply with the instruction of leading digit approximation. The value of 92 was approximated to 90, and eight kept its own value as it required no approximation. The resulting multiplication was then used in the percentage error rule. 35% of students chose distractor B. This option incorrectly used the approximate value of 720 in the denominator instead of the original or actual value of 736. </w:t>
      </w:r>
    </w:p>
    <w:p w14:paraId="485E4EAF" w14:textId="77777777" w:rsidR="007E7F3E" w:rsidRDefault="007E7F3E" w:rsidP="007E7F3E">
      <w:r w:rsidRPr="007E7F3E">
        <w:t xml:space="preserve">Question 17, which was linked to the space and measurement area of study required a series of conversions to create a set of comparisons to be able to answer the question. The metric measurement of four millimetres converts to 0.4 centimetres, which then converts more readily to an imperial value of 0.1574 inches. The exact imperial measurements for the hex keys were more easily compared as decimal approximations. From these conversions, the closest approximate was then easily identified as 0.15625. 30% of students chose distractor C, 23% of students chose distractor A, and 21% of students chose distractor B. </w:t>
      </w:r>
    </w:p>
    <w:p w14:paraId="0421647F" w14:textId="77777777" w:rsidR="009F7C8C" w:rsidRPr="009F7C8C" w:rsidRDefault="009F7C8C" w:rsidP="009F7C8C">
      <w:pPr>
        <w:rPr>
          <w:b/>
          <w:bCs/>
        </w:rPr>
      </w:pPr>
      <w:r w:rsidRPr="009F7C8C">
        <w:rPr>
          <w:b/>
          <w:bCs/>
        </w:rPr>
        <w:t>Section B – Extended Answer questions</w:t>
      </w:r>
    </w:p>
    <w:p w14:paraId="6B87D93C" w14:textId="09B1B9D8" w:rsidR="007E7F3E" w:rsidRDefault="007E7F3E" w:rsidP="007E7F3E">
      <w:r w:rsidRPr="007E7F3E">
        <w:t xml:space="preserve">Summarising the observations for Section B of the paper, student responses showed a strong engagement in numerous questions. When broken into smaller parts, the questions that were answered well generally require the student to observe and then make a routine calculation. Throughout the paper, the general marking principles that were used followed the descriptions of, one mark could be awarded for the answer only without the need for any working. This was for one mark questions only. One mark could also be awarded for working that was deemed critical in progressing towards finding the solution, or for providing one half of a two part solution. Two marks would be awarded when all critical working was included, along with the solution itself, or if both parts of a two-part solution were provided. </w:t>
      </w:r>
    </w:p>
    <w:p w14:paraId="1485C64C" w14:textId="1FCC4BED" w:rsidR="009F7C8C" w:rsidRDefault="009F7C8C" w:rsidP="009F7C8C">
      <w:pPr>
        <w:spacing w:before="0" w:after="160" w:line="259" w:lineRule="auto"/>
      </w:pPr>
      <w:r w:rsidRPr="009F7C8C">
        <w:rPr>
          <w:b/>
          <w:bCs/>
        </w:rPr>
        <w:t>Section B Q1</w:t>
      </w:r>
    </w:p>
    <w:p w14:paraId="527A7CC1" w14:textId="6F4711E1" w:rsidR="007E7F3E" w:rsidRDefault="007E7F3E" w:rsidP="007E7F3E">
      <w:r w:rsidRPr="007E7F3E">
        <w:lastRenderedPageBreak/>
        <w:t xml:space="preserve">In looking at the Section B written response questions in more detail, Question 1a, shown on the screen, required students to recognise the part of the segmented bar chart that represented people living in the capital city. The key identified this percentage is the shaded part of each column. The single mark available here was awarded for the correct answer of ACT. Most students were able to complete this task successfully. </w:t>
      </w:r>
    </w:p>
    <w:p w14:paraId="6016F207" w14:textId="77777777" w:rsidR="007E7F3E" w:rsidRDefault="007E7F3E" w:rsidP="007E7F3E">
      <w:r w:rsidRPr="007E7F3E">
        <w:t xml:space="preserve">Question 1b required an understanding of information presented in the question, which was, again, linked to the segmented bar chart. A routine subtraction between 76 and 44 was needed to calculate the required percentage of 32. The subtraction was not a required part for the award of the one mark that was available. Only the answer of 32 was needed. Most students were able to complete this question successfully. </w:t>
      </w:r>
    </w:p>
    <w:p w14:paraId="7161611B" w14:textId="77777777" w:rsidR="007E7F3E" w:rsidRDefault="007E7F3E" w:rsidP="007E7F3E">
      <w:r w:rsidRPr="007E7F3E">
        <w:t xml:space="preserve">Question 1c required the initial ratio of 60 to 40 to be identified from the segmented bar chart to compare the requested percentages. This unsimplified ratio was not enough to be awarded the mark available for this question, as the question explicitly asked for the simplified ratio. Either three on two, or the fraction of three over two were the only answers to be awarded the mark. As the simplified ratio or fraction was the only answer required, Sample 1 shows an extended set of working steps that eventually arrived at the correct answer. The extended working was not actually required for the student response to be awarded the single mark available here. Sample 2, even though it is a correct ratio, was not simplified, and therefore was not awarded the one mark available for this question. </w:t>
      </w:r>
    </w:p>
    <w:p w14:paraId="3E94E6CE" w14:textId="77777777" w:rsidR="007E7F3E" w:rsidRDefault="007E7F3E" w:rsidP="007E7F3E">
      <w:r w:rsidRPr="007E7F3E">
        <w:t xml:space="preserve">Question 1d required students to substitute values, and then algebraically rearrange the relationship to find the correct answer. Many of the students were able to gain at least one mark for this question by initially substituting the correct values into the relationship. Students that tried to algebraically rearrange the relationship often completed the task inaccurately, leading to an incorrect value. A further complexity was the requirement around the calculation to a required accuracy. Sample 1 shows working that correctly substituted the appropriate values. This was awarded the method mark for this question. The answer provided, even though not written to the nearest square kilometre, can be rounded to the correct answer, and was therefore awarded the answer mark as well. This response received two marks. Sample 2, although it is using the correct values, the substitution and subsequent algebraic calculation is incorrect. This was not awarded the method mark for this question. The answer was also incorrect, and therefore no marks were awarded for this response. </w:t>
      </w:r>
    </w:p>
    <w:p w14:paraId="728F30D2" w14:textId="014140C0" w:rsidR="009F7C8C" w:rsidRDefault="009F7C8C" w:rsidP="009F7C8C">
      <w:pPr>
        <w:spacing w:before="0" w:after="160" w:line="259" w:lineRule="auto"/>
      </w:pPr>
      <w:r w:rsidRPr="009F7C8C">
        <w:rPr>
          <w:b/>
          <w:bCs/>
        </w:rPr>
        <w:t>Section B Q2</w:t>
      </w:r>
    </w:p>
    <w:p w14:paraId="23653D22" w14:textId="651505DF" w:rsidR="007E7F3E" w:rsidRDefault="007E7F3E" w:rsidP="007E7F3E">
      <w:r w:rsidRPr="007E7F3E">
        <w:t xml:space="preserve">Question 2a required an identification of a venue section's price, and then a routine multiplication or repeated addition of the identified price. Again, working was not mandatory. Only the total of $1,139.70 was required. Most students were successful. </w:t>
      </w:r>
      <w:r w:rsidRPr="007E7F3E">
        <w:lastRenderedPageBreak/>
        <w:t xml:space="preserve">There were a variety of approaches that were suitable to be awarded two marks in Question 2b. A number of these are shown in this slide, but many others were also acceptable. The two samples shown, which offer slightly alternative approaches were both awarded two marks. A clear statement regarding the authorization was needed to complete the question. </w:t>
      </w:r>
    </w:p>
    <w:p w14:paraId="217BECFB" w14:textId="77777777" w:rsidR="007E7F3E" w:rsidRDefault="007E7F3E" w:rsidP="007E7F3E">
      <w:r w:rsidRPr="007E7F3E">
        <w:t xml:space="preserve">The study design lists simultaneous equations as a content item in the area of study of algebra, number, and structure, and this was the focus of Question 2c. Even though the solution shown in the slide is algebraic, there were many alternatives to finding the correct values. All were acceptable as long as the correct number of B reserve and D reserve tickets were stated clearly. One mark was awarded to responses that provided either of the equations needed to define the simultaneous equations, or just one of the correct number of tickets. The sample shown were both awarded two marks as both have clearly stated the number of tickets needed. Many other similar variations were also acceptable. </w:t>
      </w:r>
    </w:p>
    <w:p w14:paraId="76EB32AE" w14:textId="77777777" w:rsidR="009F7C8C" w:rsidRPr="009F7C8C" w:rsidRDefault="009F7C8C" w:rsidP="009F7C8C">
      <w:pPr>
        <w:spacing w:before="0" w:after="160" w:line="259" w:lineRule="auto"/>
        <w:rPr>
          <w:b/>
          <w:bCs/>
        </w:rPr>
      </w:pPr>
      <w:r w:rsidRPr="009F7C8C">
        <w:rPr>
          <w:b/>
          <w:bCs/>
        </w:rPr>
        <w:t>Section B Q3</w:t>
      </w:r>
    </w:p>
    <w:p w14:paraId="534AD93C" w14:textId="0886A408" w:rsidR="007E7F3E" w:rsidRDefault="007E7F3E" w:rsidP="007E7F3E">
      <w:r w:rsidRPr="007E7F3E">
        <w:t xml:space="preserve">Question 3a was another question part where students were required to complete a routine addition of ingredient weights. All the information was available in the stem of the question. For this particular part, the answer was acceptable in either </w:t>
      </w:r>
      <w:r w:rsidR="00DB5120" w:rsidRPr="007E7F3E">
        <w:t>kilograms</w:t>
      </w:r>
      <w:r w:rsidRPr="007E7F3E">
        <w:t xml:space="preserve"> or grams. If the answer was given in grams, the units of weight were required. Many students were successful in answering this question. </w:t>
      </w:r>
    </w:p>
    <w:p w14:paraId="3E68015A" w14:textId="77777777" w:rsidR="007E7F3E" w:rsidRDefault="007E7F3E" w:rsidP="007E7F3E">
      <w:r w:rsidRPr="007E7F3E">
        <w:t xml:space="preserve">Question 3b was shown to be challenging for students to create appropriate ratios and then to adjust the calculations to a cost per single tart. A common response was to simply add the costs for ingredients and then adjust for a single serve, ignoring the quantities that were required for the actual recipe. One mark was awarded for responses that engaged correctly in finding their ratios in some way, even though they may not have resulted in the correct answer. The samples show two different approaches to finding the correct cost per tart. Both were awarded two marks. Note in the second sample, some of the work is included with the stem information. This is an acceptable place to provide working, and assessors will be looking for inclusions of this nature. Sample 3 shows a response where the student found some correct ratios, and as a result, this working was awarded one mark. The remainder of the working did not lead to a correct answer so the second mark was not awarded. In Sample 4, the individual prices were added, and there was no attempt to convert into appropriate ratios. This response did not receive any marks. </w:t>
      </w:r>
    </w:p>
    <w:p w14:paraId="65ED48A5" w14:textId="77777777" w:rsidR="007E7F3E" w:rsidRDefault="007E7F3E" w:rsidP="007E7F3E">
      <w:r w:rsidRPr="007E7F3E">
        <w:t xml:space="preserve">Question 3c required students to initially identify the fibre content, which proved to be a challenging task for many students. The correct identification of the fibre content was worth one mark. Once identified, a percentage was required, which also was shown to be a challenging task for students to complete accurately. This question did not allow the percentage to be calculated using the identified fibre content found by </w:t>
      </w:r>
      <w:r w:rsidRPr="007E7F3E">
        <w:lastRenderedPageBreak/>
        <w:t xml:space="preserve">the student. If this was completed accurately using their identified value, one mark was awarded. Sample responses 1 and 2 each received two marks. Sample 1 included the fibre content calculation directly as part of the calculation. Sample 2 made a separate calculation for the fibre content, and then found the required percentage. Sample 3 identified the correct fibre content but calculated the percentage incorrectly. This was awarded one mark. Another acceptable solution for one mark was to use a student's fibre content to calculate a correct percentage. </w:t>
      </w:r>
    </w:p>
    <w:p w14:paraId="0A32EF72" w14:textId="77777777" w:rsidR="009F7C8C" w:rsidRPr="009F7C8C" w:rsidRDefault="009F7C8C" w:rsidP="009F7C8C">
      <w:pPr>
        <w:spacing w:before="0" w:after="160" w:line="259" w:lineRule="auto"/>
        <w:rPr>
          <w:b/>
          <w:bCs/>
        </w:rPr>
      </w:pPr>
      <w:r w:rsidRPr="009F7C8C">
        <w:rPr>
          <w:b/>
          <w:bCs/>
        </w:rPr>
        <w:t>Section B Q4</w:t>
      </w:r>
    </w:p>
    <w:p w14:paraId="0DE0DDB3" w14:textId="4019D547" w:rsidR="007E7F3E" w:rsidRDefault="007E7F3E" w:rsidP="007E7F3E">
      <w:r w:rsidRPr="007E7F3E">
        <w:t xml:space="preserve">Student responses to all of Question 4 showed they found this a challenging questions to answer correctly. Even with the example provided in stem information to help with Question 4a, many students were unable to analyse the graph to provide a correct answer. A common incorrect answer was 15%. </w:t>
      </w:r>
    </w:p>
    <w:p w14:paraId="2418E263" w14:textId="77777777" w:rsidR="007E7F3E" w:rsidRDefault="007E7F3E" w:rsidP="007E7F3E">
      <w:r w:rsidRPr="007E7F3E">
        <w:t xml:space="preserve">In Question 4b, students that were able to identify and write down the two closest percentile curves were awarded one mark. Trying to describe how the 6.8 kilogram weight was compared to other weights in the image provided to be a challenging task. Sample responses 1 and 2 each received one mark. Sample 1 and 2 correctly identified the two nearby percentile curves, which was enough to be awarded one mark. Both samples, however, did not receive the second mark as the comparison was not detailed or clear enough to provide a viable description for how the weights compared to other children. </w:t>
      </w:r>
    </w:p>
    <w:p w14:paraId="6336256A" w14:textId="77777777" w:rsidR="007E7F3E" w:rsidRDefault="007E7F3E" w:rsidP="007E7F3E">
      <w:r w:rsidRPr="007E7F3E">
        <w:t xml:space="preserve">Question 4c Part 1 was frequently misinterpreted with many students being unable to identify which part of the curve was to be extended. Often horizontal and or vertical lines were drawn on the image, but they did not reflect the correct extrapolation of the 50th percentile curve. Some students who did not use a ruler did not extrapolate the line within the allowable range. Sample 1 shows an acceptable extrapolation of the 50th percentile curve and was awarded the available one mark. Sample 2 shows an unacceptable extrapolation of the 50th percentile curve as it does not reach the allowable values at the 3-year-old mark. This is a good example to emphasise the use of a ruler or straight edge as being advantageous to creating an accurate solution. </w:t>
      </w:r>
    </w:p>
    <w:p w14:paraId="336E93AF" w14:textId="77777777" w:rsidR="007E7F3E" w:rsidRDefault="007E7F3E" w:rsidP="007E7F3E">
      <w:r w:rsidRPr="007E7F3E">
        <w:t xml:space="preserve">In Question 4c Part 2, those students who are able to correctly extrapolate the 50th percentile curve frequently gain the mark for quoting an acceptable predicted weight at the 3-year-old level. </w:t>
      </w:r>
    </w:p>
    <w:p w14:paraId="0CF6444A" w14:textId="3686675C" w:rsidR="009F7C8C" w:rsidRPr="009F7C8C" w:rsidRDefault="009F7C8C" w:rsidP="009F7C8C">
      <w:pPr>
        <w:spacing w:before="0" w:after="160" w:line="259" w:lineRule="auto"/>
        <w:rPr>
          <w:b/>
          <w:bCs/>
        </w:rPr>
      </w:pPr>
      <w:r w:rsidRPr="009F7C8C">
        <w:rPr>
          <w:b/>
          <w:bCs/>
        </w:rPr>
        <w:t>Section B Q</w:t>
      </w:r>
      <w:r>
        <w:rPr>
          <w:b/>
          <w:bCs/>
        </w:rPr>
        <w:t>5</w:t>
      </w:r>
    </w:p>
    <w:p w14:paraId="7608EB38" w14:textId="7A2E2931" w:rsidR="007E7F3E" w:rsidRDefault="007E7F3E" w:rsidP="007E7F3E">
      <w:r w:rsidRPr="007E7F3E">
        <w:t xml:space="preserve">Question 5a was similar to Question 1a in requiring students to interpret information presented in the question and then locate this information in the grouped horizontal bar chart. Once found, a routine subtraction was required to find the correct answer. Only the app name was required as the answer and not the specific calculation. This </w:t>
      </w:r>
      <w:r w:rsidRPr="007E7F3E">
        <w:lastRenderedPageBreak/>
        <w:t xml:space="preserve">again was a question where many students were able to provide an accurate response. </w:t>
      </w:r>
    </w:p>
    <w:p w14:paraId="374437EA" w14:textId="77777777" w:rsidR="007E7F3E" w:rsidRDefault="007E7F3E" w:rsidP="007E7F3E">
      <w:r w:rsidRPr="007E7F3E">
        <w:t xml:space="preserve">Question 5b Part 1 and 5B Part 2 were found to be challenging questions for students to develop correct responses. The question description of percentage of respondents unaware of the use of AI being greater than the percentage who use AI was commonly missed or misinterpreted by students, thus leading to an incorrect identification of the required technology. </w:t>
      </w:r>
    </w:p>
    <w:p w14:paraId="600BC391" w14:textId="77777777" w:rsidR="007E7F3E" w:rsidRDefault="007E7F3E" w:rsidP="007E7F3E">
      <w:r w:rsidRPr="007E7F3E">
        <w:t xml:space="preserve">Question 5b Part 2 required a percentage decrease to be calculated to find the number of respondents. Working could have been included with the response but was not essential. The one mark available for this question was awarded to responses that only listed 200 as the answer. </w:t>
      </w:r>
    </w:p>
    <w:p w14:paraId="2F9344D7" w14:textId="77777777" w:rsidR="007E7F3E" w:rsidRDefault="007E7F3E" w:rsidP="007E7F3E">
      <w:r w:rsidRPr="007E7F3E">
        <w:t xml:space="preserve">Responses to Question 5c showed many students misinterpreted the expectations of the question by referring to a single type of content rather than a level of concern. Students were rewarded if their explanation supported their choice of feature. A complete response did require a descriptive explanation and was made up of two parts. This did prove challenging for some students as they did not include the supporting example alongside their identified level of content. The response in Sample 1, although not explicitly mentioning the level of concern, has inherently identified it correctly in the explanation that follows. The description is clear and is supported with a specific example. The response was awarded two marks. The response in Sample 2 correctly identified a level of concern, which was awarded one mark. The response was not supported with a specific example as the question had requested, therefore, the second mark was not awarded. This response received only one mark. </w:t>
      </w:r>
    </w:p>
    <w:p w14:paraId="239FE63D" w14:textId="53AD7DF7" w:rsidR="009F7C8C" w:rsidRPr="009F7C8C" w:rsidRDefault="009F7C8C" w:rsidP="009F7C8C">
      <w:pPr>
        <w:spacing w:before="0" w:after="160" w:line="259" w:lineRule="auto"/>
        <w:rPr>
          <w:b/>
          <w:bCs/>
        </w:rPr>
      </w:pPr>
      <w:r w:rsidRPr="009F7C8C">
        <w:rPr>
          <w:b/>
          <w:bCs/>
        </w:rPr>
        <w:t>Section B Q</w:t>
      </w:r>
      <w:r>
        <w:rPr>
          <w:b/>
          <w:bCs/>
        </w:rPr>
        <w:t>6</w:t>
      </w:r>
    </w:p>
    <w:p w14:paraId="78586433" w14:textId="5D37FF59" w:rsidR="007E7F3E" w:rsidRDefault="007E7F3E" w:rsidP="007E7F3E">
      <w:r w:rsidRPr="007E7F3E">
        <w:t xml:space="preserve">Question 6a Part 1 required the routine calculation of locating the middle value in the ordered set. As the median was between two data values, a further mean calculation was needed. Many students successfully implemented the skills required to find a correct answer. Numerous incorrect responses were associated with a calculation of the mean rather than the requested median. </w:t>
      </w:r>
    </w:p>
    <w:p w14:paraId="5ADC6AE4" w14:textId="77777777" w:rsidR="007E7F3E" w:rsidRDefault="007E7F3E" w:rsidP="007E7F3E">
      <w:r w:rsidRPr="007E7F3E">
        <w:t xml:space="preserve">In Question 6a Part 2, the calculation of finding the difference between the two median values was enough to gain one mark. Students were awarded this difference mark as long as they used their response to the previous part of the question. The responses shown give a sample of different approaches for Question 6a Part 2. Sample 1 was awarded one mark as there was no accompanying working to support the answer. Sample 2 was awarded one mark as the difference calculation was included but the percentage calculation was inaccurate. Sample 3 was awarded two marks as all components were included and correct. </w:t>
      </w:r>
    </w:p>
    <w:p w14:paraId="20E9F457" w14:textId="77777777" w:rsidR="007E7F3E" w:rsidRDefault="007E7F3E" w:rsidP="007E7F3E">
      <w:r w:rsidRPr="007E7F3E">
        <w:lastRenderedPageBreak/>
        <w:t xml:space="preserve">Question 6b was shown to be one of the most challenging for students. The required inclusion of an unknown selling price into the calculation was not picked up by many students, and thus, an incorrect answer followed. Many responses used the initial mean calculation and divided it by 11, which was not enough to be awarded one mark. Working that calculated the total cost of the 11 houses, or set up a relationship that included the unknown selling price was awarded one mark. The two samples shown for Question 6b offer correct approaches to this question and both receive two marks. Note the difference in the detail included with both samples. These samples emphasise the importance of students following their own pathways of thinking to completion, as the different but correct approaches will always end up at the same result. </w:t>
      </w:r>
    </w:p>
    <w:p w14:paraId="4F409A34" w14:textId="553D00A7" w:rsidR="009F7C8C" w:rsidRPr="009F7C8C" w:rsidRDefault="009F7C8C" w:rsidP="009F7C8C">
      <w:pPr>
        <w:spacing w:before="0" w:after="160" w:line="259" w:lineRule="auto"/>
        <w:rPr>
          <w:b/>
          <w:bCs/>
        </w:rPr>
      </w:pPr>
      <w:r w:rsidRPr="009F7C8C">
        <w:rPr>
          <w:b/>
          <w:bCs/>
        </w:rPr>
        <w:t>Section B Q</w:t>
      </w:r>
      <w:r>
        <w:rPr>
          <w:b/>
          <w:bCs/>
        </w:rPr>
        <w:t>7</w:t>
      </w:r>
    </w:p>
    <w:p w14:paraId="6770B911" w14:textId="41C65AA7" w:rsidR="007E7F3E" w:rsidRDefault="007E7F3E" w:rsidP="007E7F3E">
      <w:r w:rsidRPr="007E7F3E">
        <w:t xml:space="preserve">Question 7a responses indicated a misunderstanding of total interest paid. Student responses that worked towards finding a total paid were rewarded one mark for this part of the calculation. Other responses stopped when the total paid had been calculated. Sample 1 shows a calculation for the total paid and was awarded one mark. Sample 2 included all calculation components, all presented in a mathematically correct format and with a correct answer. This response was awarded the two marks. Students found show that question is challenging to include the correct mathematical and algebra reasoning to gain all marks available. </w:t>
      </w:r>
    </w:p>
    <w:p w14:paraId="4C5DF498" w14:textId="77777777" w:rsidR="007E7F3E" w:rsidRDefault="007E7F3E" w:rsidP="007E7F3E">
      <w:r w:rsidRPr="007E7F3E">
        <w:t xml:space="preserve">In Question 7b, students who correctly calculated either the flat rate cost or the unit cost were awarded one mark. The second mark was only awarded when all aspects of the response was correct. The two samples shown for Question 7b Part 1 offer slightly different approaches to the solution offered as part of the External Assessment Report. Both were awarded the two marks available for this question. The responses on Sample 3 includes detailed working and correct mathematical statements, but none of them assist in progressing towards the expected solution. This response received zero marks. If the third line included the multiplication of 15,000 times 0.03, that would've been enough working to have one mark awarded. </w:t>
      </w:r>
    </w:p>
    <w:p w14:paraId="346905E1" w14:textId="3C1352D8" w:rsidR="007E7F3E" w:rsidRDefault="007E7F3E" w:rsidP="007E7F3E">
      <w:r w:rsidRPr="007E7F3E">
        <w:t xml:space="preserve">A variety of approaches were used by students who provided a response to Question 7b Part 2. Most set up an equation of logic, while others used a structured trial and error approach. The sample shown for Question 7b Part 2 provide two different approaches. Both of these were awarded the one mark available. The first calculates the amount to reach and then states the number of years. This is then validated via substitution. The second use is an algebraic approach that ends at the same result. As the question is worth one mark, just an answer of six years was also sufficient. </w:t>
      </w:r>
    </w:p>
    <w:p w14:paraId="1066061B" w14:textId="2573AD4A" w:rsidR="009F7C8C" w:rsidRDefault="009F7C8C" w:rsidP="009F7C8C">
      <w:pPr>
        <w:spacing w:before="0" w:after="160" w:line="259" w:lineRule="auto"/>
      </w:pPr>
      <w:r w:rsidRPr="009F7C8C">
        <w:rPr>
          <w:b/>
          <w:bCs/>
        </w:rPr>
        <w:t>Section B Q</w:t>
      </w:r>
      <w:r>
        <w:rPr>
          <w:b/>
          <w:bCs/>
        </w:rPr>
        <w:t>8</w:t>
      </w:r>
    </w:p>
    <w:p w14:paraId="22F3FDE9" w14:textId="204EF6FD" w:rsidR="007E7F3E" w:rsidRDefault="007E7F3E" w:rsidP="007E7F3E">
      <w:r w:rsidRPr="007E7F3E">
        <w:lastRenderedPageBreak/>
        <w:t xml:space="preserve">Question 8a was another show that question, and a large proportion of the cohort had trouble, including the required mathematical and algebraic reasoning. There were many attempts that included parts of the required response, but also many that lacked the required precision. Sample 1 shows an acceptable response to the show that question, with part of the working being included in the stem information, In this case, showing that for the work-related mobile usage the $150 needed to be multiplied by 12. This result was then included in the show that calculation. Sample 2 was not presented in a correct mathematical or algebraic form, even though it included most of the calculations needed. This response received zero marks. </w:t>
      </w:r>
    </w:p>
    <w:p w14:paraId="2E1715B2" w14:textId="77777777" w:rsidR="007E7F3E" w:rsidRDefault="007E7F3E" w:rsidP="007E7F3E">
      <w:r w:rsidRPr="007E7F3E">
        <w:t xml:space="preserve">Question 8b required students to identify the correct tax bracket for the presented table, and then undertake a calculation to find the tax payable. The identification of the relevant section of the table was the first task, and the second was to interpret how the given value would be used. The added complexity was evident in the statistic of no marks being awarded to a number of students for this question. It should also be noted that as this question was worth two marks, some working was required as part of the student response. One mark was awarded for correctly identifying the correct tax bracket to use. For students who were able to engage in the question, a variety of presentations were acceptable. The two samples shown, both approach the solving process in a similar manner. They represent good examples of how the calculations can be applied correctly. Both responses were awarded the two marks available. In contrast, the student sample shown on this slide did not exhibit the precision and mathematical correctness expected for this solution. </w:t>
      </w:r>
    </w:p>
    <w:p w14:paraId="3B315AD9" w14:textId="77777777" w:rsidR="007E7F3E" w:rsidRDefault="007E7F3E" w:rsidP="007E7F3E">
      <w:r w:rsidRPr="007E7F3E">
        <w:t xml:space="preserve">In Sample 3, the first line of working was a crucial calculation and was awarded one mark. The second line of working is not mathematically correct, and therefore is not eligible for the second mark. Students must be aware of the importance of an equal sign and ensure it is correctly placed throughout the working steps. If its use creates incorrect mathematics, the response will be viewed as obtaining a correct answer from incorrect mathematics, which cannot receive full marks. </w:t>
      </w:r>
    </w:p>
    <w:p w14:paraId="686805AA" w14:textId="46A8221C" w:rsidR="007E7F3E" w:rsidRDefault="007E7F3E" w:rsidP="007E7F3E">
      <w:r w:rsidRPr="007E7F3E">
        <w:t xml:space="preserve">In Sample 4, the working to the left of the equal sign is correct, hence one mark was awarded. The evaluation of this working was incorrect, and therefore the second mark was not awarded. Again, it is important to remember that all aspects of the solution must be correct to receive full marks. </w:t>
      </w:r>
    </w:p>
    <w:p w14:paraId="442F3A85" w14:textId="77777777" w:rsidR="007E7F3E" w:rsidRDefault="007E7F3E" w:rsidP="007E7F3E">
      <w:r w:rsidRPr="007E7F3E">
        <w:t xml:space="preserve">Observations of Question 8c responses showed students' confusion in which value they should use to calculate superannuation, and secondly, how to calculate the personal contributions total. Some responses showed an 11% calculation of the taxable income, while others were calculated on the gross income plus personal contributions. One mark was awarded for finding either the total of personal contributions, or the superannuation guarantee total. </w:t>
      </w:r>
    </w:p>
    <w:p w14:paraId="01F6722C" w14:textId="5B4982F0" w:rsidR="007E7F3E" w:rsidRDefault="007E7F3E" w:rsidP="007E7F3E">
      <w:r w:rsidRPr="007E7F3E">
        <w:lastRenderedPageBreak/>
        <w:t xml:space="preserve">The responses in Sample 3 includes the calculation for the total of the carpenter's personal contributions in the first line. This was enough to be awarded one mark. The final answer is </w:t>
      </w:r>
      <w:r w:rsidR="00DB5120" w:rsidRPr="007E7F3E">
        <w:t>incorrect;</w:t>
      </w:r>
      <w:r w:rsidRPr="007E7F3E">
        <w:t xml:space="preserve"> therefore, the second mark was not awarded. Sample 4 has the correct working included for both the superannuation and total personal contributions. Either being included was enough for the award of one mark. The final answer on close inspection is missing a four, and is therefore incorrect. This response only received the one mark. </w:t>
      </w:r>
    </w:p>
    <w:p w14:paraId="289569D4" w14:textId="1BF94240" w:rsidR="009F7C8C" w:rsidRPr="009F7C8C" w:rsidRDefault="009F7C8C" w:rsidP="009F7C8C">
      <w:pPr>
        <w:spacing w:before="0" w:after="160" w:line="259" w:lineRule="auto"/>
        <w:rPr>
          <w:b/>
          <w:bCs/>
        </w:rPr>
      </w:pPr>
      <w:r w:rsidRPr="009F7C8C">
        <w:rPr>
          <w:b/>
          <w:bCs/>
        </w:rPr>
        <w:t>Section B Q</w:t>
      </w:r>
      <w:r>
        <w:rPr>
          <w:b/>
          <w:bCs/>
        </w:rPr>
        <w:t>9</w:t>
      </w:r>
    </w:p>
    <w:p w14:paraId="57039787" w14:textId="61CBC347" w:rsidR="007E7F3E" w:rsidRDefault="007E7F3E" w:rsidP="007E7F3E">
      <w:r w:rsidRPr="007E7F3E">
        <w:t xml:space="preserve">All parts of Question 9 were a challenge for students. Question 9a began with a show that question. Many students used the interest rate value as part of their calculation, rather than finding or calculating it. The working provided in the External Assessment Report is one example of showing the interest rate that was required. Sample 1 shows an approach using the simple interest rule with the crucial piece of working being on the right of the vertical partition. This calculation correctly displays the show that requirement. Sample 2, although calculating the required interest rate, uses an incorrect balance value and was not awarded the mark available for this question. </w:t>
      </w:r>
    </w:p>
    <w:p w14:paraId="7F9A2CBA" w14:textId="77777777" w:rsidR="007E7F3E" w:rsidRDefault="007E7F3E" w:rsidP="007E7F3E">
      <w:r w:rsidRPr="007E7F3E">
        <w:t xml:space="preserve">Some student responses for Question 9b showed inaccuracies in the calculations for either one or the other of the three month totals. This then led to inaccuracies with the actual difference between the two totals. Other responses calculated correct three month totals but then found an inaccurate difference. Many students did not include a reason for the difference, and therefore could not access the second mark available for this question part. Sample 1 response includes the total interest for the first three and the second three months respectively. This inclusion was awarded one mark. As the difference was not calculated and included, the second mark was not awarded. In the response for Sample 2, the total for the first three months was correct, but the difference was incorrect. This was not awarded the first mark. The reasoning for the difference was correct, and this part of the response was awarded one mark. </w:t>
      </w:r>
    </w:p>
    <w:p w14:paraId="5E16496C" w14:textId="77777777" w:rsidR="007E7F3E" w:rsidRDefault="007E7F3E" w:rsidP="007E7F3E">
      <w:r w:rsidRPr="007E7F3E">
        <w:t xml:space="preserve">Again, being a show that question, Question 9c had the precision and accuracy missing in many of the student responses. One mark was awarded in this question if students included a calculation that found either the interest per month, or attempted to find the interest per year by multiplying by 12. The two samples provided for Question 9c show slightly different approaches, but both include the relevant precision and accuracy to be awarded the two marks available for this question. Sample 3 for Question 9c includes an incorrect mathematical statement in the second line. As this response lacks the precision and accuracy required, it was only awarded one mark. </w:t>
      </w:r>
    </w:p>
    <w:p w14:paraId="7F66BA4D" w14:textId="515F61E4" w:rsidR="009F7C8C" w:rsidRPr="009F7C8C" w:rsidRDefault="009F7C8C" w:rsidP="009F7C8C">
      <w:pPr>
        <w:spacing w:before="0" w:after="160" w:line="259" w:lineRule="auto"/>
        <w:rPr>
          <w:b/>
          <w:bCs/>
        </w:rPr>
      </w:pPr>
      <w:r w:rsidRPr="009F7C8C">
        <w:rPr>
          <w:b/>
          <w:bCs/>
        </w:rPr>
        <w:t>Section B Q</w:t>
      </w:r>
      <w:r>
        <w:rPr>
          <w:b/>
          <w:bCs/>
        </w:rPr>
        <w:t>10</w:t>
      </w:r>
    </w:p>
    <w:p w14:paraId="0F813321" w14:textId="446F5D9A" w:rsidR="007E7F3E" w:rsidRDefault="007E7F3E" w:rsidP="007E7F3E">
      <w:r w:rsidRPr="007E7F3E">
        <w:lastRenderedPageBreak/>
        <w:t xml:space="preserve">Question 10 was not attempted by most of the students. Of the student responses that were observed, many showed inaccurate calculation for the area required. The two samples shown give contrasting approaches to answering the question. Sample 1 includes the calculations as part of the stem material, and then proceeds to give a correct area. Sample 2 uses a more mathematical approach with all detail included, also leading to the calculation of a correct area. Both sample responses were awarded the one mark available for this question. It should also be noted that an answer of 552 square metres with no accompanying working would've also been awarded one mark. </w:t>
      </w:r>
    </w:p>
    <w:p w14:paraId="2A0F6F10" w14:textId="77777777" w:rsidR="007E7F3E" w:rsidRDefault="007E7F3E" w:rsidP="007E7F3E">
      <w:r w:rsidRPr="007E7F3E">
        <w:t xml:space="preserve">Many students did not respond to Question 10b Part 1. Of the responses that were provided, many could not accurately find the area of the shaded region. One mark was awarded to calculations that showed a volume was required, and therefore included the multiplication of 0.15. In Sample 1, working is included that attempts to find the area of the path. This calculation was incorrect, and therefore the correct answer cannot ultimately be found. However, the working does include a multiplication of 0.15, indicating a volume was being considered. The inclusion of this multiplication was enough for the response to be awarded one mark. Sample 2 adds a series of values together to find a solution that is incorrect. It's not clear where these values have originated and if there is the inclusion of the multiplication by 0.15. Due to the lack of detail in this response, it was awarded zero marks. In questions worth more than one mark, it is useful to try and include as much detail and clarity as possible. </w:t>
      </w:r>
    </w:p>
    <w:p w14:paraId="69D99EDD" w14:textId="77777777" w:rsidR="007E7F3E" w:rsidRDefault="007E7F3E" w:rsidP="007E7F3E">
      <w:r w:rsidRPr="007E7F3E">
        <w:t xml:space="preserve">The reduced number of responses for Question 10b Part 1 meant that there would be a limited number of responses to Question 10b Part 2. For those responses that were seen, many correctly calculated the required cost via the multiplication of both 1,000 and 1.5. </w:t>
      </w:r>
    </w:p>
    <w:p w14:paraId="7698F1F7" w14:textId="77777777" w:rsidR="007E7F3E" w:rsidRDefault="007E7F3E" w:rsidP="007E7F3E">
      <w:r w:rsidRPr="007E7F3E">
        <w:t xml:space="preserve">Few responses were presented by the cohort for Question 10c. Of those responses that were seen, the conversion into hours was ignored by some, thus leaving an answer of 524 in minutes. Although correct, it was not expressed in the units required by the question. </w:t>
      </w:r>
    </w:p>
    <w:p w14:paraId="0EE1417D" w14:textId="7BC313DC" w:rsidR="009F7C8C" w:rsidRPr="009F7C8C" w:rsidRDefault="009F7C8C" w:rsidP="009F7C8C">
      <w:pPr>
        <w:spacing w:before="0" w:after="160" w:line="259" w:lineRule="auto"/>
        <w:rPr>
          <w:b/>
          <w:bCs/>
        </w:rPr>
      </w:pPr>
      <w:r w:rsidRPr="009F7C8C">
        <w:rPr>
          <w:b/>
          <w:bCs/>
        </w:rPr>
        <w:t>Section B Q</w:t>
      </w:r>
      <w:r>
        <w:rPr>
          <w:b/>
          <w:bCs/>
        </w:rPr>
        <w:t>11</w:t>
      </w:r>
    </w:p>
    <w:p w14:paraId="3D7A0D79" w14:textId="533B5081" w:rsidR="007E7F3E" w:rsidRDefault="007E7F3E" w:rsidP="007E7F3E">
      <w:r w:rsidRPr="007E7F3E">
        <w:t xml:space="preserve">Question 11a required students to interpret a house plan by using the provided measurements to calculate the length and width dimensions. If students correctly found either one of the dimensions, they were awarded one mark. Student responses showed some confusion in which values represented length and width. There was an expectation students would align the provided measurement values to length or width based on the size of the lines indicated in the plan. Other correct responses incorporated the dimensions of the entry into their length calculations. This sample response is a good example of how the student placed their working in </w:t>
      </w:r>
      <w:r w:rsidRPr="007E7F3E">
        <w:lastRenderedPageBreak/>
        <w:t xml:space="preserve">and around the diagram to help calculate the appropriate dimensions, and then followed up with the correct values written in the allocated space for Part A. </w:t>
      </w:r>
    </w:p>
    <w:p w14:paraId="1F5007FC" w14:textId="77777777" w:rsidR="007E7F3E" w:rsidRDefault="007E7F3E" w:rsidP="007E7F3E">
      <w:r w:rsidRPr="007E7F3E">
        <w:t xml:space="preserve">Question 11b required an initial calculation of the living room area. This calculation was enough to be awarded one mark for this question. The calculation could have been located on the house plan or as part of the stem information for this question. Many students who attempted this question were awarded the two marks available. Sample 1 was awarded one mark. The highest cost is incorrect, but the lowest cost is correct. Sample 2 was awarded two marks. Note the calculation of the living room area was included within the region of the stem information. If the living room area was the only response for this question, it would've been enough for the award of one mark. </w:t>
      </w:r>
    </w:p>
    <w:p w14:paraId="62492118" w14:textId="77777777" w:rsidR="007E7F3E" w:rsidRDefault="007E7F3E" w:rsidP="007E7F3E">
      <w:r w:rsidRPr="007E7F3E">
        <w:t xml:space="preserve">In Question 11c, the student responses generally included correct calculations to find an appropriate unit cost. Many students did not attempt this question. For the students who included responses to Question 12a, many students misinterpreted the quoted scale ratio. Some students thought it represented one to nine, and went ahead to multiply the given values by nine. Other responses went on to calculate a volume using the dimensions given. </w:t>
      </w:r>
    </w:p>
    <w:p w14:paraId="2A506524" w14:textId="5229770A" w:rsidR="009F7C8C" w:rsidRPr="009F7C8C" w:rsidRDefault="009F7C8C" w:rsidP="009F7C8C">
      <w:pPr>
        <w:spacing w:before="0" w:after="160" w:line="259" w:lineRule="auto"/>
        <w:rPr>
          <w:b/>
          <w:bCs/>
        </w:rPr>
      </w:pPr>
      <w:r w:rsidRPr="009F7C8C">
        <w:rPr>
          <w:b/>
          <w:bCs/>
        </w:rPr>
        <w:t>Section B Q</w:t>
      </w:r>
      <w:r>
        <w:rPr>
          <w:b/>
          <w:bCs/>
        </w:rPr>
        <w:t>12</w:t>
      </w:r>
    </w:p>
    <w:p w14:paraId="2BA11229" w14:textId="05DDE067" w:rsidR="007E7F3E" w:rsidRDefault="007E7F3E" w:rsidP="007E7F3E">
      <w:r w:rsidRPr="007E7F3E">
        <w:t xml:space="preserve">In Question 12b, some confusion was shown in student responses based on the pictorial image prompt. Students were awarded one mark if they rotated the letters correctly, or they reduced the letters using the correct scale, or they sketched one letter correctly. The samples shown give two correct options for the award of both marks. There was no requirement for the letters to be placed in a certain position on the grid, only that they were drawn correctly. This question, the last one on the 2024 paper did not have many student responses to assess. Of the responses that were included, most went on to be awarded both marks available for this question. The conversion of cubic metres to litres was a crucial part of the solution process, and when applied correctly, it resulted in the correct number of fish being found for the available volume. </w:t>
      </w:r>
    </w:p>
    <w:p w14:paraId="692280C3" w14:textId="2A87825E" w:rsidR="00241251" w:rsidRPr="007E7F3E" w:rsidRDefault="007E7F3E" w:rsidP="007E7F3E">
      <w:r w:rsidRPr="007E7F3E">
        <w:t xml:space="preserve">This completes the review, analysis, and discussion of the Foundation Mathematics Examination questions found in Section B. This recording is part of a pilot initiative designed to complement the External Assessor Report by providing additional insights into student performances, strengths, weaknesses, and guidance for improvement. As a pilot, your feedback is especially important. We want to know what worked well in this recording, what could we do even better? Did it meet your needs as a teacher and enhance your understanding beyond the External Assessor Report? Do you have questions or wonders about the data or guidance provided? Your insights will help us decide whether to continue this format for the 2025 exam period, and guide us in identifying additional support or resources needed to assist </w:t>
      </w:r>
      <w:r w:rsidRPr="007E7F3E">
        <w:lastRenderedPageBreak/>
        <w:t>teachers in enhancing teaching and learning outcomes. Your input is invaluable to refining and improving how we support educators like you in 2025. Please complete this survey to help us support teachers in the 2025 examination cycle.</w:t>
      </w:r>
    </w:p>
    <w:p w14:paraId="0FECC67A" w14:textId="0DDC9402" w:rsidR="00C44A8F" w:rsidRPr="009961EA" w:rsidRDefault="009F7C8C"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BF90" w14:textId="77777777" w:rsidR="00021AE3" w:rsidRDefault="00021AE3" w:rsidP="00283640">
      <w:pPr>
        <w:spacing w:before="0" w:after="0" w:line="240" w:lineRule="auto"/>
      </w:pPr>
      <w:r>
        <w:separator/>
      </w:r>
    </w:p>
  </w:endnote>
  <w:endnote w:type="continuationSeparator" w:id="0">
    <w:p w14:paraId="69FA9D0C" w14:textId="77777777" w:rsidR="00021AE3" w:rsidRDefault="00021AE3"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E736" w14:textId="77777777" w:rsidR="00021AE3" w:rsidRDefault="00021AE3" w:rsidP="00283640">
      <w:pPr>
        <w:spacing w:before="0" w:after="0" w:line="240" w:lineRule="auto"/>
      </w:pPr>
      <w:r>
        <w:separator/>
      </w:r>
    </w:p>
  </w:footnote>
  <w:footnote w:type="continuationSeparator" w:id="0">
    <w:p w14:paraId="10E63AAF" w14:textId="77777777" w:rsidR="00021AE3" w:rsidRDefault="00021AE3" w:rsidP="002836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1085"/>
    <w:multiLevelType w:val="hybridMultilevel"/>
    <w:tmpl w:val="93A6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247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1AE3"/>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35C74"/>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55359"/>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87B34"/>
    <w:rsid w:val="004C7AA7"/>
    <w:rsid w:val="004E3D83"/>
    <w:rsid w:val="004E5AD3"/>
    <w:rsid w:val="004E5ED6"/>
    <w:rsid w:val="00510141"/>
    <w:rsid w:val="0052460F"/>
    <w:rsid w:val="00524C41"/>
    <w:rsid w:val="0053233E"/>
    <w:rsid w:val="0054108D"/>
    <w:rsid w:val="00543265"/>
    <w:rsid w:val="0054384B"/>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7E7F3E"/>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9F7C8C"/>
    <w:rsid w:val="00A02591"/>
    <w:rsid w:val="00A06CAC"/>
    <w:rsid w:val="00A10492"/>
    <w:rsid w:val="00A23CF5"/>
    <w:rsid w:val="00A3299D"/>
    <w:rsid w:val="00A4096D"/>
    <w:rsid w:val="00A41BBF"/>
    <w:rsid w:val="00A464F3"/>
    <w:rsid w:val="00A53A00"/>
    <w:rsid w:val="00A57861"/>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B5120"/>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2.xml><?xml version="1.0" encoding="utf-8"?>
<ds:datastoreItem xmlns:ds="http://schemas.openxmlformats.org/officeDocument/2006/customXml" ds:itemID="{7CD19013-6A18-4D84-A459-38F6157053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5658</Words>
  <Characters>32253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VCE_English_Exam</vt:lpstr>
    </vt:vector>
  </TitlesOfParts>
  <Company>Victorian Curriculum and Assessment Authority (VCAA)</Company>
  <LinksUpToDate>false</LinksUpToDate>
  <CharactersWithSpaces>37836</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Foundation_Mathematics_Examination</dc:title>
  <dc:subject>VCE Foundation Mathematics</dc:subject>
  <dc:creator>VCAA</dc:creator>
  <cp:keywords>VCE Foundation Mathematics, Examination</cp:keywords>
  <dc:description/>
  <cp:lastModifiedBy>Mary Rose</cp:lastModifiedBy>
  <cp:revision>4</cp:revision>
  <dcterms:created xsi:type="dcterms:W3CDTF">2025-02-07T00:11:00Z</dcterms:created>
  <dcterms:modified xsi:type="dcterms:W3CDTF">2025-02-17T23:18:00Z</dcterms:modified>
  <cp:category>VCE Foundation Mathematics, Examination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