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7976" w14:textId="77777777" w:rsidR="007C7296" w:rsidRPr="00EF5CD7" w:rsidRDefault="00D94564" w:rsidP="007C7296">
      <w:bookmarkStart w:id="0" w:name="_Hlk204611474"/>
      <w:r w:rsidRPr="007C7296">
        <w:rPr>
          <w:b/>
          <w:bCs/>
        </w:rPr>
        <w:t>Frances Holl</w:t>
      </w:r>
      <w:r>
        <w:t xml:space="preserve"> </w:t>
      </w:r>
      <w:bookmarkEnd w:id="0"/>
      <w:r>
        <w:t xml:space="preserve">- </w:t>
      </w:r>
      <w:r w:rsidR="007C7296" w:rsidRPr="00EF5CD7">
        <w:t xml:space="preserve">Welcome to our on-demand video about the ‘Australian focus’ in the CCAFL Languages study design. During this video, we will unpack what ‘Australian focus’ means, why this is important and where it </w:t>
      </w:r>
      <w:proofErr w:type="gramStart"/>
      <w:r w:rsidR="007C7296" w:rsidRPr="00EF5CD7">
        <w:t>is located in</w:t>
      </w:r>
      <w:proofErr w:type="gramEnd"/>
      <w:r w:rsidR="007C7296" w:rsidRPr="00EF5CD7">
        <w:t xml:space="preserve"> the study design. This will include looking at the key knowledge and key skills, the teaching and learning activities, and assessment tasks.</w:t>
      </w:r>
    </w:p>
    <w:p w14:paraId="02108700" w14:textId="77777777" w:rsidR="007C7296" w:rsidRPr="00EF5CD7" w:rsidRDefault="007C7296" w:rsidP="007C7296">
      <w:r w:rsidRPr="00EF5CD7">
        <w:t>As you view this on-demand video, you will notice that the study design is regularly referenced. You may like to have a copy of this available throughout the video.</w:t>
      </w:r>
    </w:p>
    <w:p w14:paraId="34D98C85" w14:textId="1CDA04A3" w:rsidR="007C7296" w:rsidRPr="00EF5CD7" w:rsidRDefault="007C7296" w:rsidP="00F122E9">
      <w:r w:rsidRPr="00EF5CD7">
        <w:t>The ‘Australian focus’</w:t>
      </w:r>
      <w:r w:rsidR="00F122E9">
        <w:t xml:space="preserve"> m</w:t>
      </w:r>
      <w:r w:rsidRPr="00EF5CD7">
        <w:t xml:space="preserve">ay promote understanding of different attitudes, </w:t>
      </w:r>
      <w:r w:rsidR="00F122E9" w:rsidRPr="00EF5CD7">
        <w:t>values,</w:t>
      </w:r>
      <w:r w:rsidRPr="00EF5CD7">
        <w:t xml:space="preserve"> and perspectives both within an Australian context, </w:t>
      </w:r>
      <w:proofErr w:type="gramStart"/>
      <w:r w:rsidRPr="00EF5CD7">
        <w:t>and also</w:t>
      </w:r>
      <w:proofErr w:type="gramEnd"/>
      <w:r w:rsidRPr="00EF5CD7">
        <w:t xml:space="preserve"> the global community. Students learn more about this by studying a subtopic with a focus on Australia.</w:t>
      </w:r>
      <w:r w:rsidR="00F122E9">
        <w:t xml:space="preserve"> </w:t>
      </w:r>
      <w:r w:rsidRPr="00EF5CD7">
        <w:t>As part of this subtopic, students may explore comparisons between Australia and countries or communities where the target language is spoken.</w:t>
      </w:r>
      <w:r w:rsidR="00F122E9">
        <w:t xml:space="preserve"> </w:t>
      </w:r>
      <w:r w:rsidRPr="00EF5CD7">
        <w:t xml:space="preserve">The teaching and learning activities may help students to develop their understanding of significant social, </w:t>
      </w:r>
      <w:proofErr w:type="gramStart"/>
      <w:r w:rsidRPr="00EF5CD7">
        <w:t>cultural</w:t>
      </w:r>
      <w:proofErr w:type="gramEnd"/>
      <w:r w:rsidRPr="00EF5CD7">
        <w:t xml:space="preserve"> and economic contributions made in the Australian context.</w:t>
      </w:r>
    </w:p>
    <w:p w14:paraId="18F0A68E" w14:textId="77777777" w:rsidR="007C7296" w:rsidRPr="00EF5CD7" w:rsidRDefault="007C7296" w:rsidP="007C7296">
      <w:r w:rsidRPr="00EF5CD7">
        <w:t>The ‘Australian focus’ is an important feature in the study design, given Australia’s multilingual and multicultural society. This focus allows students to explore aspects of Australian society in culturally and linguistically appropriate ways. Students may also be able to further connect with communities where the target language is spoken, as they explore different attitudes and values within the wider Australian community.</w:t>
      </w:r>
    </w:p>
    <w:p w14:paraId="63326010" w14:textId="77777777" w:rsidR="007C7296" w:rsidRPr="00EF5CD7" w:rsidRDefault="007C7296" w:rsidP="007C7296">
      <w:r w:rsidRPr="00EF5CD7">
        <w:t>So, where does the ‘Australian focus’ feature in the study design?</w:t>
      </w:r>
    </w:p>
    <w:p w14:paraId="1E9C34C9" w14:textId="09EF01C9" w:rsidR="007C7296" w:rsidRPr="00EF5CD7" w:rsidRDefault="007C7296" w:rsidP="007C7296">
      <w:r w:rsidRPr="00EF5CD7">
        <w:t xml:space="preserve">You will note that the Australian focus is explicitly referenced in </w:t>
      </w:r>
      <w:r w:rsidR="00F122E9">
        <w:t>u</w:t>
      </w:r>
      <w:r w:rsidRPr="00EF5CD7">
        <w:t xml:space="preserve">nit </w:t>
      </w:r>
      <w:r w:rsidR="00F122E9">
        <w:t>two</w:t>
      </w:r>
      <w:r w:rsidRPr="00EF5CD7">
        <w:t xml:space="preserve"> </w:t>
      </w:r>
      <w:r w:rsidR="00F122E9">
        <w:t>a</w:t>
      </w:r>
      <w:r w:rsidRPr="00EF5CD7">
        <w:t xml:space="preserve">rea of </w:t>
      </w:r>
      <w:r w:rsidR="00F122E9">
        <w:t>s</w:t>
      </w:r>
      <w:r w:rsidRPr="00EF5CD7">
        <w:t xml:space="preserve">tudy </w:t>
      </w:r>
      <w:r w:rsidR="00F122E9">
        <w:t>three</w:t>
      </w:r>
      <w:r w:rsidRPr="00EF5CD7">
        <w:t xml:space="preserve">, and that the outcome requires students to deliver a spoken presentation on a subtopic related to Australia. This is where the link to Australia </w:t>
      </w:r>
      <w:r w:rsidR="00F122E9">
        <w:t>must</w:t>
      </w:r>
      <w:r w:rsidRPr="00EF5CD7">
        <w:t xml:space="preserve"> be featured.</w:t>
      </w:r>
    </w:p>
    <w:p w14:paraId="69A1B6DE" w14:textId="6C05DEC0" w:rsidR="007C7296" w:rsidRPr="00EF5CD7" w:rsidRDefault="007C7296" w:rsidP="007C7296">
      <w:r w:rsidRPr="00EF5CD7">
        <w:t xml:space="preserve">When planning, it is important to note that </w:t>
      </w:r>
      <w:r w:rsidR="00F122E9">
        <w:t>some</w:t>
      </w:r>
      <w:r w:rsidRPr="00EF5CD7">
        <w:t xml:space="preserve"> subtopics may be more suited to the ‘Australian focus’ than others, and teachers are encouraged to see the ‘Suggested subtopics’ document on the language study page for examples.</w:t>
      </w:r>
    </w:p>
    <w:p w14:paraId="7BF15729" w14:textId="77777777" w:rsidR="007C7296" w:rsidRPr="00EF5CD7" w:rsidRDefault="007C7296" w:rsidP="007C7296">
      <w:r w:rsidRPr="00EF5CD7">
        <w:t>When creating a teaching and learning plan, it is important to consider the key knowledge and key skills listed in the study design for each Area of Study. The teaching and learning activities and assessment tasks will be based on these.</w:t>
      </w:r>
    </w:p>
    <w:p w14:paraId="79F82EC3" w14:textId="3F3FB2DE" w:rsidR="007C7296" w:rsidRPr="00EF5CD7" w:rsidRDefault="007C7296" w:rsidP="00F122E9">
      <w:r w:rsidRPr="00EF5CD7">
        <w:t xml:space="preserve">Here you can see examples of key knowledge and key skills for </w:t>
      </w:r>
      <w:r w:rsidR="00F122E9">
        <w:t>u</w:t>
      </w:r>
      <w:r w:rsidRPr="00EF5CD7">
        <w:t xml:space="preserve">nit </w:t>
      </w:r>
      <w:r w:rsidR="00F122E9">
        <w:t>two o</w:t>
      </w:r>
      <w:r w:rsidRPr="00EF5CD7">
        <w:t xml:space="preserve">utcome </w:t>
      </w:r>
      <w:r w:rsidR="00F122E9">
        <w:t>three</w:t>
      </w:r>
      <w:r w:rsidRPr="00EF5CD7">
        <w:t xml:space="preserve"> which explicitly reference the Australian focus, for example</w:t>
      </w:r>
      <w:r w:rsidR="00F122E9">
        <w:t xml:space="preserve">, </w:t>
      </w:r>
      <w:r w:rsidRPr="00EF5CD7">
        <w:rPr>
          <w:lang w:val="en-GB"/>
        </w:rPr>
        <w:t>understanding of one or more aspects of Australian society</w:t>
      </w:r>
      <w:r w:rsidR="00F122E9">
        <w:rPr>
          <w:lang w:val="en-GB"/>
        </w:rPr>
        <w:t>.</w:t>
      </w:r>
      <w:r w:rsidR="00F122E9">
        <w:t xml:space="preserve"> E</w:t>
      </w:r>
      <w:r w:rsidRPr="00EF5CD7">
        <w:t>xplain an aspect of the subtopic related to Australia through an original spoken presentation</w:t>
      </w:r>
      <w:r w:rsidR="00F122E9">
        <w:t xml:space="preserve">. </w:t>
      </w:r>
      <w:r w:rsidRPr="00EF5CD7">
        <w:t xml:space="preserve">And select relevant examples to present an aspect of Australian </w:t>
      </w:r>
      <w:r w:rsidR="00F122E9" w:rsidRPr="00EF5CD7">
        <w:t>society.</w:t>
      </w:r>
      <w:r w:rsidRPr="00EF5CD7">
        <w:t xml:space="preserve"> </w:t>
      </w:r>
    </w:p>
    <w:p w14:paraId="4126D5B7" w14:textId="77777777" w:rsidR="007C7296" w:rsidRPr="00EF5CD7" w:rsidRDefault="007C7296" w:rsidP="007C7296">
      <w:r w:rsidRPr="00EF5CD7">
        <w:t xml:space="preserve">On the study page you will find sample learning activities that give examples of classroom activities that could be used when teaching different subtopics. </w:t>
      </w:r>
    </w:p>
    <w:p w14:paraId="2D1AD929" w14:textId="40F5DF6D" w:rsidR="007C7296" w:rsidRPr="00EF5CD7" w:rsidRDefault="007C7296" w:rsidP="00F122E9">
      <w:r w:rsidRPr="00EF5CD7">
        <w:t xml:space="preserve">Here you will see an example from Hungarian, focusing on </w:t>
      </w:r>
      <w:r w:rsidR="00F122E9">
        <w:t>t</w:t>
      </w:r>
      <w:r w:rsidRPr="00EF5CD7">
        <w:t>he concept ‘legacy’ from the ‘community perspective</w:t>
      </w:r>
      <w:r w:rsidR="00F122E9">
        <w:t>, a</w:t>
      </w:r>
      <w:r w:rsidRPr="00EF5CD7">
        <w:t>nd focusing on the Topic ‘Hungarian-speaking culture’</w:t>
      </w:r>
      <w:r w:rsidR="00F122E9">
        <w:t xml:space="preserve">. </w:t>
      </w:r>
      <w:r w:rsidRPr="00EF5CD7">
        <w:t xml:space="preserve">As you can see, the selected subtopic is ‘Hungarian cuisine and its influence’. </w:t>
      </w:r>
    </w:p>
    <w:p w14:paraId="6690DF05" w14:textId="2E4FAD4D" w:rsidR="007C7296" w:rsidRPr="00EF5CD7" w:rsidRDefault="007C7296" w:rsidP="007C7296">
      <w:r w:rsidRPr="00EF5CD7">
        <w:t>When we look more closely at the teaching and learning activities, we see references to Australia. For example</w:t>
      </w:r>
      <w:r w:rsidR="00F122E9">
        <w:t xml:space="preserve">, </w:t>
      </w:r>
      <w:r w:rsidRPr="00EF5CD7">
        <w:t>‘Examine the impact of different waves of migration on language and food culture in Australia. Present your findings through a digital presentation or poster.’</w:t>
      </w:r>
    </w:p>
    <w:p w14:paraId="5EC89E74" w14:textId="4FB1FAE5" w:rsidR="007C7296" w:rsidRDefault="007C7296" w:rsidP="007C7296">
      <w:r w:rsidRPr="00EF5CD7">
        <w:lastRenderedPageBreak/>
        <w:t>The sample learning activities may also provide examples of how students can reflect on their own experiences, for example, ‘Share personal experiences about how your food choices reflect your identity.’</w:t>
      </w:r>
    </w:p>
    <w:p w14:paraId="5173A799" w14:textId="77777777" w:rsidR="007C7296" w:rsidRPr="00EF5CD7" w:rsidRDefault="007C7296" w:rsidP="007C7296">
      <w:r w:rsidRPr="00EF5CD7">
        <w:t xml:space="preserve">When planning your school-based assessment tasks, it is important to ensure the outcome is designed to reflect the information provided in the study design. </w:t>
      </w:r>
    </w:p>
    <w:p w14:paraId="5CF18228" w14:textId="6DF4D8B7" w:rsidR="007C7296" w:rsidRPr="00EF5CD7" w:rsidRDefault="007C7296" w:rsidP="007C7296">
      <w:r w:rsidRPr="00EF5CD7">
        <w:t xml:space="preserve">As this is the outcome statement for </w:t>
      </w:r>
      <w:r w:rsidR="00F122E9">
        <w:t>u</w:t>
      </w:r>
      <w:r w:rsidRPr="00EF5CD7">
        <w:t xml:space="preserve">nit </w:t>
      </w:r>
      <w:r w:rsidR="00F122E9">
        <w:t>two</w:t>
      </w:r>
      <w:r w:rsidRPr="00EF5CD7">
        <w:t xml:space="preserve"> </w:t>
      </w:r>
      <w:r w:rsidR="00F122E9">
        <w:t>o</w:t>
      </w:r>
      <w:r w:rsidRPr="00EF5CD7">
        <w:t xml:space="preserve">utcome </w:t>
      </w:r>
      <w:r w:rsidR="00F122E9">
        <w:t>three</w:t>
      </w:r>
      <w:r w:rsidRPr="00EF5CD7">
        <w:t xml:space="preserve">, you can see the explicit reference to the ‘subtopic related to Australia’. </w:t>
      </w:r>
    </w:p>
    <w:p w14:paraId="381B0FC0" w14:textId="479C8171" w:rsidR="007C7296" w:rsidRPr="00EF5CD7" w:rsidRDefault="007C7296" w:rsidP="007C7296">
      <w:r w:rsidRPr="00EF5CD7">
        <w:t xml:space="preserve">You can also see how important the key knowledge and the key skills are when you read the outcome statement. This is evident in the final line, which states ‘applying the key knowledge and key skills outlined in </w:t>
      </w:r>
      <w:r w:rsidR="00F122E9">
        <w:t>a</w:t>
      </w:r>
      <w:r w:rsidRPr="00EF5CD7">
        <w:t xml:space="preserve">rea of </w:t>
      </w:r>
      <w:r w:rsidR="00F122E9">
        <w:t>s</w:t>
      </w:r>
      <w:r w:rsidRPr="00EF5CD7">
        <w:t xml:space="preserve">tudy </w:t>
      </w:r>
      <w:r w:rsidR="00F122E9">
        <w:t>three</w:t>
      </w:r>
      <w:r w:rsidRPr="00EF5CD7">
        <w:t xml:space="preserve">’. </w:t>
      </w:r>
    </w:p>
    <w:p w14:paraId="0137FCB7" w14:textId="61985B5A" w:rsidR="007C7296" w:rsidRPr="00EF5CD7" w:rsidRDefault="007C7296" w:rsidP="007C7296">
      <w:r w:rsidRPr="00EF5CD7">
        <w:t xml:space="preserve">Unlike </w:t>
      </w:r>
      <w:r w:rsidR="00F122E9">
        <w:t>u</w:t>
      </w:r>
      <w:r w:rsidRPr="00EF5CD7">
        <w:t xml:space="preserve">nits </w:t>
      </w:r>
      <w:r w:rsidR="00F122E9">
        <w:t>three</w:t>
      </w:r>
      <w:r w:rsidRPr="00EF5CD7">
        <w:t xml:space="preserve"> and </w:t>
      </w:r>
      <w:r w:rsidR="00F122E9">
        <w:t>four</w:t>
      </w:r>
      <w:r w:rsidRPr="00EF5CD7">
        <w:t xml:space="preserve">, assessment tasks are </w:t>
      </w:r>
      <w:r w:rsidR="00F122E9">
        <w:t>not</w:t>
      </w:r>
      <w:r w:rsidRPr="00EF5CD7">
        <w:t xml:space="preserve"> prescribed for </w:t>
      </w:r>
      <w:r w:rsidR="00F122E9">
        <w:t>u</w:t>
      </w:r>
      <w:r w:rsidRPr="00EF5CD7">
        <w:t xml:space="preserve">nit </w:t>
      </w:r>
      <w:r w:rsidR="00F122E9">
        <w:t>one</w:t>
      </w:r>
      <w:r w:rsidRPr="00EF5CD7">
        <w:t xml:space="preserve"> and </w:t>
      </w:r>
      <w:r w:rsidR="00F122E9">
        <w:t>u</w:t>
      </w:r>
      <w:r w:rsidRPr="00EF5CD7">
        <w:t xml:space="preserve">nit </w:t>
      </w:r>
      <w:r w:rsidR="00F122E9">
        <w:t>two</w:t>
      </w:r>
      <w:r w:rsidRPr="00EF5CD7">
        <w:t xml:space="preserve">. You will, however, find example assessment tasks in the study design. These examples are provided at the end of Unit 1 and Unit 2 to help support you in the development of the assessment tasks for your school. </w:t>
      </w:r>
    </w:p>
    <w:p w14:paraId="5BE6A24A" w14:textId="4C38B3D2" w:rsidR="007C7296" w:rsidRPr="00EF5CD7" w:rsidRDefault="007C7296" w:rsidP="007C7296">
      <w:r w:rsidRPr="00EF5CD7">
        <w:t xml:space="preserve">Here you can see the example assessment tasks provided for </w:t>
      </w:r>
      <w:r w:rsidR="00F122E9">
        <w:t>u</w:t>
      </w:r>
      <w:r w:rsidRPr="00EF5CD7">
        <w:t xml:space="preserve">nit </w:t>
      </w:r>
      <w:r w:rsidR="00F122E9">
        <w:t>two</w:t>
      </w:r>
      <w:r w:rsidRPr="00EF5CD7">
        <w:t xml:space="preserve"> </w:t>
      </w:r>
      <w:r w:rsidR="00F122E9">
        <w:t>o</w:t>
      </w:r>
      <w:r w:rsidRPr="00EF5CD7">
        <w:t xml:space="preserve">utcome </w:t>
      </w:r>
      <w:r w:rsidR="00F122E9">
        <w:t>three</w:t>
      </w:r>
      <w:r w:rsidRPr="00EF5CD7">
        <w:t>. Each example has an explicit reference to the ‘Australian focus’.</w:t>
      </w:r>
    </w:p>
    <w:p w14:paraId="39ECD85C" w14:textId="77777777" w:rsidR="007C7296" w:rsidRPr="00EF5CD7" w:rsidRDefault="007C7296" w:rsidP="007C7296">
      <w:r w:rsidRPr="00EF5CD7">
        <w:t xml:space="preserve">Where teachers allow students to choose between tasks, they must ensure that the tasks set are of comparable scope and demand. </w:t>
      </w:r>
    </w:p>
    <w:p w14:paraId="4E3520CE" w14:textId="0E986F38" w:rsidR="007C7296" w:rsidRPr="00EF5CD7" w:rsidRDefault="007C7296" w:rsidP="007C7296">
      <w:r w:rsidRPr="00EF5CD7">
        <w:t xml:space="preserve">But schools and teachers may also identify natural links in subtopics being covered in other </w:t>
      </w:r>
      <w:r w:rsidR="00F122E9">
        <w:t>u</w:t>
      </w:r>
      <w:r w:rsidRPr="00EF5CD7">
        <w:t xml:space="preserve">nits and </w:t>
      </w:r>
      <w:r w:rsidR="00F122E9">
        <w:t>a</w:t>
      </w:r>
      <w:r w:rsidRPr="00EF5CD7">
        <w:t xml:space="preserve">reas of </w:t>
      </w:r>
      <w:r w:rsidR="00F122E9">
        <w:t>s</w:t>
      </w:r>
      <w:r w:rsidRPr="00EF5CD7">
        <w:t xml:space="preserve">tudy, and of course you are welcome to continue to make these connections throughout the </w:t>
      </w:r>
      <w:r w:rsidR="00F122E9">
        <w:t>two</w:t>
      </w:r>
      <w:r w:rsidRPr="00EF5CD7">
        <w:t xml:space="preserve">-year teaching and learning program. </w:t>
      </w:r>
    </w:p>
    <w:p w14:paraId="67386171" w14:textId="20E62BA4" w:rsidR="007C7296" w:rsidRPr="00EF5CD7" w:rsidRDefault="007C7296" w:rsidP="007C7296">
      <w:r w:rsidRPr="00EF5CD7">
        <w:t xml:space="preserve">As you can see, the outcome statement and assessment task, along with the key knowledge and key skills, provide guidance about what to include in your teaching and learning program. Teachers are encouraged to carefully consider the subtopic for use in </w:t>
      </w:r>
      <w:r w:rsidR="00F122E9">
        <w:t>u</w:t>
      </w:r>
      <w:r w:rsidRPr="00EF5CD7">
        <w:t>nit</w:t>
      </w:r>
      <w:r w:rsidR="00F122E9">
        <w:t xml:space="preserve"> two</w:t>
      </w:r>
      <w:r w:rsidRPr="00EF5CD7">
        <w:t xml:space="preserve"> </w:t>
      </w:r>
      <w:r w:rsidR="00F122E9">
        <w:t>a</w:t>
      </w:r>
      <w:r w:rsidRPr="00EF5CD7">
        <w:t xml:space="preserve">rea of </w:t>
      </w:r>
      <w:r w:rsidR="00F122E9">
        <w:t>s</w:t>
      </w:r>
      <w:r w:rsidRPr="00EF5CD7">
        <w:t xml:space="preserve">tudy </w:t>
      </w:r>
      <w:r w:rsidR="00F122E9">
        <w:t>three</w:t>
      </w:r>
      <w:r w:rsidRPr="00EF5CD7">
        <w:t>, to ensure this lends itself to the Australian focus.</w:t>
      </w:r>
    </w:p>
    <w:p w14:paraId="78FF0763" w14:textId="77777777" w:rsidR="007C7296" w:rsidRPr="00EF5CD7" w:rsidRDefault="007C7296" w:rsidP="007C7296">
      <w:r w:rsidRPr="00EF5CD7">
        <w:t>It’s also important to remember that the subtopics provided in the subtopic list are suggestions only. Developing teaching and learning programs around another subtopic with an Australian focus may help you to cater to the interests of students in your classroom.</w:t>
      </w:r>
    </w:p>
    <w:p w14:paraId="6ACB4AE9" w14:textId="77777777" w:rsidR="007C7296" w:rsidRPr="00EF5CD7" w:rsidRDefault="007C7296" w:rsidP="007C7296">
      <w:r w:rsidRPr="00EF5CD7">
        <w:t xml:space="preserve">If you have any additional questions about the ‘Australian focus’, we </w:t>
      </w:r>
      <w:proofErr w:type="gramStart"/>
      <w:r w:rsidRPr="00EF5CD7">
        <w:t>would encourage</w:t>
      </w:r>
      <w:proofErr w:type="gramEnd"/>
      <w:r w:rsidRPr="00EF5CD7">
        <w:t xml:space="preserve"> you to contact our Languages Unit, and please don’t forget to view the other on-demand videos available on the study page. </w:t>
      </w:r>
    </w:p>
    <w:bookmarkStart w:id="1" w:name="_Hlk204611704"/>
    <w:p w14:paraId="7F426768" w14:textId="583B7184" w:rsidR="00D94564" w:rsidRPr="009961EA" w:rsidRDefault="001A235D" w:rsidP="00D94564">
      <w:r>
        <w:fldChar w:fldCharType="begin"/>
      </w:r>
      <w:r>
        <w:instrText>HYPERLINK "https://www.vcaa.vic.edu.au/Footer/Pages/Copyright.aspx"</w:instrText>
      </w:r>
      <w:r>
        <w:fldChar w:fldCharType="separate"/>
      </w:r>
      <w:r w:rsidR="00D94564" w:rsidRPr="00283640">
        <w:rPr>
          <w:rStyle w:val="Hyperlink"/>
        </w:rPr>
        <w:t xml:space="preserve">Copyright Victorian Curriculum and Assessment Authority </w:t>
      </w:r>
      <w:r>
        <w:rPr>
          <w:rStyle w:val="Hyperlink"/>
        </w:rPr>
        <w:fldChar w:fldCharType="end"/>
      </w:r>
      <w:r w:rsidR="00D94564">
        <w:rPr>
          <w:rStyle w:val="Hyperlink"/>
        </w:rPr>
        <w:t>202</w:t>
      </w:r>
      <w:r w:rsidR="00F122E9">
        <w:rPr>
          <w:rStyle w:val="Hyperlink"/>
        </w:rPr>
        <w:t>5</w:t>
      </w:r>
    </w:p>
    <w:bookmarkEnd w:id="1"/>
    <w:p w14:paraId="2B976676" w14:textId="4CE2E1E8" w:rsidR="002647BB" w:rsidRPr="00F71CC9" w:rsidRDefault="002647BB" w:rsidP="00F71CC9"/>
    <w:sectPr w:rsidR="002647BB" w:rsidRPr="00F71CC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2BB52C1" w:rsidR="00FD29D3" w:rsidRPr="002B0664" w:rsidRDefault="001A235D"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E6A98">
          <w:rPr>
            <w:color w:val="auto"/>
          </w:rPr>
          <w:t>CCAFL</w:t>
        </w:r>
        <w:r>
          <w:rPr>
            <w:color w:val="auto"/>
          </w:rPr>
          <w:t xml:space="preserve"> </w:t>
        </w:r>
        <w:r w:rsidR="003E6A98">
          <w:rPr>
            <w:color w:val="auto"/>
          </w:rPr>
          <w:t>Languages</w:t>
        </w:r>
        <w:r>
          <w:rPr>
            <w:color w:val="auto"/>
          </w:rPr>
          <w:t xml:space="preserve"> </w:t>
        </w:r>
        <w:r w:rsidR="003E6A98">
          <w:rPr>
            <w:color w:val="auto"/>
          </w:rPr>
          <w:t>Australian</w:t>
        </w:r>
        <w:r>
          <w:rPr>
            <w:color w:val="auto"/>
          </w:rPr>
          <w:t xml:space="preserve"> </w:t>
        </w:r>
        <w:r w:rsidR="003E6A98">
          <w:rPr>
            <w:color w:val="auto"/>
          </w:rPr>
          <w:t>Focus</w:t>
        </w:r>
        <w:r>
          <w:rPr>
            <w:color w:val="auto"/>
          </w:rPr>
          <w:t xml:space="preserve"> Transcript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705A"/>
    <w:multiLevelType w:val="hybridMultilevel"/>
    <w:tmpl w:val="E500C934"/>
    <w:lvl w:ilvl="0" w:tplc="6DBE6B1C">
      <w:start w:val="1"/>
      <w:numFmt w:val="bullet"/>
      <w:lvlText w:val="•"/>
      <w:lvlJc w:val="left"/>
      <w:pPr>
        <w:tabs>
          <w:tab w:val="num" w:pos="720"/>
        </w:tabs>
        <w:ind w:left="720" w:hanging="360"/>
      </w:pPr>
      <w:rPr>
        <w:rFonts w:ascii="Arial" w:hAnsi="Arial" w:hint="default"/>
      </w:rPr>
    </w:lvl>
    <w:lvl w:ilvl="1" w:tplc="75EA22C0" w:tentative="1">
      <w:start w:val="1"/>
      <w:numFmt w:val="bullet"/>
      <w:lvlText w:val="•"/>
      <w:lvlJc w:val="left"/>
      <w:pPr>
        <w:tabs>
          <w:tab w:val="num" w:pos="1440"/>
        </w:tabs>
        <w:ind w:left="1440" w:hanging="360"/>
      </w:pPr>
      <w:rPr>
        <w:rFonts w:ascii="Arial" w:hAnsi="Arial" w:hint="default"/>
      </w:rPr>
    </w:lvl>
    <w:lvl w:ilvl="2" w:tplc="ACACC824">
      <w:start w:val="1"/>
      <w:numFmt w:val="bullet"/>
      <w:lvlText w:val="•"/>
      <w:lvlJc w:val="left"/>
      <w:pPr>
        <w:tabs>
          <w:tab w:val="num" w:pos="2160"/>
        </w:tabs>
        <w:ind w:left="2160" w:hanging="360"/>
      </w:pPr>
      <w:rPr>
        <w:rFonts w:ascii="Arial" w:hAnsi="Arial" w:hint="default"/>
      </w:rPr>
    </w:lvl>
    <w:lvl w:ilvl="3" w:tplc="A9C229DA" w:tentative="1">
      <w:start w:val="1"/>
      <w:numFmt w:val="bullet"/>
      <w:lvlText w:val="•"/>
      <w:lvlJc w:val="left"/>
      <w:pPr>
        <w:tabs>
          <w:tab w:val="num" w:pos="2880"/>
        </w:tabs>
        <w:ind w:left="2880" w:hanging="360"/>
      </w:pPr>
      <w:rPr>
        <w:rFonts w:ascii="Arial" w:hAnsi="Arial" w:hint="default"/>
      </w:rPr>
    </w:lvl>
    <w:lvl w:ilvl="4" w:tplc="FFBA41DE" w:tentative="1">
      <w:start w:val="1"/>
      <w:numFmt w:val="bullet"/>
      <w:lvlText w:val="•"/>
      <w:lvlJc w:val="left"/>
      <w:pPr>
        <w:tabs>
          <w:tab w:val="num" w:pos="3600"/>
        </w:tabs>
        <w:ind w:left="3600" w:hanging="360"/>
      </w:pPr>
      <w:rPr>
        <w:rFonts w:ascii="Arial" w:hAnsi="Arial" w:hint="default"/>
      </w:rPr>
    </w:lvl>
    <w:lvl w:ilvl="5" w:tplc="5022993C" w:tentative="1">
      <w:start w:val="1"/>
      <w:numFmt w:val="bullet"/>
      <w:lvlText w:val="•"/>
      <w:lvlJc w:val="left"/>
      <w:pPr>
        <w:tabs>
          <w:tab w:val="num" w:pos="4320"/>
        </w:tabs>
        <w:ind w:left="4320" w:hanging="360"/>
      </w:pPr>
      <w:rPr>
        <w:rFonts w:ascii="Arial" w:hAnsi="Arial" w:hint="default"/>
      </w:rPr>
    </w:lvl>
    <w:lvl w:ilvl="6" w:tplc="2B445CF8" w:tentative="1">
      <w:start w:val="1"/>
      <w:numFmt w:val="bullet"/>
      <w:lvlText w:val="•"/>
      <w:lvlJc w:val="left"/>
      <w:pPr>
        <w:tabs>
          <w:tab w:val="num" w:pos="5040"/>
        </w:tabs>
        <w:ind w:left="5040" w:hanging="360"/>
      </w:pPr>
      <w:rPr>
        <w:rFonts w:ascii="Arial" w:hAnsi="Arial" w:hint="default"/>
      </w:rPr>
    </w:lvl>
    <w:lvl w:ilvl="7" w:tplc="10DAFF0C" w:tentative="1">
      <w:start w:val="1"/>
      <w:numFmt w:val="bullet"/>
      <w:lvlText w:val="•"/>
      <w:lvlJc w:val="left"/>
      <w:pPr>
        <w:tabs>
          <w:tab w:val="num" w:pos="5760"/>
        </w:tabs>
        <w:ind w:left="5760" w:hanging="360"/>
      </w:pPr>
      <w:rPr>
        <w:rFonts w:ascii="Arial" w:hAnsi="Arial" w:hint="default"/>
      </w:rPr>
    </w:lvl>
    <w:lvl w:ilvl="8" w:tplc="30D851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CE1FA4"/>
    <w:multiLevelType w:val="hybridMultilevel"/>
    <w:tmpl w:val="0A303EB6"/>
    <w:lvl w:ilvl="0" w:tplc="5AFAAB06">
      <w:start w:val="1"/>
      <w:numFmt w:val="bullet"/>
      <w:lvlText w:val="-"/>
      <w:lvlJc w:val="left"/>
      <w:pPr>
        <w:tabs>
          <w:tab w:val="num" w:pos="720"/>
        </w:tabs>
        <w:ind w:left="720" w:hanging="360"/>
      </w:pPr>
      <w:rPr>
        <w:rFonts w:ascii="Times New Roman" w:hAnsi="Times New Roman" w:hint="default"/>
      </w:rPr>
    </w:lvl>
    <w:lvl w:ilvl="1" w:tplc="87764E3A" w:tentative="1">
      <w:start w:val="1"/>
      <w:numFmt w:val="bullet"/>
      <w:lvlText w:val="-"/>
      <w:lvlJc w:val="left"/>
      <w:pPr>
        <w:tabs>
          <w:tab w:val="num" w:pos="1440"/>
        </w:tabs>
        <w:ind w:left="1440" w:hanging="360"/>
      </w:pPr>
      <w:rPr>
        <w:rFonts w:ascii="Times New Roman" w:hAnsi="Times New Roman" w:hint="default"/>
      </w:rPr>
    </w:lvl>
    <w:lvl w:ilvl="2" w:tplc="983CD9A8" w:tentative="1">
      <w:start w:val="1"/>
      <w:numFmt w:val="bullet"/>
      <w:lvlText w:val="-"/>
      <w:lvlJc w:val="left"/>
      <w:pPr>
        <w:tabs>
          <w:tab w:val="num" w:pos="2160"/>
        </w:tabs>
        <w:ind w:left="2160" w:hanging="360"/>
      </w:pPr>
      <w:rPr>
        <w:rFonts w:ascii="Times New Roman" w:hAnsi="Times New Roman" w:hint="default"/>
      </w:rPr>
    </w:lvl>
    <w:lvl w:ilvl="3" w:tplc="B05E9476" w:tentative="1">
      <w:start w:val="1"/>
      <w:numFmt w:val="bullet"/>
      <w:lvlText w:val="-"/>
      <w:lvlJc w:val="left"/>
      <w:pPr>
        <w:tabs>
          <w:tab w:val="num" w:pos="2880"/>
        </w:tabs>
        <w:ind w:left="2880" w:hanging="360"/>
      </w:pPr>
      <w:rPr>
        <w:rFonts w:ascii="Times New Roman" w:hAnsi="Times New Roman" w:hint="default"/>
      </w:rPr>
    </w:lvl>
    <w:lvl w:ilvl="4" w:tplc="F0BCF4FE" w:tentative="1">
      <w:start w:val="1"/>
      <w:numFmt w:val="bullet"/>
      <w:lvlText w:val="-"/>
      <w:lvlJc w:val="left"/>
      <w:pPr>
        <w:tabs>
          <w:tab w:val="num" w:pos="3600"/>
        </w:tabs>
        <w:ind w:left="3600" w:hanging="360"/>
      </w:pPr>
      <w:rPr>
        <w:rFonts w:ascii="Times New Roman" w:hAnsi="Times New Roman" w:hint="default"/>
      </w:rPr>
    </w:lvl>
    <w:lvl w:ilvl="5" w:tplc="5F828DDE" w:tentative="1">
      <w:start w:val="1"/>
      <w:numFmt w:val="bullet"/>
      <w:lvlText w:val="-"/>
      <w:lvlJc w:val="left"/>
      <w:pPr>
        <w:tabs>
          <w:tab w:val="num" w:pos="4320"/>
        </w:tabs>
        <w:ind w:left="4320" w:hanging="360"/>
      </w:pPr>
      <w:rPr>
        <w:rFonts w:ascii="Times New Roman" w:hAnsi="Times New Roman" w:hint="default"/>
      </w:rPr>
    </w:lvl>
    <w:lvl w:ilvl="6" w:tplc="26E8F97A" w:tentative="1">
      <w:start w:val="1"/>
      <w:numFmt w:val="bullet"/>
      <w:lvlText w:val="-"/>
      <w:lvlJc w:val="left"/>
      <w:pPr>
        <w:tabs>
          <w:tab w:val="num" w:pos="5040"/>
        </w:tabs>
        <w:ind w:left="5040" w:hanging="360"/>
      </w:pPr>
      <w:rPr>
        <w:rFonts w:ascii="Times New Roman" w:hAnsi="Times New Roman" w:hint="default"/>
      </w:rPr>
    </w:lvl>
    <w:lvl w:ilvl="7" w:tplc="50702ADA" w:tentative="1">
      <w:start w:val="1"/>
      <w:numFmt w:val="bullet"/>
      <w:lvlText w:val="-"/>
      <w:lvlJc w:val="left"/>
      <w:pPr>
        <w:tabs>
          <w:tab w:val="num" w:pos="5760"/>
        </w:tabs>
        <w:ind w:left="5760" w:hanging="360"/>
      </w:pPr>
      <w:rPr>
        <w:rFonts w:ascii="Times New Roman" w:hAnsi="Times New Roman" w:hint="default"/>
      </w:rPr>
    </w:lvl>
    <w:lvl w:ilvl="8" w:tplc="68DE7E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F301B53"/>
    <w:multiLevelType w:val="hybridMultilevel"/>
    <w:tmpl w:val="E990E628"/>
    <w:lvl w:ilvl="0" w:tplc="10D8A3E8">
      <w:start w:val="1"/>
      <w:numFmt w:val="bullet"/>
      <w:lvlText w:val="•"/>
      <w:lvlJc w:val="left"/>
      <w:pPr>
        <w:tabs>
          <w:tab w:val="num" w:pos="720"/>
        </w:tabs>
        <w:ind w:left="720" w:hanging="360"/>
      </w:pPr>
      <w:rPr>
        <w:rFonts w:ascii="Arial" w:hAnsi="Arial" w:hint="default"/>
      </w:rPr>
    </w:lvl>
    <w:lvl w:ilvl="1" w:tplc="6ADCE3DE" w:tentative="1">
      <w:start w:val="1"/>
      <w:numFmt w:val="bullet"/>
      <w:lvlText w:val="•"/>
      <w:lvlJc w:val="left"/>
      <w:pPr>
        <w:tabs>
          <w:tab w:val="num" w:pos="1440"/>
        </w:tabs>
        <w:ind w:left="1440" w:hanging="360"/>
      </w:pPr>
      <w:rPr>
        <w:rFonts w:ascii="Arial" w:hAnsi="Arial" w:hint="default"/>
      </w:rPr>
    </w:lvl>
    <w:lvl w:ilvl="2" w:tplc="38A22688" w:tentative="1">
      <w:start w:val="1"/>
      <w:numFmt w:val="bullet"/>
      <w:lvlText w:val="•"/>
      <w:lvlJc w:val="left"/>
      <w:pPr>
        <w:tabs>
          <w:tab w:val="num" w:pos="2160"/>
        </w:tabs>
        <w:ind w:left="2160" w:hanging="360"/>
      </w:pPr>
      <w:rPr>
        <w:rFonts w:ascii="Arial" w:hAnsi="Arial" w:hint="default"/>
      </w:rPr>
    </w:lvl>
    <w:lvl w:ilvl="3" w:tplc="74A2E840" w:tentative="1">
      <w:start w:val="1"/>
      <w:numFmt w:val="bullet"/>
      <w:lvlText w:val="•"/>
      <w:lvlJc w:val="left"/>
      <w:pPr>
        <w:tabs>
          <w:tab w:val="num" w:pos="2880"/>
        </w:tabs>
        <w:ind w:left="2880" w:hanging="360"/>
      </w:pPr>
      <w:rPr>
        <w:rFonts w:ascii="Arial" w:hAnsi="Arial" w:hint="default"/>
      </w:rPr>
    </w:lvl>
    <w:lvl w:ilvl="4" w:tplc="90A2FF4C" w:tentative="1">
      <w:start w:val="1"/>
      <w:numFmt w:val="bullet"/>
      <w:lvlText w:val="•"/>
      <w:lvlJc w:val="left"/>
      <w:pPr>
        <w:tabs>
          <w:tab w:val="num" w:pos="3600"/>
        </w:tabs>
        <w:ind w:left="3600" w:hanging="360"/>
      </w:pPr>
      <w:rPr>
        <w:rFonts w:ascii="Arial" w:hAnsi="Arial" w:hint="default"/>
      </w:rPr>
    </w:lvl>
    <w:lvl w:ilvl="5" w:tplc="94DEA3B2" w:tentative="1">
      <w:start w:val="1"/>
      <w:numFmt w:val="bullet"/>
      <w:lvlText w:val="•"/>
      <w:lvlJc w:val="left"/>
      <w:pPr>
        <w:tabs>
          <w:tab w:val="num" w:pos="4320"/>
        </w:tabs>
        <w:ind w:left="4320" w:hanging="360"/>
      </w:pPr>
      <w:rPr>
        <w:rFonts w:ascii="Arial" w:hAnsi="Arial" w:hint="default"/>
      </w:rPr>
    </w:lvl>
    <w:lvl w:ilvl="6" w:tplc="59EE88B6" w:tentative="1">
      <w:start w:val="1"/>
      <w:numFmt w:val="bullet"/>
      <w:lvlText w:val="•"/>
      <w:lvlJc w:val="left"/>
      <w:pPr>
        <w:tabs>
          <w:tab w:val="num" w:pos="5040"/>
        </w:tabs>
        <w:ind w:left="5040" w:hanging="360"/>
      </w:pPr>
      <w:rPr>
        <w:rFonts w:ascii="Arial" w:hAnsi="Arial" w:hint="default"/>
      </w:rPr>
    </w:lvl>
    <w:lvl w:ilvl="7" w:tplc="457AD4FC" w:tentative="1">
      <w:start w:val="1"/>
      <w:numFmt w:val="bullet"/>
      <w:lvlText w:val="•"/>
      <w:lvlJc w:val="left"/>
      <w:pPr>
        <w:tabs>
          <w:tab w:val="num" w:pos="5760"/>
        </w:tabs>
        <w:ind w:left="5760" w:hanging="360"/>
      </w:pPr>
      <w:rPr>
        <w:rFonts w:ascii="Arial" w:hAnsi="Arial" w:hint="default"/>
      </w:rPr>
    </w:lvl>
    <w:lvl w:ilvl="8" w:tplc="4AECA4CC" w:tentative="1">
      <w:start w:val="1"/>
      <w:numFmt w:val="bullet"/>
      <w:lvlText w:val="•"/>
      <w:lvlJc w:val="left"/>
      <w:pPr>
        <w:tabs>
          <w:tab w:val="num" w:pos="6480"/>
        </w:tabs>
        <w:ind w:left="6480" w:hanging="360"/>
      </w:pPr>
      <w:rPr>
        <w:rFonts w:ascii="Arial" w:hAnsi="Arial"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649819843">
    <w:abstractNumId w:val="17"/>
  </w:num>
  <w:num w:numId="17" w16cid:durableId="1681659584">
    <w:abstractNumId w:val="10"/>
  </w:num>
  <w:num w:numId="18" w16cid:durableId="185478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481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A235D"/>
    <w:rsid w:val="001D3246"/>
    <w:rsid w:val="002279BA"/>
    <w:rsid w:val="002329F3"/>
    <w:rsid w:val="00243F0D"/>
    <w:rsid w:val="00260767"/>
    <w:rsid w:val="002647BB"/>
    <w:rsid w:val="002754C1"/>
    <w:rsid w:val="002841C8"/>
    <w:rsid w:val="0028516B"/>
    <w:rsid w:val="002B0664"/>
    <w:rsid w:val="002C6F90"/>
    <w:rsid w:val="002E4FB5"/>
    <w:rsid w:val="002F36E3"/>
    <w:rsid w:val="00302FB8"/>
    <w:rsid w:val="00304EA1"/>
    <w:rsid w:val="00314D81"/>
    <w:rsid w:val="00322FC6"/>
    <w:rsid w:val="0035293F"/>
    <w:rsid w:val="00381C75"/>
    <w:rsid w:val="00391986"/>
    <w:rsid w:val="003A00B4"/>
    <w:rsid w:val="003A06B2"/>
    <w:rsid w:val="003C5E71"/>
    <w:rsid w:val="003E6A98"/>
    <w:rsid w:val="00417AA3"/>
    <w:rsid w:val="00425DFE"/>
    <w:rsid w:val="00434EDB"/>
    <w:rsid w:val="00440B32"/>
    <w:rsid w:val="0046078D"/>
    <w:rsid w:val="00495C80"/>
    <w:rsid w:val="004A2ED8"/>
    <w:rsid w:val="004F5BDA"/>
    <w:rsid w:val="0051631E"/>
    <w:rsid w:val="00531DDC"/>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C7296"/>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2492"/>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94564"/>
    <w:rsid w:val="00DE1909"/>
    <w:rsid w:val="00DE51DB"/>
    <w:rsid w:val="00E208DF"/>
    <w:rsid w:val="00E23F1D"/>
    <w:rsid w:val="00E30E05"/>
    <w:rsid w:val="00E36361"/>
    <w:rsid w:val="00E55AE9"/>
    <w:rsid w:val="00E71100"/>
    <w:rsid w:val="00E7229D"/>
    <w:rsid w:val="00EB0C84"/>
    <w:rsid w:val="00F122E9"/>
    <w:rsid w:val="00F17FDE"/>
    <w:rsid w:val="00F40D53"/>
    <w:rsid w:val="00F4525C"/>
    <w:rsid w:val="00F50D86"/>
    <w:rsid w:val="00F71CC9"/>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6B1570"/>
    <w:rsid w:val="007C3B7A"/>
    <w:rsid w:val="009325D2"/>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purl.org/dc/terms/"/>
    <ds:schemaRef ds:uri="91390586-87fb-46cf-92ab-e8c7138719eb"/>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f77e68f7-c052-4667-a1a6-124cfe860c79"/>
    <ds:schemaRef ds:uri="http://purl.org/dc/dcmityp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CCAFL_Languages_AustralianFocus</vt:lpstr>
    </vt:vector>
  </TitlesOfParts>
  <Company>Victorian Curriculum and Assessment Authority</Company>
  <LinksUpToDate>false</LinksUpToDate>
  <CharactersWithSpaces>5862</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Languages Australian Focus Transcript</dc:title>
  <dc:subject>VCE CCAFL Languages</dc:subject>
  <dc:creator>Derek Tolan;VCAA</dc:creator>
  <cp:keywords>VCE Languages, CCAFL</cp:keywords>
  <cp:lastModifiedBy>Vanessa Flores</cp:lastModifiedBy>
  <cp:revision>5</cp:revision>
  <cp:lastPrinted>2015-05-15T02:36:00Z</cp:lastPrinted>
  <dcterms:created xsi:type="dcterms:W3CDTF">2025-07-07T12:37:00Z</dcterms:created>
  <dcterms:modified xsi:type="dcterms:W3CDTF">2025-07-28T06:33:00Z</dcterms:modified>
  <cp:category>VCE Languages, CCAFL, Australian Focus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