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8901" w14:textId="77777777" w:rsidR="007E340A" w:rsidRPr="003D76A5" w:rsidRDefault="007E340A" w:rsidP="007E340A">
      <w:pPr>
        <w:pStyle w:val="VCAAHeading3"/>
        <w:rPr>
          <w:bCs/>
          <w:color w:val="0070C0"/>
          <w:szCs w:val="40"/>
        </w:rPr>
      </w:pPr>
      <w:r w:rsidRPr="00F51604">
        <w:t>Collaborative Curriculum and Assessment Framework for Languages</w:t>
      </w:r>
      <w:r>
        <w:t xml:space="preserve"> (CCAFL)</w:t>
      </w:r>
    </w:p>
    <w:p w14:paraId="5C5BACC6" w14:textId="77777777" w:rsidR="007E340A" w:rsidRPr="005B326E" w:rsidRDefault="007E340A" w:rsidP="007E340A">
      <w:pPr>
        <w:pStyle w:val="VCAAHeading5"/>
        <w:spacing w:before="0"/>
        <w:rPr>
          <w:sz w:val="20"/>
        </w:rPr>
      </w:pPr>
      <w:r w:rsidRPr="005B326E">
        <w:rPr>
          <w:sz w:val="20"/>
        </w:rPr>
        <w:t>Designed to support courses based on the CCAFL Framework (2021)</w:t>
      </w:r>
    </w:p>
    <w:p w14:paraId="440017B9" w14:textId="3DF46CE7" w:rsidR="007E340A" w:rsidRPr="0027284C" w:rsidRDefault="007E340A" w:rsidP="007E340A">
      <w:pPr>
        <w:pStyle w:val="VCAADocumenttitle"/>
      </w:pPr>
      <w:r>
        <w:t>VCE Romanian</w:t>
      </w:r>
    </w:p>
    <w:p w14:paraId="529AEE58" w14:textId="77777777" w:rsidR="007E340A" w:rsidRPr="00EC4E27" w:rsidRDefault="007E340A" w:rsidP="007E340A">
      <w:pPr>
        <w:pStyle w:val="VCAAHeading1"/>
        <w:spacing w:before="120"/>
        <w:rPr>
          <w:rFonts w:eastAsia="Yu Mincho"/>
        </w:rPr>
      </w:pPr>
      <w:r>
        <w:t xml:space="preserve">Support materials – Resources </w:t>
      </w:r>
    </w:p>
    <w:p w14:paraId="7E3A6E85" w14:textId="77777777" w:rsidR="00770E4E" w:rsidRDefault="00770E4E" w:rsidP="007E340A">
      <w:pPr>
        <w:pStyle w:val="VCAAbody"/>
      </w:pPr>
      <w:r>
        <w:t xml:space="preserve">This information is designed to provide guidance for teachers on how to locate suitable resources for teaching, learning and internal assessment associated with the CCAFL Framework (2021) and language studies based on it. </w:t>
      </w:r>
    </w:p>
    <w:p w14:paraId="22AEDEE7" w14:textId="77777777" w:rsidR="00770E4E" w:rsidRDefault="00770E4E" w:rsidP="007E340A">
      <w:pPr>
        <w:pStyle w:val="VCAAHeading2"/>
        <w:rPr>
          <w:rFonts w:eastAsiaTheme="majorEastAsia" w:cstheme="majorBidi"/>
          <w:bCs/>
        </w:rPr>
      </w:pPr>
      <w:r>
        <w:t>Dictionaries</w:t>
      </w:r>
      <w:r>
        <w:rPr>
          <w:bCs/>
        </w:rPr>
        <w:t xml:space="preserve"> </w:t>
      </w:r>
    </w:p>
    <w:p w14:paraId="227F2454" w14:textId="77777777" w:rsidR="00C26D96" w:rsidRDefault="00C26D96" w:rsidP="007E340A">
      <w:pPr>
        <w:pStyle w:val="VCAAbody"/>
      </w:pPr>
      <w:r>
        <w:t>The following dictionaries are suitable for the study of Romanian</w:t>
      </w:r>
      <w:r>
        <w:rPr>
          <w:color w:val="FF0000"/>
        </w:rPr>
        <w:t xml:space="preserve"> </w:t>
      </w:r>
      <w:r>
        <w:t>and for use in the end-of-year external written examination:</w:t>
      </w:r>
    </w:p>
    <w:p w14:paraId="02A16770" w14:textId="77777777" w:rsidR="00C26D96" w:rsidRDefault="00C26D96" w:rsidP="007E340A">
      <w:pPr>
        <w:pStyle w:val="VCAAbullet"/>
        <w:rPr>
          <w:rFonts w:eastAsia="Yu Mincho"/>
        </w:rPr>
      </w:pPr>
      <w:r>
        <w:t xml:space="preserve">Levițchi L 2000, </w:t>
      </w:r>
      <w:r w:rsidRPr="007E340A">
        <w:rPr>
          <w:i/>
          <w:iCs/>
        </w:rPr>
        <w:t>English-Romanian Dictionary (Dicționar Englez-Român)</w:t>
      </w:r>
      <w:r>
        <w:t>, 100+1 GRAMAR, Bucharest</w:t>
      </w:r>
    </w:p>
    <w:p w14:paraId="0509DAA7" w14:textId="77777777" w:rsidR="00C26D96" w:rsidRDefault="00C26D96" w:rsidP="007E340A">
      <w:pPr>
        <w:pStyle w:val="VCAAbullet"/>
        <w:rPr>
          <w:rFonts w:eastAsia="Yu Mincho"/>
        </w:rPr>
      </w:pPr>
      <w:r>
        <w:t xml:space="preserve">Levițchi L 1998, </w:t>
      </w:r>
      <w:r w:rsidRPr="007E340A">
        <w:rPr>
          <w:i/>
          <w:iCs/>
        </w:rPr>
        <w:t>Romanian-English Dictionary (Dicționar Român-Englez)</w:t>
      </w:r>
      <w:r>
        <w:t>, 5th edn, 100+1 GRAMAR, Bucharest</w:t>
      </w:r>
    </w:p>
    <w:p w14:paraId="33BEE22F" w14:textId="4A8A7605" w:rsidR="007D1A45" w:rsidRDefault="007D1A45" w:rsidP="007E340A">
      <w:pPr>
        <w:pStyle w:val="VCAAHeading2"/>
      </w:pPr>
      <w:r>
        <w:t xml:space="preserve">Other resources for use with studies based on the CCAFL Framework (2021) </w:t>
      </w:r>
    </w:p>
    <w:p w14:paraId="3CF7E789" w14:textId="77777777" w:rsidR="007D1A45" w:rsidRDefault="007D1A45" w:rsidP="007E340A">
      <w:pPr>
        <w:pStyle w:val="VCAAbody"/>
        <w:rPr>
          <w:color w:val="C86A07" w:themeColor="accent5" w:themeShade="BF"/>
        </w:rPr>
      </w:pPr>
      <w:r>
        <w:t>Useful resources for a teaching, learning and assessment program include resources suitable for student use and reference materials for teacher use, such as:</w:t>
      </w:r>
    </w:p>
    <w:p w14:paraId="0D7A5108" w14:textId="77777777" w:rsidR="007D1A45" w:rsidRDefault="007D1A45" w:rsidP="007E340A">
      <w:pPr>
        <w:pStyle w:val="VCAAbullet"/>
        <w:rPr>
          <w:rFonts w:eastAsia="Yu Mincho"/>
        </w:rPr>
      </w:pPr>
      <w:r>
        <w:rPr>
          <w:rFonts w:eastAsia="Yu Mincho"/>
        </w:rPr>
        <w:t>course books that include texts or learning that reflect the aims and requirements of the CCAFL Framework (2021) and studies based on it</w:t>
      </w:r>
    </w:p>
    <w:p w14:paraId="288366B7" w14:textId="77777777" w:rsidR="007D1A45" w:rsidRDefault="007D1A45" w:rsidP="007E340A">
      <w:pPr>
        <w:pStyle w:val="VCAAbullet"/>
        <w:rPr>
          <w:rFonts w:eastAsia="Yu Mincho"/>
        </w:rPr>
      </w:pPr>
      <w:r>
        <w:rPr>
          <w:rFonts w:eastAsia="Yu Mincho"/>
        </w:rPr>
        <w:t xml:space="preserve">grammar and writing guides   </w:t>
      </w:r>
    </w:p>
    <w:p w14:paraId="540846E8" w14:textId="77777777" w:rsidR="007D1A45" w:rsidRDefault="007D1A45" w:rsidP="007E340A">
      <w:pPr>
        <w:pStyle w:val="VCAAbullet"/>
        <w:rPr>
          <w:rFonts w:eastAsia="Yu Mincho"/>
        </w:rPr>
      </w:pPr>
      <w:r>
        <w:rPr>
          <w:rFonts w:eastAsia="Yu Mincho"/>
        </w:rPr>
        <w:t>journals and periodicals</w:t>
      </w:r>
    </w:p>
    <w:p w14:paraId="5C95169C" w14:textId="77777777" w:rsidR="007D1A45" w:rsidRDefault="007D1A45" w:rsidP="007E340A">
      <w:pPr>
        <w:pStyle w:val="VCAAbullet"/>
        <w:rPr>
          <w:rFonts w:eastAsia="Yu Mincho"/>
        </w:rPr>
      </w:pPr>
      <w:r>
        <w:rPr>
          <w:rFonts w:eastAsia="Yu Mincho"/>
        </w:rPr>
        <w:t>language-specific social media posts, podcasts, and news, radio, television or other programs</w:t>
      </w:r>
    </w:p>
    <w:p w14:paraId="5E9140D4" w14:textId="77777777" w:rsidR="007D1A45" w:rsidRDefault="007D1A45" w:rsidP="007E340A">
      <w:pPr>
        <w:pStyle w:val="VCAAbullet"/>
        <w:rPr>
          <w:rFonts w:eastAsia="Yu Mincho"/>
        </w:rPr>
      </w:pPr>
      <w:r>
        <w:rPr>
          <w:rFonts w:eastAsia="Yu Mincho"/>
        </w:rPr>
        <w:t xml:space="preserve">films and documentaries </w:t>
      </w:r>
    </w:p>
    <w:p w14:paraId="0570DCE9" w14:textId="77777777" w:rsidR="007D1A45" w:rsidRDefault="007D1A45" w:rsidP="007E340A">
      <w:pPr>
        <w:pStyle w:val="VCAAbullet"/>
        <w:rPr>
          <w:rFonts w:eastAsia="Yu Mincho"/>
        </w:rPr>
      </w:pPr>
      <w:r>
        <w:rPr>
          <w:rFonts w:eastAsia="Yu Mincho"/>
        </w:rPr>
        <w:t>library resources</w:t>
      </w:r>
    </w:p>
    <w:p w14:paraId="55D78C98" w14:textId="77777777" w:rsidR="007D1A45" w:rsidRDefault="007D1A45" w:rsidP="007E340A">
      <w:pPr>
        <w:pStyle w:val="VCAAbullet"/>
        <w:rPr>
          <w:rFonts w:eastAsia="Yu Mincho"/>
        </w:rPr>
      </w:pPr>
      <w:r>
        <w:rPr>
          <w:rFonts w:eastAsia="Yu Mincho"/>
        </w:rPr>
        <w:t xml:space="preserve">listening, reading and visual texts </w:t>
      </w:r>
    </w:p>
    <w:p w14:paraId="493974AA" w14:textId="77777777" w:rsidR="007D1A45" w:rsidRDefault="007D1A45" w:rsidP="007E340A">
      <w:pPr>
        <w:pStyle w:val="VCAAbullet"/>
        <w:rPr>
          <w:rFonts w:eastAsia="Yu Mincho"/>
        </w:rPr>
      </w:pPr>
      <w:r>
        <w:rPr>
          <w:rFonts w:eastAsia="Yu Mincho"/>
        </w:rPr>
        <w:t>literature from the language and readers in the language</w:t>
      </w:r>
    </w:p>
    <w:p w14:paraId="3C3D889B" w14:textId="77777777" w:rsidR="007D1A45" w:rsidRDefault="007D1A45" w:rsidP="007E340A">
      <w:pPr>
        <w:pStyle w:val="VCAAbullet"/>
        <w:rPr>
          <w:rFonts w:eastAsia="Yu Mincho"/>
        </w:rPr>
      </w:pPr>
      <w:r>
        <w:rPr>
          <w:rFonts w:eastAsia="Yu Mincho"/>
        </w:rPr>
        <w:t xml:space="preserve">materials from organisations and associations that provide publications in the language, such as embassies, teacher associations and community groups  </w:t>
      </w:r>
    </w:p>
    <w:p w14:paraId="1FAE7CE6" w14:textId="77777777" w:rsidR="007D1A45" w:rsidRDefault="007D1A45" w:rsidP="007E340A">
      <w:pPr>
        <w:pStyle w:val="VCAAbullet"/>
        <w:rPr>
          <w:rFonts w:eastAsia="Yu Mincho"/>
        </w:rPr>
      </w:pPr>
      <w:r>
        <w:rPr>
          <w:rFonts w:eastAsia="Yu Mincho"/>
        </w:rPr>
        <w:t xml:space="preserve">support materials published by the curriculum and assessment authority in your jurisdiction to accompany the study </w:t>
      </w:r>
    </w:p>
    <w:p w14:paraId="03FA4E30" w14:textId="77777777" w:rsidR="007D1A45" w:rsidRDefault="007D1A45" w:rsidP="007E340A">
      <w:pPr>
        <w:pStyle w:val="VCAAbullet"/>
        <w:rPr>
          <w:rFonts w:eastAsia="Yu Mincho"/>
        </w:rPr>
      </w:pPr>
      <w:r>
        <w:rPr>
          <w:rFonts w:eastAsia="Yu Mincho"/>
        </w:rPr>
        <w:t xml:space="preserve">teacher resources providing information on grammar, language, culture and teaching and learning activities </w:t>
      </w:r>
    </w:p>
    <w:p w14:paraId="3496379E" w14:textId="77777777" w:rsidR="007D1A45" w:rsidRDefault="007D1A45" w:rsidP="007E340A">
      <w:pPr>
        <w:pStyle w:val="VCAAbullet"/>
        <w:rPr>
          <w:rFonts w:eastAsia="Yu Mincho"/>
        </w:rPr>
      </w:pPr>
      <w:r>
        <w:rPr>
          <w:rFonts w:eastAsia="Yu Mincho"/>
        </w:rPr>
        <w:t>websites.</w:t>
      </w:r>
    </w:p>
    <w:p w14:paraId="324BF837" w14:textId="77777777" w:rsidR="007E340A" w:rsidRPr="0036014E" w:rsidRDefault="007E340A" w:rsidP="007E340A">
      <w:pPr>
        <w:pStyle w:val="VCAAHeading2"/>
      </w:pPr>
      <w:r w:rsidRPr="0036014E">
        <w:lastRenderedPageBreak/>
        <w:t xml:space="preserve">Selecting suitable resources </w:t>
      </w:r>
    </w:p>
    <w:p w14:paraId="277E14B3" w14:textId="77777777" w:rsidR="007E340A" w:rsidRPr="00EC4E27" w:rsidRDefault="007E340A" w:rsidP="007E340A">
      <w:pPr>
        <w:pStyle w:val="VCAAbody"/>
        <w:rPr>
          <w:rFonts w:eastAsia="Yu Mincho"/>
          <w:iCs/>
        </w:rPr>
      </w:pPr>
      <w:r w:rsidRPr="00EC4E27">
        <w:rPr>
          <w:rFonts w:eastAsia="Yu Mincho"/>
          <w:iCs/>
        </w:rPr>
        <w:t xml:space="preserve">The following advice aims to </w:t>
      </w:r>
      <w:r w:rsidRPr="00EC4E27">
        <w:rPr>
          <w:lang w:eastAsia="en-AU"/>
        </w:rPr>
        <w:t xml:space="preserve">assist teachers to locate suitable resources for the teaching and learning program for their students. Teachers should: </w:t>
      </w:r>
    </w:p>
    <w:p w14:paraId="2AECCBC7" w14:textId="77777777" w:rsidR="007E340A" w:rsidRPr="00A3525C" w:rsidRDefault="007E340A" w:rsidP="007E340A">
      <w:pPr>
        <w:pStyle w:val="VCAAHeading5"/>
        <w:ind w:left="567" w:hanging="567"/>
      </w:pPr>
      <w:r>
        <w:t>1.</w:t>
      </w:r>
      <w:r>
        <w:tab/>
      </w:r>
      <w:r w:rsidRPr="00A3525C">
        <w:t>Be familiar with the language requirements and content of the study</w:t>
      </w:r>
    </w:p>
    <w:p w14:paraId="59526656" w14:textId="77777777" w:rsidR="007E340A" w:rsidRPr="00EC4E27" w:rsidRDefault="007E340A" w:rsidP="007E340A">
      <w:pPr>
        <w:pStyle w:val="VCAAbody"/>
      </w:pPr>
      <w:r>
        <w:t xml:space="preserve">Teachers should note that </w:t>
      </w:r>
      <w:r w:rsidRPr="00EC4E27">
        <w:t>students are expected to:</w:t>
      </w:r>
    </w:p>
    <w:p w14:paraId="492CD14D" w14:textId="77777777" w:rsidR="007E340A" w:rsidRPr="00EC4E27" w:rsidRDefault="007E340A" w:rsidP="007E340A">
      <w:pPr>
        <w:pStyle w:val="VCAAbullet"/>
        <w:rPr>
          <w:rFonts w:eastAsia="Yu Mincho"/>
        </w:rPr>
      </w:pPr>
      <w:r>
        <w:rPr>
          <w:rFonts w:eastAsia="Yu Mincho"/>
        </w:rPr>
        <w:t>engage with</w:t>
      </w:r>
      <w:r w:rsidRPr="00EC4E27">
        <w:rPr>
          <w:rFonts w:eastAsia="Yu Mincho"/>
        </w:rPr>
        <w:t xml:space="preserve"> subtopics related to the prescribed topics</w:t>
      </w:r>
    </w:p>
    <w:p w14:paraId="57664B91" w14:textId="77777777" w:rsidR="007E340A" w:rsidRPr="00EC4E27" w:rsidRDefault="007E340A" w:rsidP="007E340A">
      <w:pPr>
        <w:pStyle w:val="VCAAbullet"/>
        <w:rPr>
          <w:rFonts w:eastAsia="Yu Mincho"/>
        </w:rPr>
      </w:pPr>
      <w:r w:rsidRPr="00A13686">
        <w:rPr>
          <w:rFonts w:eastAsia="Yu Mincho"/>
        </w:rPr>
        <w:t xml:space="preserve">have opportunities to </w:t>
      </w:r>
      <w:r>
        <w:rPr>
          <w:rFonts w:eastAsia="Yu Mincho"/>
        </w:rPr>
        <w:t>engage with</w:t>
      </w:r>
      <w:r w:rsidRPr="00EC4E27">
        <w:rPr>
          <w:rFonts w:eastAsia="Yu Mincho"/>
        </w:rPr>
        <w:t xml:space="preserve"> the learning objectives and content of the curriculum</w:t>
      </w:r>
    </w:p>
    <w:p w14:paraId="0A6DD64A" w14:textId="77777777" w:rsidR="007E340A" w:rsidRPr="00EC4E27" w:rsidRDefault="007E340A" w:rsidP="007E340A">
      <w:pPr>
        <w:pStyle w:val="VCAAbullet"/>
        <w:rPr>
          <w:rFonts w:eastAsia="Yu Mincho"/>
        </w:rPr>
      </w:pPr>
      <w:r w:rsidRPr="00EC4E27">
        <w:rPr>
          <w:rFonts w:eastAsia="Yu Mincho"/>
        </w:rPr>
        <w:t>encounter contemporary language</w:t>
      </w:r>
    </w:p>
    <w:p w14:paraId="32C29BD7" w14:textId="77777777" w:rsidR="007E340A" w:rsidRPr="00EC4E27" w:rsidRDefault="007E340A" w:rsidP="007E340A">
      <w:pPr>
        <w:pStyle w:val="VCAAbullet"/>
        <w:rPr>
          <w:rFonts w:eastAsia="Yu Mincho"/>
        </w:rPr>
      </w:pPr>
      <w:r w:rsidRPr="00EC4E27">
        <w:rPr>
          <w:rFonts w:eastAsia="Yu Mincho"/>
        </w:rPr>
        <w:t>access modern content and forms of information</w:t>
      </w:r>
    </w:p>
    <w:p w14:paraId="6EE16177" w14:textId="77777777" w:rsidR="007E340A" w:rsidRPr="00EC4E27" w:rsidRDefault="007E340A" w:rsidP="007E340A">
      <w:pPr>
        <w:pStyle w:val="VCAAbullet"/>
        <w:rPr>
          <w:rFonts w:eastAsia="Yu Mincho"/>
        </w:rPr>
      </w:pPr>
      <w:r>
        <w:rPr>
          <w:rFonts w:eastAsia="Yu Mincho"/>
        </w:rPr>
        <w:t xml:space="preserve">encounter resources that </w:t>
      </w:r>
      <w:r w:rsidRPr="00EC4E27">
        <w:rPr>
          <w:rFonts w:eastAsia="Yu Mincho"/>
        </w:rPr>
        <w:t>suit the language expected for this level of learning</w:t>
      </w:r>
      <w:r>
        <w:rPr>
          <w:rFonts w:eastAsia="Yu Mincho"/>
        </w:rPr>
        <w:t>.</w:t>
      </w:r>
    </w:p>
    <w:p w14:paraId="576514AE" w14:textId="77777777" w:rsidR="007E340A" w:rsidRPr="00A3525C" w:rsidRDefault="007E340A" w:rsidP="007E340A">
      <w:pPr>
        <w:pStyle w:val="VCAAHeading5"/>
        <w:ind w:left="567" w:hanging="567"/>
      </w:pPr>
      <w:r>
        <w:t>2.</w:t>
      </w:r>
      <w:r>
        <w:tab/>
      </w:r>
      <w:r w:rsidRPr="00A3525C">
        <w:t xml:space="preserve">Avoid unsuitable subtopics and resources </w:t>
      </w:r>
    </w:p>
    <w:p w14:paraId="5BD73A31" w14:textId="77777777" w:rsidR="007E340A" w:rsidRDefault="007E340A" w:rsidP="007E340A">
      <w:pPr>
        <w:pStyle w:val="VCAAbody"/>
      </w:pPr>
      <w:r>
        <w:t>Teachers must avoid subtopics and resources that:</w:t>
      </w:r>
    </w:p>
    <w:p w14:paraId="6AE0419D" w14:textId="77777777" w:rsidR="007E340A" w:rsidRPr="005361A1" w:rsidRDefault="007E340A" w:rsidP="007E340A">
      <w:pPr>
        <w:pStyle w:val="VCAAbullet"/>
        <w:rPr>
          <w:rFonts w:eastAsia="Yu Mincho"/>
        </w:rPr>
      </w:pPr>
      <w:r w:rsidRPr="005361A1">
        <w:rPr>
          <w:rFonts w:eastAsia="Yu Mincho"/>
        </w:rPr>
        <w:t>may cause</w:t>
      </w:r>
      <w:r>
        <w:rPr>
          <w:rFonts w:eastAsia="Yu Mincho"/>
        </w:rPr>
        <w:t xml:space="preserve"> distress to</w:t>
      </w:r>
      <w:r w:rsidRPr="005361A1">
        <w:rPr>
          <w:rFonts w:eastAsia="Yu Mincho"/>
        </w:rPr>
        <w:t xml:space="preserve"> individual</w:t>
      </w:r>
      <w:r>
        <w:rPr>
          <w:rFonts w:eastAsia="Yu Mincho"/>
        </w:rPr>
        <w:t>s</w:t>
      </w:r>
      <w:r w:rsidRPr="005361A1">
        <w:rPr>
          <w:rFonts w:eastAsia="Yu Mincho"/>
        </w:rPr>
        <w:t xml:space="preserve"> or groups of students </w:t>
      </w:r>
    </w:p>
    <w:p w14:paraId="38421FBE" w14:textId="77777777" w:rsidR="007E340A" w:rsidRPr="005361A1" w:rsidRDefault="007E340A" w:rsidP="007E340A">
      <w:pPr>
        <w:pStyle w:val="VCAAbullet"/>
        <w:rPr>
          <w:rFonts w:eastAsia="Yu Mincho"/>
        </w:rPr>
      </w:pPr>
      <w:r w:rsidRPr="005361A1">
        <w:rPr>
          <w:rFonts w:eastAsia="Yu Mincho"/>
        </w:rPr>
        <w:t>present disrespectful or discriminatory content</w:t>
      </w:r>
    </w:p>
    <w:p w14:paraId="5BC891AA" w14:textId="77777777" w:rsidR="007E340A" w:rsidRPr="005361A1" w:rsidRDefault="007E340A" w:rsidP="007E340A">
      <w:pPr>
        <w:pStyle w:val="VCAAbullet"/>
        <w:rPr>
          <w:rFonts w:eastAsia="Yu Mincho"/>
        </w:rPr>
      </w:pPr>
      <w:r w:rsidRPr="005361A1">
        <w:rPr>
          <w:rFonts w:eastAsia="Yu Mincho"/>
        </w:rPr>
        <w:t>present controversial or contentious content</w:t>
      </w:r>
    </w:p>
    <w:p w14:paraId="38891833" w14:textId="77777777" w:rsidR="007E340A" w:rsidRDefault="007E340A" w:rsidP="007E340A">
      <w:pPr>
        <w:pStyle w:val="VCAAbullet"/>
        <w:rPr>
          <w:rFonts w:eastAsia="Yu Mincho"/>
        </w:rPr>
      </w:pPr>
      <w:r w:rsidRPr="005361A1">
        <w:rPr>
          <w:rFonts w:eastAsia="Yu Mincho"/>
        </w:rPr>
        <w:t>condone or glorify unlawful behaviour</w:t>
      </w:r>
      <w:r>
        <w:rPr>
          <w:rFonts w:eastAsia="Yu Mincho"/>
        </w:rPr>
        <w:t>.</w:t>
      </w:r>
    </w:p>
    <w:p w14:paraId="7E723683" w14:textId="77777777" w:rsidR="007E340A" w:rsidRDefault="007E340A" w:rsidP="007E340A">
      <w:pPr>
        <w:pStyle w:val="VCAAbody"/>
      </w:pPr>
      <w:r>
        <w:t xml:space="preserve">A broad range of subtopics may be used in classwork, and all the subtopics, and the resources to support them, must meet these standards. </w:t>
      </w:r>
    </w:p>
    <w:p w14:paraId="7EA2458F" w14:textId="77777777" w:rsidR="007E340A" w:rsidRPr="007209D4" w:rsidRDefault="007E340A" w:rsidP="007E340A">
      <w:pPr>
        <w:pStyle w:val="VCAAbody"/>
      </w:pPr>
      <w:r>
        <w:t>In addition, teachers should a</w:t>
      </w:r>
      <w:r w:rsidRPr="007209D4">
        <w:t>void resources that:</w:t>
      </w:r>
    </w:p>
    <w:p w14:paraId="32537676" w14:textId="77777777" w:rsidR="007E340A" w:rsidRPr="00EC4E27" w:rsidRDefault="007E340A" w:rsidP="007E340A">
      <w:pPr>
        <w:pStyle w:val="VCAAbullet"/>
        <w:rPr>
          <w:rFonts w:eastAsia="Yu Mincho"/>
        </w:rPr>
      </w:pPr>
      <w:r>
        <w:rPr>
          <w:rFonts w:eastAsia="Yu Mincho"/>
        </w:rPr>
        <w:t>c</w:t>
      </w:r>
      <w:r w:rsidRPr="00EC4E27">
        <w:rPr>
          <w:rFonts w:eastAsia="Yu Mincho"/>
        </w:rPr>
        <w:t>ontain inappropriate language</w:t>
      </w:r>
      <w:r>
        <w:rPr>
          <w:rFonts w:eastAsia="Yu Mincho"/>
        </w:rPr>
        <w:t xml:space="preserve">, </w:t>
      </w:r>
      <w:r w:rsidRPr="00EC4E27">
        <w:rPr>
          <w:rFonts w:eastAsia="Yu Mincho"/>
        </w:rPr>
        <w:t xml:space="preserve">violent </w:t>
      </w:r>
      <w:r>
        <w:rPr>
          <w:rFonts w:eastAsia="Yu Mincho"/>
        </w:rPr>
        <w:t xml:space="preserve">content </w:t>
      </w:r>
      <w:r w:rsidRPr="00EC4E27">
        <w:rPr>
          <w:rFonts w:eastAsia="Yu Mincho"/>
        </w:rPr>
        <w:t xml:space="preserve">or sexual content. </w:t>
      </w:r>
      <w:r>
        <w:rPr>
          <w:rFonts w:eastAsia="Yu Mincho"/>
        </w:rPr>
        <w:t>P</w:t>
      </w:r>
      <w:r w:rsidRPr="00EC4E27">
        <w:rPr>
          <w:rFonts w:eastAsia="Yu Mincho"/>
        </w:rPr>
        <w:t xml:space="preserve">articular care </w:t>
      </w:r>
      <w:r>
        <w:rPr>
          <w:rFonts w:eastAsia="Yu Mincho"/>
        </w:rPr>
        <w:t xml:space="preserve">should be taken </w:t>
      </w:r>
      <w:r w:rsidRPr="00EC4E27">
        <w:rPr>
          <w:rFonts w:eastAsia="Yu Mincho"/>
        </w:rPr>
        <w:t>with websites that include advertising when providing links for students to use independently</w:t>
      </w:r>
    </w:p>
    <w:p w14:paraId="46F45BEB" w14:textId="77777777" w:rsidR="007E340A" w:rsidRPr="00EC4E27" w:rsidRDefault="007E340A" w:rsidP="007E340A">
      <w:pPr>
        <w:pStyle w:val="VCAAbullet"/>
        <w:rPr>
          <w:rFonts w:eastAsia="Yu Mincho"/>
        </w:rPr>
      </w:pPr>
      <w:r>
        <w:rPr>
          <w:rFonts w:eastAsia="Yu Mincho"/>
        </w:rPr>
        <w:t>r</w:t>
      </w:r>
      <w:r w:rsidRPr="00EC4E27">
        <w:rPr>
          <w:rFonts w:eastAsia="Yu Mincho"/>
        </w:rPr>
        <w:t xml:space="preserve">equire students to subscribe or provide personal information for access. </w:t>
      </w:r>
    </w:p>
    <w:p w14:paraId="2777120D" w14:textId="77777777" w:rsidR="007E340A" w:rsidRDefault="007E340A" w:rsidP="007E340A">
      <w:pPr>
        <w:pStyle w:val="VCAAbody"/>
      </w:pPr>
      <w:r>
        <w:t>Teachers should s</w:t>
      </w:r>
      <w:r w:rsidRPr="00423944">
        <w:t xml:space="preserve">elect </w:t>
      </w:r>
      <w:r>
        <w:t xml:space="preserve">only those </w:t>
      </w:r>
      <w:r w:rsidRPr="00423944">
        <w:t xml:space="preserve">texts or parts of texts that </w:t>
      </w:r>
      <w:r>
        <w:t>meet the standards outlined here</w:t>
      </w:r>
      <w:r w:rsidRPr="00423944">
        <w:t xml:space="preserve">. </w:t>
      </w:r>
    </w:p>
    <w:p w14:paraId="1DFC41BC" w14:textId="77777777" w:rsidR="007E340A" w:rsidRPr="00C33DA9" w:rsidRDefault="007E340A" w:rsidP="007E340A">
      <w:pPr>
        <w:pStyle w:val="VCAAbody"/>
      </w:pPr>
      <w:r w:rsidRPr="00C33DA9">
        <w:t xml:space="preserve">Subtopics that do not meet these standards are also avoided in </w:t>
      </w:r>
      <w:r>
        <w:t xml:space="preserve">end-of-year external </w:t>
      </w:r>
      <w:r w:rsidRPr="00C33DA9">
        <w:t xml:space="preserve">examinations. More information on content standards in written examinations is provided under </w:t>
      </w:r>
      <w:r w:rsidRPr="00C33DA9">
        <w:rPr>
          <w:i/>
        </w:rPr>
        <w:t>Content standards for written examinations</w:t>
      </w:r>
      <w:r>
        <w:rPr>
          <w:i/>
        </w:rPr>
        <w:t>,</w:t>
      </w:r>
      <w:r w:rsidRPr="00C33DA9">
        <w:rPr>
          <w:i/>
        </w:rPr>
        <w:t xml:space="preserve"> </w:t>
      </w:r>
      <w:r w:rsidRPr="00C33DA9">
        <w:t>below.</w:t>
      </w:r>
    </w:p>
    <w:p w14:paraId="717287EF" w14:textId="77777777" w:rsidR="007E340A" w:rsidRPr="00A3525C" w:rsidRDefault="007E340A" w:rsidP="007E340A">
      <w:pPr>
        <w:pStyle w:val="VCAAHeading5"/>
        <w:ind w:left="567" w:hanging="567"/>
      </w:pPr>
      <w:r>
        <w:t>3.</w:t>
      </w:r>
      <w:r>
        <w:tab/>
      </w:r>
      <w:r w:rsidRPr="00A3525C">
        <w:t xml:space="preserve">Provide a variety of resources in teaching and learning </w:t>
      </w:r>
    </w:p>
    <w:p w14:paraId="51D5D655" w14:textId="77777777" w:rsidR="007E340A" w:rsidRDefault="007E340A" w:rsidP="007E340A">
      <w:pPr>
        <w:pStyle w:val="VCAAbody"/>
      </w:pPr>
      <w:r w:rsidRPr="003F3194">
        <w:t xml:space="preserve">Teachers should seek </w:t>
      </w:r>
      <w:r>
        <w:t xml:space="preserve">to use </w:t>
      </w:r>
      <w:r w:rsidRPr="003F3194">
        <w:t xml:space="preserve">a variety of resources that provide information for teaching, or texts that can be used </w:t>
      </w:r>
      <w:r>
        <w:t>for</w:t>
      </w:r>
      <w:r w:rsidRPr="003F3194">
        <w:t xml:space="preserve"> student </w:t>
      </w:r>
      <w:r>
        <w:t>learning</w:t>
      </w:r>
      <w:r w:rsidRPr="003F3194">
        <w:t xml:space="preserve">. </w:t>
      </w:r>
    </w:p>
    <w:p w14:paraId="138C541F" w14:textId="77777777" w:rsidR="007E340A" w:rsidRDefault="007E340A" w:rsidP="007E340A">
      <w:pPr>
        <w:pStyle w:val="VCAAbody"/>
      </w:pPr>
      <w:r>
        <w:t>It is important to expose students to a range of modelled language, including:</w:t>
      </w:r>
    </w:p>
    <w:p w14:paraId="0983E98E" w14:textId="77777777" w:rsidR="007E340A" w:rsidRPr="003F3194" w:rsidRDefault="007E340A" w:rsidP="007E340A">
      <w:pPr>
        <w:pStyle w:val="VCAAbullet"/>
        <w:rPr>
          <w:rFonts w:eastAsia="Yu Mincho"/>
        </w:rPr>
      </w:pPr>
      <w:r>
        <w:rPr>
          <w:rFonts w:eastAsia="Yu Mincho"/>
        </w:rPr>
        <w:t>a</w:t>
      </w:r>
      <w:r w:rsidRPr="003F3194">
        <w:rPr>
          <w:rFonts w:eastAsia="Yu Mincho"/>
        </w:rPr>
        <w:t xml:space="preserve"> variety of spoken</w:t>
      </w:r>
      <w:r>
        <w:rPr>
          <w:rFonts w:eastAsia="Yu Mincho"/>
        </w:rPr>
        <w:t xml:space="preserve">, </w:t>
      </w:r>
      <w:r w:rsidRPr="003F3194">
        <w:rPr>
          <w:rFonts w:eastAsia="Yu Mincho"/>
        </w:rPr>
        <w:t xml:space="preserve">written </w:t>
      </w:r>
      <w:r>
        <w:rPr>
          <w:rFonts w:eastAsia="Yu Mincho"/>
        </w:rPr>
        <w:t xml:space="preserve">and visual </w:t>
      </w:r>
      <w:r w:rsidRPr="003F3194">
        <w:rPr>
          <w:rFonts w:eastAsia="Yu Mincho"/>
        </w:rPr>
        <w:t>text types</w:t>
      </w:r>
    </w:p>
    <w:p w14:paraId="24A39A38" w14:textId="77777777" w:rsidR="007E340A" w:rsidRPr="003F3194" w:rsidRDefault="007E340A" w:rsidP="007E340A">
      <w:pPr>
        <w:pStyle w:val="VCAAbullet"/>
        <w:rPr>
          <w:rFonts w:eastAsia="Yu Mincho"/>
        </w:rPr>
      </w:pPr>
      <w:r>
        <w:rPr>
          <w:rFonts w:eastAsia="Yu Mincho"/>
        </w:rPr>
        <w:t>l</w:t>
      </w:r>
      <w:r w:rsidRPr="003F3194">
        <w:rPr>
          <w:rFonts w:eastAsia="Yu Mincho"/>
        </w:rPr>
        <w:t xml:space="preserve">anguage with different levels of formality and for </w:t>
      </w:r>
      <w:r>
        <w:rPr>
          <w:rFonts w:eastAsia="Yu Mincho"/>
        </w:rPr>
        <w:t xml:space="preserve">different </w:t>
      </w:r>
      <w:r w:rsidRPr="003F3194">
        <w:rPr>
          <w:rFonts w:eastAsia="Yu Mincho"/>
        </w:rPr>
        <w:t>contexts, purposes and audiences</w:t>
      </w:r>
    </w:p>
    <w:p w14:paraId="33602193" w14:textId="77777777" w:rsidR="007E340A" w:rsidRPr="003F3194" w:rsidRDefault="007E340A" w:rsidP="007E340A">
      <w:pPr>
        <w:pStyle w:val="VCAAbullet"/>
        <w:rPr>
          <w:rFonts w:eastAsia="Yu Mincho"/>
        </w:rPr>
      </w:pPr>
      <w:r>
        <w:rPr>
          <w:rFonts w:eastAsia="Yu Mincho"/>
        </w:rPr>
        <w:t>e</w:t>
      </w:r>
      <w:r w:rsidRPr="003F3194">
        <w:rPr>
          <w:rFonts w:eastAsia="Yu Mincho"/>
        </w:rPr>
        <w:t>xamples of different styles of writing</w:t>
      </w:r>
      <w:r>
        <w:rPr>
          <w:rFonts w:eastAsia="Yu Mincho"/>
        </w:rPr>
        <w:t xml:space="preserve"> and language use, including</w:t>
      </w:r>
      <w:r w:rsidRPr="003F3194">
        <w:rPr>
          <w:rFonts w:eastAsia="Yu Mincho"/>
        </w:rPr>
        <w:t xml:space="preserve"> descriptive, evaluative, imaginative, informative, personal, persuasive and reflective writing</w:t>
      </w:r>
      <w:r>
        <w:rPr>
          <w:rFonts w:eastAsia="Yu Mincho"/>
        </w:rPr>
        <w:t xml:space="preserve"> and language use</w:t>
      </w:r>
      <w:r w:rsidRPr="003F3194">
        <w:rPr>
          <w:rFonts w:eastAsia="Yu Mincho"/>
        </w:rPr>
        <w:t>, individually or in combination</w:t>
      </w:r>
    </w:p>
    <w:p w14:paraId="09F4C5F8" w14:textId="77777777" w:rsidR="007E340A" w:rsidRDefault="007E340A" w:rsidP="007E340A">
      <w:pPr>
        <w:pStyle w:val="VCAAbullet"/>
        <w:rPr>
          <w:rFonts w:eastAsia="Yu Mincho"/>
        </w:rPr>
      </w:pPr>
      <w:r>
        <w:rPr>
          <w:rFonts w:eastAsia="Yu Mincho"/>
        </w:rPr>
        <w:t>language used in a</w:t>
      </w:r>
      <w:r w:rsidRPr="003F3194">
        <w:rPr>
          <w:rFonts w:eastAsia="Yu Mincho"/>
        </w:rPr>
        <w:t xml:space="preserve"> </w:t>
      </w:r>
      <w:r>
        <w:rPr>
          <w:rFonts w:eastAsia="Yu Mincho"/>
        </w:rPr>
        <w:t>range</w:t>
      </w:r>
      <w:r w:rsidRPr="003F3194">
        <w:rPr>
          <w:rFonts w:eastAsia="Yu Mincho"/>
        </w:rPr>
        <w:t xml:space="preserve"> of media.</w:t>
      </w:r>
    </w:p>
    <w:p w14:paraId="0E5B6C1A" w14:textId="77777777" w:rsidR="007E340A" w:rsidRPr="00A3525C" w:rsidRDefault="007E340A" w:rsidP="007E340A">
      <w:pPr>
        <w:pStyle w:val="VCAAHeading5"/>
        <w:ind w:left="567" w:hanging="567"/>
      </w:pPr>
      <w:r>
        <w:t>4.</w:t>
      </w:r>
      <w:r>
        <w:tab/>
      </w:r>
      <w:r w:rsidRPr="00A3525C">
        <w:t>Review texts before using them with students</w:t>
      </w:r>
    </w:p>
    <w:p w14:paraId="644ECCFA" w14:textId="77777777" w:rsidR="007E340A" w:rsidRPr="00EC4E27" w:rsidRDefault="007E340A" w:rsidP="007E340A">
      <w:pPr>
        <w:pStyle w:val="VCAAbody"/>
      </w:pPr>
      <w:r>
        <w:t>Teachers should e</w:t>
      </w:r>
      <w:r w:rsidRPr="00EC4E27">
        <w:t xml:space="preserve">nsure that </w:t>
      </w:r>
      <w:r>
        <w:t xml:space="preserve">each </w:t>
      </w:r>
      <w:r w:rsidRPr="00EC4E27">
        <w:t>resource present</w:t>
      </w:r>
      <w:r>
        <w:t>s</w:t>
      </w:r>
      <w:r w:rsidRPr="00EC4E27">
        <w:t>:</w:t>
      </w:r>
    </w:p>
    <w:p w14:paraId="3E1A811D" w14:textId="77777777" w:rsidR="007E340A" w:rsidRPr="00EC4E27" w:rsidRDefault="007E340A" w:rsidP="007E340A">
      <w:pPr>
        <w:pStyle w:val="VCAAbullet"/>
        <w:rPr>
          <w:rFonts w:eastAsia="Yu Mincho"/>
        </w:rPr>
      </w:pPr>
      <w:r w:rsidRPr="00EC4E27">
        <w:rPr>
          <w:rFonts w:eastAsia="Yu Mincho"/>
        </w:rPr>
        <w:t>information on subtopics directly related to the prescribed topics of the study</w:t>
      </w:r>
    </w:p>
    <w:p w14:paraId="19D81DC3" w14:textId="77777777" w:rsidR="007E340A" w:rsidRPr="00EC4E27" w:rsidRDefault="007E340A" w:rsidP="007E340A">
      <w:pPr>
        <w:pStyle w:val="VCAAbullet"/>
        <w:rPr>
          <w:rFonts w:eastAsia="Yu Mincho"/>
        </w:rPr>
      </w:pPr>
      <w:r w:rsidRPr="00EC4E27">
        <w:rPr>
          <w:rFonts w:eastAsia="Yu Mincho"/>
        </w:rPr>
        <w:t>suitable content for students</w:t>
      </w:r>
      <w:r>
        <w:rPr>
          <w:rFonts w:eastAsia="Yu Mincho"/>
        </w:rPr>
        <w:t xml:space="preserve"> (see above)</w:t>
      </w:r>
    </w:p>
    <w:p w14:paraId="12FA8EB8" w14:textId="77777777" w:rsidR="007E340A" w:rsidRPr="00EC4E27" w:rsidRDefault="007E340A" w:rsidP="007E340A">
      <w:pPr>
        <w:pStyle w:val="VCAAbullet"/>
        <w:rPr>
          <w:rFonts w:eastAsia="Yu Mincho"/>
        </w:rPr>
      </w:pPr>
      <w:r w:rsidRPr="00EC4E27">
        <w:rPr>
          <w:rFonts w:eastAsia="Yu Mincho"/>
        </w:rPr>
        <w:t>accessible language for students at this level</w:t>
      </w:r>
    </w:p>
    <w:p w14:paraId="3141EA42" w14:textId="77777777" w:rsidR="007E340A" w:rsidRPr="00EC4E27" w:rsidRDefault="007E340A" w:rsidP="007E340A">
      <w:pPr>
        <w:pStyle w:val="VCAAbullet"/>
        <w:rPr>
          <w:rFonts w:eastAsia="Yu Mincho"/>
        </w:rPr>
      </w:pPr>
      <w:r w:rsidRPr="00EC4E27">
        <w:rPr>
          <w:rFonts w:eastAsia="Yu Mincho"/>
        </w:rPr>
        <w:lastRenderedPageBreak/>
        <w:t>suitable stimulus texts for the tasks required in coursework and/or preparing students for examination tasks. For example:</w:t>
      </w:r>
    </w:p>
    <w:p w14:paraId="48C4AF68" w14:textId="77777777" w:rsidR="007E340A" w:rsidRPr="00EC4E27" w:rsidRDefault="007E340A" w:rsidP="007E340A">
      <w:pPr>
        <w:pStyle w:val="VCAAbulletlevel2"/>
        <w:rPr>
          <w:rFonts w:eastAsia="Yu Mincho"/>
        </w:rPr>
      </w:pPr>
      <w:r>
        <w:rPr>
          <w:rFonts w:eastAsia="Yu Mincho"/>
        </w:rPr>
        <w:t>S</w:t>
      </w:r>
      <w:r w:rsidRPr="00EC4E27">
        <w:rPr>
          <w:rFonts w:eastAsia="Yu Mincho"/>
        </w:rPr>
        <w:t>tudent analysis of language (analysing language) requires language input presented in listening or reading texts</w:t>
      </w:r>
      <w:r>
        <w:rPr>
          <w:rFonts w:eastAsia="Yu Mincho"/>
        </w:rPr>
        <w:t>.</w:t>
      </w:r>
      <w:r w:rsidRPr="00EC4E27">
        <w:rPr>
          <w:rFonts w:eastAsia="Yu Mincho"/>
        </w:rPr>
        <w:t xml:space="preserve"> </w:t>
      </w:r>
    </w:p>
    <w:p w14:paraId="3C8A02EC" w14:textId="77777777" w:rsidR="007E340A" w:rsidRPr="00EC4E27" w:rsidRDefault="007E340A" w:rsidP="007E340A">
      <w:pPr>
        <w:pStyle w:val="VCAAbulletlevel2"/>
        <w:rPr>
          <w:rFonts w:eastAsia="Yu Mincho"/>
        </w:rPr>
      </w:pPr>
      <w:r>
        <w:rPr>
          <w:rFonts w:eastAsia="Yu Mincho"/>
        </w:rPr>
        <w:t>T</w:t>
      </w:r>
      <w:r w:rsidRPr="00EC4E27">
        <w:rPr>
          <w:rFonts w:eastAsia="Yu Mincho"/>
        </w:rPr>
        <w:t xml:space="preserve">exts used to stimulate an exchange or response (interacting in the language) require content for students to respond to. For example, an email may invite comment, or confirmation of arrangements. </w:t>
      </w:r>
    </w:p>
    <w:p w14:paraId="159EDEEB" w14:textId="77777777" w:rsidR="007E340A" w:rsidRDefault="007E340A" w:rsidP="007E340A">
      <w:pPr>
        <w:pStyle w:val="VCAAbulletlevel2"/>
        <w:rPr>
          <w:rFonts w:eastAsia="Yu Mincho"/>
        </w:rPr>
      </w:pPr>
      <w:r>
        <w:rPr>
          <w:rFonts w:eastAsia="Yu Mincho"/>
        </w:rPr>
        <w:t>V</w:t>
      </w:r>
      <w:r w:rsidRPr="00EC4E27">
        <w:rPr>
          <w:rFonts w:eastAsia="Yu Mincho"/>
        </w:rPr>
        <w:t xml:space="preserve">isual texts are unsuitable for language analysis tasks, but may be suitable </w:t>
      </w:r>
      <w:r>
        <w:rPr>
          <w:rFonts w:eastAsia="Yu Mincho"/>
        </w:rPr>
        <w:t>for</w:t>
      </w:r>
      <w:r w:rsidRPr="00EC4E27">
        <w:rPr>
          <w:rFonts w:eastAsia="Yu Mincho"/>
        </w:rPr>
        <w:t xml:space="preserve"> </w:t>
      </w:r>
      <w:r>
        <w:rPr>
          <w:rFonts w:eastAsia="Yu Mincho"/>
        </w:rPr>
        <w:t xml:space="preserve">engaging with </w:t>
      </w:r>
      <w:r w:rsidRPr="00EC4E27">
        <w:rPr>
          <w:rFonts w:eastAsia="Yu Mincho"/>
        </w:rPr>
        <w:t>cultural understanding or provid</w:t>
      </w:r>
      <w:r>
        <w:rPr>
          <w:rFonts w:eastAsia="Yu Mincho"/>
        </w:rPr>
        <w:t>ing</w:t>
      </w:r>
      <w:r w:rsidRPr="00EC4E27">
        <w:rPr>
          <w:rFonts w:eastAsia="Yu Mincho"/>
        </w:rPr>
        <w:t xml:space="preserve"> complementary information on a subtopic.</w:t>
      </w:r>
    </w:p>
    <w:p w14:paraId="0ADAA648" w14:textId="77777777" w:rsidR="007E340A" w:rsidRPr="00EC4E27" w:rsidRDefault="007E340A" w:rsidP="007E340A">
      <w:pPr>
        <w:pStyle w:val="VCAAbulletlevel2"/>
        <w:rPr>
          <w:rFonts w:eastAsia="Yu Mincho"/>
        </w:rPr>
      </w:pPr>
      <w:r>
        <w:rPr>
          <w:rFonts w:eastAsia="Yu Mincho"/>
        </w:rPr>
        <w:t xml:space="preserve">Resources may provide combinations of listening, reading and/or visual </w:t>
      </w:r>
      <w:r w:rsidRPr="00A13686">
        <w:rPr>
          <w:rFonts w:eastAsia="Yu Mincho"/>
        </w:rPr>
        <w:t>stimuli. This</w:t>
      </w:r>
      <w:r>
        <w:rPr>
          <w:rFonts w:eastAsia="Yu Mincho"/>
        </w:rPr>
        <w:t xml:space="preserve"> may be useful for particular tasks, but unsuitable for others where overlapping information may make it difficult to identify the source(s) of information in a student response. </w:t>
      </w:r>
    </w:p>
    <w:p w14:paraId="0129C185" w14:textId="77777777" w:rsidR="007E340A" w:rsidRPr="00A3525C" w:rsidRDefault="007E340A" w:rsidP="007E340A">
      <w:pPr>
        <w:pStyle w:val="VCAAHeading2"/>
      </w:pPr>
      <w:r w:rsidRPr="00A3525C">
        <w:t>Content standards for written examinations</w:t>
      </w:r>
    </w:p>
    <w:p w14:paraId="39F1C8FC" w14:textId="77777777" w:rsidR="007E340A" w:rsidRPr="00A13686" w:rsidRDefault="007E340A" w:rsidP="007E340A">
      <w:pPr>
        <w:pStyle w:val="VCAAbody"/>
      </w:pPr>
      <w:r w:rsidRPr="00EC4E27">
        <w:t>In an examination environment, contexts that may inadvertently cause anxiety</w:t>
      </w:r>
      <w:r>
        <w:t xml:space="preserve">, </w:t>
      </w:r>
      <w:r w:rsidRPr="00EC4E27">
        <w:t>distress</w:t>
      </w:r>
      <w:r>
        <w:t xml:space="preserve"> or </w:t>
      </w:r>
      <w:r w:rsidRPr="00EC4E27">
        <w:t xml:space="preserve">offence </w:t>
      </w:r>
      <w:r>
        <w:t>or</w:t>
      </w:r>
      <w:r w:rsidRPr="00EC4E27">
        <w:t xml:space="preserve"> that might relate to a distressing event in a </w:t>
      </w:r>
      <w:r w:rsidRPr="00A13686">
        <w:t xml:space="preserve">student’s life are avoided. Texts that present disrespectful, discriminatory, controversial or contentious content are also avoided. </w:t>
      </w:r>
    </w:p>
    <w:p w14:paraId="0BB831D6" w14:textId="77777777" w:rsidR="007E340A" w:rsidRPr="00A5428E" w:rsidRDefault="007E340A" w:rsidP="007E340A">
      <w:pPr>
        <w:pStyle w:val="VCAAbody"/>
      </w:pPr>
      <w:r w:rsidRPr="00A13686">
        <w:t>In addition, written examination setting and vetting teams are sensitive to subtopics or questions that, although not directly discriminatory or distressing, may pose problems. For example, care is taken to avoid:</w:t>
      </w:r>
      <w:r w:rsidRPr="00A5428E">
        <w:t xml:space="preserve"> </w:t>
      </w:r>
    </w:p>
    <w:p w14:paraId="345C85DB" w14:textId="77777777" w:rsidR="007E340A" w:rsidRPr="004C490E" w:rsidRDefault="007E340A" w:rsidP="007E340A">
      <w:pPr>
        <w:pStyle w:val="VCAAbullet"/>
      </w:pPr>
      <w:r w:rsidRPr="004C490E">
        <w:t>advantaging</w:t>
      </w:r>
      <w:r>
        <w:t xml:space="preserve">, </w:t>
      </w:r>
      <w:r w:rsidRPr="00A13686">
        <w:t>disadvantaging or prioritising one</w:t>
      </w:r>
      <w:r w:rsidRPr="004C490E">
        <w:t xml:space="preserve"> gender, community, religious </w:t>
      </w:r>
      <w:r>
        <w:t xml:space="preserve">group </w:t>
      </w:r>
      <w:r w:rsidRPr="004C490E">
        <w:t>or socioeconomic group</w:t>
      </w:r>
    </w:p>
    <w:p w14:paraId="5C87F55A" w14:textId="77777777" w:rsidR="007E340A" w:rsidRPr="00A13686" w:rsidRDefault="007E340A" w:rsidP="007E340A">
      <w:pPr>
        <w:pStyle w:val="VCAAbullet"/>
      </w:pPr>
      <w:r w:rsidRPr="00A13686">
        <w:t xml:space="preserve">cultural, social </w:t>
      </w:r>
      <w:r>
        <w:t>and</w:t>
      </w:r>
      <w:r w:rsidRPr="00A13686">
        <w:t xml:space="preserve"> gender stereotypes</w:t>
      </w:r>
    </w:p>
    <w:p w14:paraId="66DC72E2" w14:textId="77777777" w:rsidR="007E340A" w:rsidRPr="004C490E" w:rsidRDefault="007E340A" w:rsidP="007E340A">
      <w:pPr>
        <w:pStyle w:val="VCAAbullet"/>
      </w:pPr>
      <w:r w:rsidRPr="004C490E">
        <w:t xml:space="preserve">contexts, subtopics </w:t>
      </w:r>
      <w:r>
        <w:t>and</w:t>
      </w:r>
      <w:r w:rsidRPr="004C490E">
        <w:t xml:space="preserve"> questions that may be perceived as promoting an opinion or perspective that may cause offence or be politically controversial </w:t>
      </w:r>
    </w:p>
    <w:p w14:paraId="3230253D" w14:textId="77777777" w:rsidR="007E340A" w:rsidRPr="00A13686" w:rsidRDefault="007E340A" w:rsidP="007E340A">
      <w:pPr>
        <w:pStyle w:val="VCAAbullet"/>
      </w:pPr>
      <w:r w:rsidRPr="00A13686">
        <w:t xml:space="preserve">subtopics </w:t>
      </w:r>
      <w:r>
        <w:t>and</w:t>
      </w:r>
      <w:r w:rsidRPr="00A13686">
        <w:t xml:space="preserve"> events that may offend or distress a section of the community (</w:t>
      </w:r>
      <w:r>
        <w:t>and</w:t>
      </w:r>
      <w:r w:rsidRPr="00A13686">
        <w:t xml:space="preserve"> event</w:t>
      </w:r>
      <w:r>
        <w:t>s</w:t>
      </w:r>
      <w:r w:rsidRPr="00A13686">
        <w:t xml:space="preserve"> that may have ramifications for community members)</w:t>
      </w:r>
      <w:r>
        <w:t>, f</w:t>
      </w:r>
      <w:r w:rsidRPr="00A13686">
        <w:t>or example</w:t>
      </w:r>
      <w:r>
        <w:t>,</w:t>
      </w:r>
      <w:r w:rsidRPr="00A13686">
        <w:t xml:space="preserve"> a natural disaster or a social or community tragedy</w:t>
      </w:r>
    </w:p>
    <w:p w14:paraId="7C116687" w14:textId="77777777" w:rsidR="007E340A" w:rsidRPr="00A13686" w:rsidRDefault="007E340A" w:rsidP="007E340A">
      <w:pPr>
        <w:pStyle w:val="VCAAbullet"/>
      </w:pPr>
      <w:r w:rsidRPr="00A13686">
        <w:t xml:space="preserve">real people’s names, business names, products and advertisements. </w:t>
      </w:r>
    </w:p>
    <w:p w14:paraId="2B976676" w14:textId="3B1013F8" w:rsidR="002647BB" w:rsidRPr="007E340A" w:rsidRDefault="007E340A" w:rsidP="007E340A">
      <w:pPr>
        <w:pStyle w:val="VCAAbody"/>
      </w:pPr>
      <w:r w:rsidRPr="00A13686">
        <w:rPr>
          <w:rFonts w:eastAsia="Yu Mincho"/>
          <w:iCs/>
        </w:rPr>
        <w:t xml:space="preserve">Care is also taken to </w:t>
      </w:r>
      <w:r w:rsidRPr="00A13686">
        <w:rPr>
          <w:rFonts w:eastAsia="Times New Roman"/>
          <w:szCs w:val="20"/>
        </w:rPr>
        <w:t>use correct and appropriate terms when referring to specific communities.</w:t>
      </w:r>
      <w:r>
        <w:t xml:space="preserve"> </w:t>
      </w:r>
      <w:r w:rsidRPr="00A13686">
        <w:t xml:space="preserve">For example, if </w:t>
      </w:r>
      <w:r>
        <w:t>referred to</w:t>
      </w:r>
      <w:r w:rsidRPr="00A13686">
        <w:t xml:space="preserve"> in relation to their specific location, Aboriginal communities are referred to by their language group, not in general terms such as </w:t>
      </w:r>
      <w:r w:rsidRPr="00A13686">
        <w:rPr>
          <w:bCs/>
        </w:rPr>
        <w:t>Australian First Nations Peoples or First Nations Australians</w:t>
      </w:r>
      <w:r w:rsidRPr="00A13686">
        <w:t xml:space="preserve">. </w:t>
      </w:r>
    </w:p>
    <w:sectPr w:rsidR="002647BB" w:rsidRPr="007E340A"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EB06945" w:rsidR="00FD29D3" w:rsidRPr="00D86DE4" w:rsidRDefault="002972B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D1A45">
          <w:rPr>
            <w:color w:val="999999" w:themeColor="accent2"/>
            <w:lang w:val="en-AU"/>
          </w:rPr>
          <w:t xml:space="preserve">VCE </w:t>
        </w:r>
        <w:r w:rsidR="00C26D96">
          <w:rPr>
            <w:color w:val="999999" w:themeColor="accent2"/>
            <w:lang w:val="en-AU"/>
          </w:rPr>
          <w:t>Romanian</w:t>
        </w:r>
        <w:r w:rsidR="007D1A45">
          <w:rPr>
            <w:color w:val="999999" w:themeColor="accent2"/>
            <w:lang w:val="en-AU"/>
          </w:rPr>
          <w:t xml:space="preserve"> </w:t>
        </w:r>
        <w:r w:rsidR="00B15A24">
          <w:rPr>
            <w:color w:val="999999" w:themeColor="accent2"/>
            <w:lang w:val="en-AU"/>
          </w:rPr>
          <w:t>Resources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FC"/>
    <w:multiLevelType w:val="hybridMultilevel"/>
    <w:tmpl w:val="BF2818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473CC8"/>
    <w:multiLevelType w:val="hybridMultilevel"/>
    <w:tmpl w:val="EA92A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623EB"/>
    <w:multiLevelType w:val="hybridMultilevel"/>
    <w:tmpl w:val="365C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3E2B94"/>
    <w:multiLevelType w:val="hybridMultilevel"/>
    <w:tmpl w:val="2B40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24C6C"/>
    <w:multiLevelType w:val="hybridMultilevel"/>
    <w:tmpl w:val="05BEBA0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6" w15:restartNumberingAfterBreak="0">
    <w:nsid w:val="3BC11924"/>
    <w:multiLevelType w:val="hybridMultilevel"/>
    <w:tmpl w:val="8244C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C333731"/>
    <w:multiLevelType w:val="hybridMultilevel"/>
    <w:tmpl w:val="1112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9D95B99"/>
    <w:multiLevelType w:val="hybridMultilevel"/>
    <w:tmpl w:val="A7421D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7D76A3"/>
    <w:multiLevelType w:val="hybridMultilevel"/>
    <w:tmpl w:val="CB0299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DB5C44"/>
    <w:multiLevelType w:val="hybridMultilevel"/>
    <w:tmpl w:val="E4E8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B644D1F"/>
    <w:multiLevelType w:val="hybridMultilevel"/>
    <w:tmpl w:val="D2DA96D2"/>
    <w:lvl w:ilvl="0" w:tplc="0C090001">
      <w:start w:val="1"/>
      <w:numFmt w:val="bullet"/>
      <w:lvlText w:val=""/>
      <w:lvlJc w:val="left"/>
      <w:pPr>
        <w:ind w:left="720" w:hanging="360"/>
      </w:pPr>
      <w:rPr>
        <w:rFonts w:ascii="Symbol" w:hAnsi="Symbol" w:hint="default"/>
      </w:rPr>
    </w:lvl>
    <w:lvl w:ilvl="1" w:tplc="A332555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73B5580"/>
    <w:multiLevelType w:val="hybridMultilevel"/>
    <w:tmpl w:val="BD1C4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6330146">
    <w:abstractNumId w:val="15"/>
  </w:num>
  <w:num w:numId="2" w16cid:durableId="2051803328">
    <w:abstractNumId w:val="12"/>
  </w:num>
  <w:num w:numId="3" w16cid:durableId="936904834">
    <w:abstractNumId w:val="8"/>
  </w:num>
  <w:num w:numId="4" w16cid:durableId="1051152598">
    <w:abstractNumId w:val="2"/>
  </w:num>
  <w:num w:numId="5" w16cid:durableId="835413272">
    <w:abstractNumId w:val="14"/>
  </w:num>
  <w:num w:numId="6" w16cid:durableId="2072193643">
    <w:abstractNumId w:val="6"/>
  </w:num>
  <w:num w:numId="7" w16cid:durableId="1094516948">
    <w:abstractNumId w:val="16"/>
  </w:num>
  <w:num w:numId="8" w16cid:durableId="1706251410">
    <w:abstractNumId w:val="1"/>
  </w:num>
  <w:num w:numId="9" w16cid:durableId="1498422375">
    <w:abstractNumId w:val="9"/>
  </w:num>
  <w:num w:numId="10" w16cid:durableId="2084715431">
    <w:abstractNumId w:val="13"/>
  </w:num>
  <w:num w:numId="11" w16cid:durableId="1988244468">
    <w:abstractNumId w:val="0"/>
  </w:num>
  <w:num w:numId="12" w16cid:durableId="614752692">
    <w:abstractNumId w:val="5"/>
  </w:num>
  <w:num w:numId="13" w16cid:durableId="1732463551">
    <w:abstractNumId w:val="3"/>
  </w:num>
  <w:num w:numId="14" w16cid:durableId="1454834837">
    <w:abstractNumId w:val="11"/>
  </w:num>
  <w:num w:numId="15" w16cid:durableId="620846466">
    <w:abstractNumId w:val="10"/>
  </w:num>
  <w:num w:numId="16" w16cid:durableId="393746100">
    <w:abstractNumId w:val="11"/>
  </w:num>
  <w:num w:numId="17" w16cid:durableId="10663022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32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3140663">
    <w:abstractNumId w:val="16"/>
  </w:num>
  <w:num w:numId="20" w16cid:durableId="1468939114">
    <w:abstractNumId w:val="6"/>
  </w:num>
  <w:num w:numId="21" w16cid:durableId="68886330">
    <w:abstractNumId w:val="3"/>
  </w:num>
  <w:num w:numId="22" w16cid:durableId="1896044998">
    <w:abstractNumId w:val="1"/>
  </w:num>
  <w:num w:numId="23" w16cid:durableId="1187862352">
    <w:abstractNumId w:val="0"/>
  </w:num>
  <w:num w:numId="24" w16cid:durableId="785857540">
    <w:abstractNumId w:val="13"/>
  </w:num>
  <w:num w:numId="25" w16cid:durableId="1633173223">
    <w:abstractNumId w:val="5"/>
  </w:num>
  <w:num w:numId="26" w16cid:durableId="374046116">
    <w:abstractNumId w:val="4"/>
  </w:num>
  <w:num w:numId="27" w16cid:durableId="1458142836">
    <w:abstractNumId w:val="11"/>
  </w:num>
  <w:num w:numId="28" w16cid:durableId="78605712">
    <w:abstractNumId w:val="4"/>
  </w:num>
  <w:num w:numId="29" w16cid:durableId="1776553253">
    <w:abstractNumId w:val="4"/>
  </w:num>
  <w:num w:numId="30" w16cid:durableId="2012483143">
    <w:abstractNumId w:val="7"/>
  </w:num>
  <w:num w:numId="31" w16cid:durableId="797573598">
    <w:abstractNumId w:val="7"/>
  </w:num>
  <w:num w:numId="32" w16cid:durableId="1432509069">
    <w:abstractNumId w:val="4"/>
  </w:num>
  <w:num w:numId="33" w16cid:durableId="83653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stylePaneSortMethod w:val="0000"/>
  <w:mailMerge>
    <w:mainDocumentType w:val="formLetters"/>
    <w:dataType w:val="textFile"/>
    <w:activeRecord w:val="-1"/>
  </w:mailMerg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77EBD"/>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972B3"/>
    <w:rsid w:val="002C6F90"/>
    <w:rsid w:val="002E4FB5"/>
    <w:rsid w:val="002F130A"/>
    <w:rsid w:val="00302FB8"/>
    <w:rsid w:val="00304EA1"/>
    <w:rsid w:val="00314D81"/>
    <w:rsid w:val="00322FC6"/>
    <w:rsid w:val="0035293F"/>
    <w:rsid w:val="00391986"/>
    <w:rsid w:val="003A00B4"/>
    <w:rsid w:val="003C5E71"/>
    <w:rsid w:val="003C7214"/>
    <w:rsid w:val="003E7244"/>
    <w:rsid w:val="00417AA3"/>
    <w:rsid w:val="00425DFE"/>
    <w:rsid w:val="00434EDB"/>
    <w:rsid w:val="00440B32"/>
    <w:rsid w:val="0046078D"/>
    <w:rsid w:val="00473AF1"/>
    <w:rsid w:val="00495C80"/>
    <w:rsid w:val="004A2ED8"/>
    <w:rsid w:val="004E6AC0"/>
    <w:rsid w:val="004F5BDA"/>
    <w:rsid w:val="0051631E"/>
    <w:rsid w:val="00537A1F"/>
    <w:rsid w:val="00566029"/>
    <w:rsid w:val="00571BDC"/>
    <w:rsid w:val="005923CB"/>
    <w:rsid w:val="005B391B"/>
    <w:rsid w:val="005D2D3B"/>
    <w:rsid w:val="005D3D78"/>
    <w:rsid w:val="005E2EF0"/>
    <w:rsid w:val="005F4092"/>
    <w:rsid w:val="0068471E"/>
    <w:rsid w:val="00684F98"/>
    <w:rsid w:val="00693FFD"/>
    <w:rsid w:val="006D2159"/>
    <w:rsid w:val="006F787C"/>
    <w:rsid w:val="00702636"/>
    <w:rsid w:val="00724507"/>
    <w:rsid w:val="00770E4E"/>
    <w:rsid w:val="00773E6C"/>
    <w:rsid w:val="00781FB1"/>
    <w:rsid w:val="007A1A88"/>
    <w:rsid w:val="007D1A45"/>
    <w:rsid w:val="007D1B6D"/>
    <w:rsid w:val="007E340A"/>
    <w:rsid w:val="00813C37"/>
    <w:rsid w:val="008154B5"/>
    <w:rsid w:val="00823962"/>
    <w:rsid w:val="00833BE1"/>
    <w:rsid w:val="00850410"/>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15A24"/>
    <w:rsid w:val="00B230DB"/>
    <w:rsid w:val="00B26601"/>
    <w:rsid w:val="00B37129"/>
    <w:rsid w:val="00B41951"/>
    <w:rsid w:val="00B53229"/>
    <w:rsid w:val="00B62480"/>
    <w:rsid w:val="00B81B70"/>
    <w:rsid w:val="00BB3BAB"/>
    <w:rsid w:val="00BD0724"/>
    <w:rsid w:val="00BD2B91"/>
    <w:rsid w:val="00BE5521"/>
    <w:rsid w:val="00BF6C23"/>
    <w:rsid w:val="00C26D96"/>
    <w:rsid w:val="00C53263"/>
    <w:rsid w:val="00C603C4"/>
    <w:rsid w:val="00C75F1D"/>
    <w:rsid w:val="00C95156"/>
    <w:rsid w:val="00CA0DC2"/>
    <w:rsid w:val="00CA3603"/>
    <w:rsid w:val="00CB68E8"/>
    <w:rsid w:val="00D04F01"/>
    <w:rsid w:val="00D06414"/>
    <w:rsid w:val="00D24E5A"/>
    <w:rsid w:val="00D338E4"/>
    <w:rsid w:val="00D51947"/>
    <w:rsid w:val="00D532F0"/>
    <w:rsid w:val="00D56E0F"/>
    <w:rsid w:val="00D77413"/>
    <w:rsid w:val="00D82759"/>
    <w:rsid w:val="00D86DE4"/>
    <w:rsid w:val="00DD58B2"/>
    <w:rsid w:val="00DE1909"/>
    <w:rsid w:val="00DE51DB"/>
    <w:rsid w:val="00E23F1D"/>
    <w:rsid w:val="00E30E05"/>
    <w:rsid w:val="00E36361"/>
    <w:rsid w:val="00E55AE9"/>
    <w:rsid w:val="00EB0C84"/>
    <w:rsid w:val="00F17FDE"/>
    <w:rsid w:val="00F40D53"/>
    <w:rsid w:val="00F4525C"/>
    <w:rsid w:val="00F50D86"/>
    <w:rsid w:val="00F64D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aliases w:val="Head3 V14BBlack"/>
    <w:basedOn w:val="Normal"/>
    <w:next w:val="Normal"/>
    <w:link w:val="Heading4Char"/>
    <w:uiPriority w:val="9"/>
    <w:unhideWhenUsed/>
    <w:qFormat/>
    <w:rsid w:val="00B15A24"/>
    <w:pPr>
      <w:keepNext/>
      <w:keepLines/>
      <w:spacing w:before="280" w:after="240" w:line="259" w:lineRule="auto"/>
      <w:outlineLvl w:val="3"/>
    </w:pPr>
    <w:rPr>
      <w:rFonts w:ascii="Arial" w:eastAsiaTheme="majorEastAsia" w:hAnsi="Arial" w:cstheme="majorBidi"/>
      <w:b/>
      <w:iCs/>
      <w:sz w:val="28"/>
      <w:lang w:val="en-AU" w:eastAsia="ja-JP"/>
    </w:rPr>
  </w:style>
  <w:style w:type="paragraph" w:styleId="Heading5">
    <w:name w:val="heading 5"/>
    <w:aliases w:val="Head4 V12BBlack"/>
    <w:basedOn w:val="Normal"/>
    <w:next w:val="Normal"/>
    <w:link w:val="Heading5Char"/>
    <w:uiPriority w:val="9"/>
    <w:unhideWhenUsed/>
    <w:qFormat/>
    <w:rsid w:val="00B15A24"/>
    <w:pPr>
      <w:keepNext/>
      <w:keepLines/>
      <w:spacing w:before="280" w:after="240" w:line="259" w:lineRule="auto"/>
      <w:outlineLvl w:val="4"/>
    </w:pPr>
    <w:rPr>
      <w:rFonts w:ascii="Arial" w:eastAsiaTheme="majorEastAsia" w:hAnsi="Arial" w:cstheme="majorBidi"/>
      <w:b/>
      <w:sz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aliases w:val="Head3 V14BBlack Char"/>
    <w:basedOn w:val="DefaultParagraphFont"/>
    <w:link w:val="Heading4"/>
    <w:uiPriority w:val="9"/>
    <w:rsid w:val="00B15A24"/>
    <w:rPr>
      <w:rFonts w:ascii="Arial" w:eastAsiaTheme="majorEastAsia" w:hAnsi="Arial" w:cstheme="majorBidi"/>
      <w:b/>
      <w:iCs/>
      <w:sz w:val="28"/>
      <w:lang w:val="en-AU" w:eastAsia="ja-JP"/>
    </w:rPr>
  </w:style>
  <w:style w:type="character" w:customStyle="1" w:styleId="Heading5Char">
    <w:name w:val="Heading 5 Char"/>
    <w:aliases w:val="Head4 V12BBlack Char"/>
    <w:basedOn w:val="DefaultParagraphFont"/>
    <w:link w:val="Heading5"/>
    <w:uiPriority w:val="9"/>
    <w:rsid w:val="00B15A24"/>
    <w:rPr>
      <w:rFonts w:ascii="Arial" w:eastAsiaTheme="majorEastAsia" w:hAnsi="Arial" w:cstheme="majorBidi"/>
      <w:b/>
      <w:sz w:val="24"/>
      <w:lang w:val="en-AU" w:eastAsia="ja-JP"/>
    </w:rPr>
  </w:style>
  <w:style w:type="paragraph" w:styleId="ListParagraph">
    <w:name w:val="List Paragraph"/>
    <w:basedOn w:val="Normal"/>
    <w:link w:val="ListParagraphChar"/>
    <w:uiPriority w:val="34"/>
    <w:qFormat/>
    <w:rsid w:val="00B15A24"/>
    <w:pPr>
      <w:spacing w:after="160" w:line="259" w:lineRule="auto"/>
      <w:ind w:left="720"/>
      <w:contextualSpacing/>
    </w:pPr>
    <w:rPr>
      <w:rFonts w:ascii="Arial" w:eastAsiaTheme="minorEastAsia" w:hAnsi="Arial"/>
      <w:lang w:val="en-AU" w:eastAsia="ja-JP"/>
    </w:rPr>
  </w:style>
  <w:style w:type="character" w:customStyle="1" w:styleId="ListParagraphChar">
    <w:name w:val="List Paragraph Char"/>
    <w:basedOn w:val="DefaultParagraphFont"/>
    <w:link w:val="ListParagraph"/>
    <w:uiPriority w:val="34"/>
    <w:rsid w:val="00B15A24"/>
    <w:rPr>
      <w:rFonts w:ascii="Arial" w:eastAsiaTheme="minorEastAsia" w:hAnsi="Arial"/>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7039">
      <w:bodyDiv w:val="1"/>
      <w:marLeft w:val="0"/>
      <w:marRight w:val="0"/>
      <w:marTop w:val="0"/>
      <w:marBottom w:val="0"/>
      <w:divBdr>
        <w:top w:val="none" w:sz="0" w:space="0" w:color="auto"/>
        <w:left w:val="none" w:sz="0" w:space="0" w:color="auto"/>
        <w:bottom w:val="none" w:sz="0" w:space="0" w:color="auto"/>
        <w:right w:val="none" w:sz="0" w:space="0" w:color="auto"/>
      </w:divBdr>
    </w:div>
    <w:div w:id="545794690">
      <w:bodyDiv w:val="1"/>
      <w:marLeft w:val="0"/>
      <w:marRight w:val="0"/>
      <w:marTop w:val="0"/>
      <w:marBottom w:val="0"/>
      <w:divBdr>
        <w:top w:val="none" w:sz="0" w:space="0" w:color="auto"/>
        <w:left w:val="none" w:sz="0" w:space="0" w:color="auto"/>
        <w:bottom w:val="none" w:sz="0" w:space="0" w:color="auto"/>
        <w:right w:val="none" w:sz="0" w:space="0" w:color="auto"/>
      </w:divBdr>
    </w:div>
    <w:div w:id="584918145">
      <w:bodyDiv w:val="1"/>
      <w:marLeft w:val="0"/>
      <w:marRight w:val="0"/>
      <w:marTop w:val="0"/>
      <w:marBottom w:val="0"/>
      <w:divBdr>
        <w:top w:val="none" w:sz="0" w:space="0" w:color="auto"/>
        <w:left w:val="none" w:sz="0" w:space="0" w:color="auto"/>
        <w:bottom w:val="none" w:sz="0" w:space="0" w:color="auto"/>
        <w:right w:val="none" w:sz="0" w:space="0" w:color="auto"/>
      </w:divBdr>
    </w:div>
    <w:div w:id="883642927">
      <w:bodyDiv w:val="1"/>
      <w:marLeft w:val="0"/>
      <w:marRight w:val="0"/>
      <w:marTop w:val="0"/>
      <w:marBottom w:val="0"/>
      <w:divBdr>
        <w:top w:val="none" w:sz="0" w:space="0" w:color="auto"/>
        <w:left w:val="none" w:sz="0" w:space="0" w:color="auto"/>
        <w:bottom w:val="none" w:sz="0" w:space="0" w:color="auto"/>
        <w:right w:val="none" w:sz="0" w:space="0" w:color="auto"/>
      </w:divBdr>
    </w:div>
    <w:div w:id="1572277605">
      <w:bodyDiv w:val="1"/>
      <w:marLeft w:val="0"/>
      <w:marRight w:val="0"/>
      <w:marTop w:val="0"/>
      <w:marBottom w:val="0"/>
      <w:divBdr>
        <w:top w:val="none" w:sz="0" w:space="0" w:color="auto"/>
        <w:left w:val="none" w:sz="0" w:space="0" w:color="auto"/>
        <w:bottom w:val="none" w:sz="0" w:space="0" w:color="auto"/>
        <w:right w:val="none" w:sz="0" w:space="0" w:color="auto"/>
      </w:divBdr>
    </w:div>
    <w:div w:id="1586113839">
      <w:bodyDiv w:val="1"/>
      <w:marLeft w:val="0"/>
      <w:marRight w:val="0"/>
      <w:marTop w:val="0"/>
      <w:marBottom w:val="0"/>
      <w:divBdr>
        <w:top w:val="none" w:sz="0" w:space="0" w:color="auto"/>
        <w:left w:val="none" w:sz="0" w:space="0" w:color="auto"/>
        <w:bottom w:val="none" w:sz="0" w:space="0" w:color="auto"/>
        <w:right w:val="none" w:sz="0" w:space="0" w:color="auto"/>
      </w:divBdr>
    </w:div>
    <w:div w:id="1800101251">
      <w:bodyDiv w:val="1"/>
      <w:marLeft w:val="0"/>
      <w:marRight w:val="0"/>
      <w:marTop w:val="0"/>
      <w:marBottom w:val="0"/>
      <w:divBdr>
        <w:top w:val="none" w:sz="0" w:space="0" w:color="auto"/>
        <w:left w:val="none" w:sz="0" w:space="0" w:color="auto"/>
        <w:bottom w:val="none" w:sz="0" w:space="0" w:color="auto"/>
        <w:right w:val="none" w:sz="0" w:space="0" w:color="auto"/>
      </w:divBdr>
    </w:div>
    <w:div w:id="20652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73AF1"/>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51103C81-6CD3-4AEE-8F7F-4AA655E54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VCE Romanian Resources</vt:lpstr>
    </vt:vector>
  </TitlesOfParts>
  <Company>Victorian Curriculum and Assessment Authority</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Romanian Resources</dc:title>
  <dc:subject>Romanian</dc:subject>
  <dc:creator>vcaa@education.vic.gov.au</dc:creator>
  <cp:keywords>CCAFL, Romanian, VCE, resources, languages</cp:keywords>
  <cp:lastModifiedBy>Chris Allan</cp:lastModifiedBy>
  <cp:revision>2</cp:revision>
  <cp:lastPrinted>2015-05-15T02:36:00Z</cp:lastPrinted>
  <dcterms:created xsi:type="dcterms:W3CDTF">2025-10-07T03:07:00Z</dcterms:created>
  <dcterms:modified xsi:type="dcterms:W3CDTF">2025-10-07T03:07:00Z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