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D58B2" w14:paraId="42AE9247" w14:textId="77777777" w:rsidTr="002D58B2">
        <w:tc>
          <w:tcPr>
            <w:tcW w:w="13948" w:type="dxa"/>
            <w:gridSpan w:val="6"/>
            <w:shd w:val="clear" w:color="auto" w:fill="0072AA" w:themeFill="accent1" w:themeFillShade="BF"/>
          </w:tcPr>
          <w:p w14:paraId="21D212D8" w14:textId="2FA21E4B" w:rsidR="002D58B2" w:rsidRPr="002F3FB0" w:rsidRDefault="002D58B2" w:rsidP="002F3FB0">
            <w:pPr>
              <w:pStyle w:val="Tablecondensedheading"/>
              <w:jc w:val="center"/>
              <w:rPr>
                <w:b/>
                <w:sz w:val="28"/>
                <w:szCs w:val="28"/>
              </w:rPr>
            </w:pPr>
            <w:r w:rsidRPr="002F3FB0">
              <w:rPr>
                <w:sz w:val="28"/>
                <w:szCs w:val="28"/>
              </w:rPr>
              <w:t>VCE Systems Engineering</w:t>
            </w:r>
          </w:p>
          <w:p w14:paraId="1329B918" w14:textId="77777777" w:rsidR="002D58B2" w:rsidRPr="002F3FB0" w:rsidRDefault="002D58B2" w:rsidP="00A90F2A">
            <w:pPr>
              <w:spacing w:line="240" w:lineRule="auto"/>
              <w:jc w:val="center"/>
            </w:pPr>
            <w:r w:rsidRPr="002F3FB0">
              <w:rPr>
                <w:color w:val="FFFFFF" w:themeColor="background1"/>
              </w:rPr>
              <w:t>SCHOOL-ASSESSED COURSEWORK</w:t>
            </w:r>
          </w:p>
        </w:tc>
      </w:tr>
      <w:tr w:rsidR="002D58B2" w14:paraId="1B3E3635" w14:textId="77777777" w:rsidTr="00A90F2A">
        <w:tc>
          <w:tcPr>
            <w:tcW w:w="13948" w:type="dxa"/>
            <w:gridSpan w:val="6"/>
          </w:tcPr>
          <w:p w14:paraId="3E2E8F5A" w14:textId="77777777" w:rsidR="002D58B2" w:rsidRDefault="002D58B2" w:rsidP="00A90F2A">
            <w:pPr>
              <w:jc w:val="center"/>
            </w:pPr>
            <w:r>
              <w:rPr>
                <w:lang w:val="en-AU"/>
              </w:rPr>
              <w:t>Performance descriptors</w:t>
            </w:r>
          </w:p>
        </w:tc>
      </w:tr>
      <w:tr w:rsidR="0043181F" w14:paraId="5E71367B" w14:textId="77777777" w:rsidTr="00A90F2A">
        <w:tc>
          <w:tcPr>
            <w:tcW w:w="2324" w:type="dxa"/>
            <w:vMerge w:val="restart"/>
          </w:tcPr>
          <w:p w14:paraId="271F1FE7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7017A1F4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55AD00F4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690A7F75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52C89E25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7567C7D5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296A20C7" w14:textId="77777777" w:rsidR="0043181F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6778496F" w14:textId="77777777" w:rsidR="0043181F" w:rsidRPr="001F74A6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  <w:r w:rsidRPr="001F74A6"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  <w:t xml:space="preserve">Unit </w:t>
            </w:r>
            <w: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  <w:t>3</w:t>
            </w:r>
          </w:p>
          <w:p w14:paraId="0CA60AAF" w14:textId="77777777" w:rsidR="0043181F" w:rsidRPr="001F74A6" w:rsidRDefault="0043181F" w:rsidP="00A90F2A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  <w:r w:rsidRPr="001F74A6"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  <w:t xml:space="preserve">Outcome </w:t>
            </w:r>
            <w: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  <w:t>2</w:t>
            </w:r>
          </w:p>
          <w:p w14:paraId="3CB23FCF" w14:textId="60B99142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Discuss the advantages and disadvantages of renewable and non-renewable energy sources, and </w:t>
            </w:r>
            <w:proofErr w:type="spellStart"/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analyse</w:t>
            </w:r>
            <w:proofErr w:type="spellEnd"/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and critique technologies used to harness, generate and store </w:t>
            </w:r>
            <w:r w:rsidRPr="00C96AA8">
              <w:rPr>
                <w:rFonts w:ascii="Arial Narrow" w:hAnsi="Arial Narrow"/>
                <w:sz w:val="20"/>
                <w:szCs w:val="20"/>
              </w:rPr>
              <w:t xml:space="preserve">renewable and </w:t>
            </w:r>
            <w:r w:rsidR="00C96AA8" w:rsidRPr="00C96AA8">
              <w:rPr>
                <w:rFonts w:ascii="Arial Narrow" w:hAnsi="Arial Narrow"/>
                <w:sz w:val="20"/>
                <w:szCs w:val="20"/>
              </w:rPr>
              <w:t>non-</w:t>
            </w:r>
            <w:r w:rsidRPr="00C96AA8">
              <w:rPr>
                <w:rFonts w:ascii="Arial Narrow" w:hAnsi="Arial Narrow"/>
                <w:sz w:val="20"/>
                <w:szCs w:val="20"/>
              </w:rPr>
              <w:t>renewable energy</w:t>
            </w:r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24" w:type="dxa"/>
            <w:vAlign w:val="center"/>
          </w:tcPr>
          <w:p w14:paraId="1D46B6A7" w14:textId="77777777" w:rsidR="0043181F" w:rsidRDefault="0043181F" w:rsidP="00A90F2A">
            <w:r w:rsidRPr="00497336">
              <w:rPr>
                <w:rFonts w:ascii="Arial Narrow" w:hAnsi="Arial Narrow" w:cs="Arial"/>
                <w:b/>
                <w:bCs/>
                <w:sz w:val="20"/>
                <w:szCs w:val="20"/>
                <w:lang w:eastAsia="en-AU"/>
              </w:rPr>
              <w:t>Very low</w:t>
            </w:r>
          </w:p>
        </w:tc>
        <w:tc>
          <w:tcPr>
            <w:tcW w:w="2325" w:type="dxa"/>
            <w:vAlign w:val="center"/>
          </w:tcPr>
          <w:p w14:paraId="3CD9DEF6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325" w:type="dxa"/>
            <w:vAlign w:val="center"/>
          </w:tcPr>
          <w:p w14:paraId="0D4B6959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325" w:type="dxa"/>
            <w:vAlign w:val="center"/>
          </w:tcPr>
          <w:p w14:paraId="211536FA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325" w:type="dxa"/>
            <w:vAlign w:val="center"/>
          </w:tcPr>
          <w:p w14:paraId="45EADEC6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43181F" w14:paraId="75AD5277" w14:textId="77777777" w:rsidTr="00A90F2A">
        <w:tc>
          <w:tcPr>
            <w:tcW w:w="2324" w:type="dxa"/>
            <w:vMerge/>
          </w:tcPr>
          <w:p w14:paraId="4F213E56" w14:textId="19A9EE13" w:rsidR="0043181F" w:rsidRDefault="0043181F" w:rsidP="00A90F2A"/>
        </w:tc>
        <w:tc>
          <w:tcPr>
            <w:tcW w:w="2324" w:type="dxa"/>
          </w:tcPr>
          <w:p w14:paraId="49615750" w14:textId="427EA051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forms of renewable and non-renewable energy sources, and/or their advantages and disadvantages</w:t>
            </w:r>
          </w:p>
        </w:tc>
        <w:tc>
          <w:tcPr>
            <w:tcW w:w="2325" w:type="dxa"/>
          </w:tcPr>
          <w:p w14:paraId="365F8263" w14:textId="0ED91A1F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Identifies forms of renewable and non-renewable energy </w:t>
            </w:r>
            <w:r w:rsidR="00C60E0F"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sources</w:t>
            </w:r>
            <w:r w:rsidR="00C60E0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96AA8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</w:t>
            </w:r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their advantages and disadvantages</w:t>
            </w:r>
          </w:p>
        </w:tc>
        <w:tc>
          <w:tcPr>
            <w:tcW w:w="2325" w:type="dxa"/>
          </w:tcPr>
          <w:p w14:paraId="0919E024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forms of renewable and non-renewable energy sources, and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C60E0F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their advantages and disadvantages, including a cradle-to-cradle (C2C) analysis</w:t>
            </w:r>
          </w:p>
        </w:tc>
        <w:tc>
          <w:tcPr>
            <w:tcW w:w="2325" w:type="dxa"/>
          </w:tcPr>
          <w:p w14:paraId="40B88631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forms of renewable and non-renewable energy sources, and explains their advantages and disadvantages, including a cradle-to-cradle (C2C) analysis</w:t>
            </w:r>
          </w:p>
        </w:tc>
        <w:tc>
          <w:tcPr>
            <w:tcW w:w="2325" w:type="dxa"/>
          </w:tcPr>
          <w:p w14:paraId="0200D9B9" w14:textId="438545CF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Describes forms of renewable and non-renewable energy sources, and discusses their advantages and disadvantages, including a cradle-to-cradle (C2C) </w:t>
            </w:r>
            <w:r w:rsidR="00AD1D48">
              <w:rPr>
                <w:rFonts w:ascii="Arial Narrow" w:hAnsi="Arial Narrow"/>
                <w:color w:val="000000" w:themeColor="text1"/>
                <w:sz w:val="20"/>
                <w:szCs w:val="20"/>
              </w:rPr>
              <w:t>analysis</w:t>
            </w:r>
          </w:p>
        </w:tc>
      </w:tr>
      <w:tr w:rsidR="0043181F" w14:paraId="1FAB5FCC" w14:textId="77777777" w:rsidTr="00A90F2A">
        <w:tc>
          <w:tcPr>
            <w:tcW w:w="2324" w:type="dxa"/>
            <w:vMerge/>
          </w:tcPr>
          <w:p w14:paraId="15418B48" w14:textId="77777777" w:rsidR="0043181F" w:rsidRDefault="0043181F" w:rsidP="00A90F2A"/>
        </w:tc>
        <w:tc>
          <w:tcPr>
            <w:tcW w:w="2324" w:type="dxa"/>
          </w:tcPr>
          <w:p w14:paraId="0E8910DE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dependence on non-renewable energy and strategies for transitioning to renewable energy sources</w:t>
            </w:r>
          </w:p>
        </w:tc>
        <w:tc>
          <w:tcPr>
            <w:tcW w:w="2325" w:type="dxa"/>
          </w:tcPr>
          <w:p w14:paraId="3B58C19B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dependence on non-renewable energy and strategies for transitioning to renewable energy sources</w:t>
            </w:r>
          </w:p>
        </w:tc>
        <w:tc>
          <w:tcPr>
            <w:tcW w:w="2325" w:type="dxa"/>
          </w:tcPr>
          <w:p w14:paraId="5708308C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dependence on non-renewable energy and strategies for transitioning to renewable energy sources</w:t>
            </w:r>
          </w:p>
        </w:tc>
        <w:tc>
          <w:tcPr>
            <w:tcW w:w="2325" w:type="dxa"/>
          </w:tcPr>
          <w:p w14:paraId="703B5182" w14:textId="77777777" w:rsidR="0043181F" w:rsidRPr="002F3FB0" w:rsidRDefault="0043181F" w:rsidP="00A90F2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F3FB0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dependence on non-renewable energy and strategies for transitioning to renewable energy sources</w:t>
            </w:r>
          </w:p>
        </w:tc>
        <w:tc>
          <w:tcPr>
            <w:tcW w:w="2325" w:type="dxa"/>
            <w:vMerge w:val="restart"/>
          </w:tcPr>
          <w:p w14:paraId="2EB2E296" w14:textId="101B5CD9" w:rsidR="0043181F" w:rsidRPr="002F3FB0" w:rsidRDefault="0043181F" w:rsidP="00A90F2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F3FB0">
              <w:rPr>
                <w:rFonts w:ascii="Arial Narrow" w:hAnsi="Arial Narrow"/>
                <w:color w:val="000000" w:themeColor="text1"/>
                <w:sz w:val="20"/>
                <w:szCs w:val="20"/>
              </w:rPr>
              <w:t>Discusses dependence on non-renewable energy and strategies for transitioning to renewable energy sources, and explains recent technological developments to improve environmental credentials of non-renewable resources</w:t>
            </w:r>
          </w:p>
        </w:tc>
      </w:tr>
      <w:tr w:rsidR="0043181F" w14:paraId="3FAB6A4C" w14:textId="77777777" w:rsidTr="00A90F2A">
        <w:tc>
          <w:tcPr>
            <w:tcW w:w="2324" w:type="dxa"/>
            <w:vMerge/>
          </w:tcPr>
          <w:p w14:paraId="0C86DDA5" w14:textId="77777777" w:rsidR="0043181F" w:rsidRDefault="0043181F" w:rsidP="00A90F2A"/>
        </w:tc>
        <w:tc>
          <w:tcPr>
            <w:tcW w:w="2324" w:type="dxa"/>
          </w:tcPr>
          <w:p w14:paraId="2CF1AFD3" w14:textId="77777777" w:rsidR="0043181F" w:rsidRDefault="0043181F" w:rsidP="00A90F2A">
            <w:r w:rsidRPr="008A7DB0">
              <w:rPr>
                <w:rFonts w:ascii="Arial Narrow" w:hAnsi="Arial Narrow"/>
                <w:sz w:val="20"/>
                <w:szCs w:val="20"/>
              </w:rPr>
              <w:t>Identifies recent technological developments to improve environmental credentials of non-renewable resources</w:t>
            </w:r>
          </w:p>
        </w:tc>
        <w:tc>
          <w:tcPr>
            <w:tcW w:w="2325" w:type="dxa"/>
          </w:tcPr>
          <w:p w14:paraId="4EF303EC" w14:textId="77777777" w:rsidR="0043181F" w:rsidRDefault="0043181F" w:rsidP="00A90F2A">
            <w:r w:rsidRPr="008A7DB0">
              <w:rPr>
                <w:rFonts w:ascii="Arial Narrow" w:hAnsi="Arial Narrow"/>
                <w:sz w:val="20"/>
                <w:szCs w:val="20"/>
              </w:rPr>
              <w:t>Outlines recent technological developments to improve environmental credentials of non-renewable resources</w:t>
            </w:r>
          </w:p>
        </w:tc>
        <w:tc>
          <w:tcPr>
            <w:tcW w:w="2325" w:type="dxa"/>
          </w:tcPr>
          <w:p w14:paraId="5BEA5F81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recent technological developments to improve environmental credentials of non-renewable resources</w:t>
            </w:r>
          </w:p>
        </w:tc>
        <w:tc>
          <w:tcPr>
            <w:tcW w:w="2325" w:type="dxa"/>
          </w:tcPr>
          <w:p w14:paraId="495ED1D9" w14:textId="77777777" w:rsidR="0043181F" w:rsidRPr="002F3FB0" w:rsidRDefault="0043181F" w:rsidP="00A90F2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recent technological developments to improve environmental credentials of non-renewable resources</w:t>
            </w:r>
          </w:p>
        </w:tc>
        <w:tc>
          <w:tcPr>
            <w:tcW w:w="2325" w:type="dxa"/>
            <w:vMerge/>
          </w:tcPr>
          <w:p w14:paraId="55A54095" w14:textId="77777777" w:rsidR="0043181F" w:rsidRPr="002F3FB0" w:rsidRDefault="0043181F" w:rsidP="00A90F2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43181F" w14:paraId="4FEFA184" w14:textId="77777777" w:rsidTr="00A90F2A">
        <w:tc>
          <w:tcPr>
            <w:tcW w:w="2324" w:type="dxa"/>
            <w:vMerge/>
          </w:tcPr>
          <w:p w14:paraId="2E19BB1B" w14:textId="77777777" w:rsidR="0043181F" w:rsidRDefault="0043181F" w:rsidP="00A90F2A"/>
        </w:tc>
        <w:tc>
          <w:tcPr>
            <w:tcW w:w="2324" w:type="dxa"/>
          </w:tcPr>
          <w:p w14:paraId="2C2BB7F4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challenges within the renewable energy supply chain</w:t>
            </w:r>
          </w:p>
        </w:tc>
        <w:tc>
          <w:tcPr>
            <w:tcW w:w="2325" w:type="dxa"/>
          </w:tcPr>
          <w:p w14:paraId="243CC783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challenges within the renewable energy supply chain</w:t>
            </w:r>
          </w:p>
        </w:tc>
        <w:tc>
          <w:tcPr>
            <w:tcW w:w="2325" w:type="dxa"/>
          </w:tcPr>
          <w:p w14:paraId="4ABEA516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challenges within the renewable energy supply chain</w:t>
            </w:r>
          </w:p>
        </w:tc>
        <w:tc>
          <w:tcPr>
            <w:tcW w:w="2325" w:type="dxa"/>
          </w:tcPr>
          <w:p w14:paraId="0ED01530" w14:textId="77777777" w:rsidR="0043181F" w:rsidRPr="002F3FB0" w:rsidRDefault="0043181F" w:rsidP="00A90F2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challenges within the renewable energy supply chain</w:t>
            </w:r>
          </w:p>
        </w:tc>
        <w:tc>
          <w:tcPr>
            <w:tcW w:w="2325" w:type="dxa"/>
            <w:vMerge w:val="restart"/>
          </w:tcPr>
          <w:p w14:paraId="5FC97DE5" w14:textId="77777777" w:rsidR="0043181F" w:rsidRPr="002F3FB0" w:rsidRDefault="0043181F" w:rsidP="00A90F2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F3FB0">
              <w:rPr>
                <w:rFonts w:ascii="Arial Narrow" w:hAnsi="Arial Narrow"/>
                <w:color w:val="000000" w:themeColor="text1"/>
                <w:sz w:val="20"/>
                <w:szCs w:val="20"/>
              </w:rPr>
              <w:t>Discusses challenges within the renewable energy supply chain and analyses the technologies and processes used to harness, generate and store renewable energy sources</w:t>
            </w:r>
          </w:p>
        </w:tc>
      </w:tr>
      <w:tr w:rsidR="0043181F" w14:paraId="6A4B6038" w14:textId="77777777" w:rsidTr="00A90F2A">
        <w:tc>
          <w:tcPr>
            <w:tcW w:w="2324" w:type="dxa"/>
            <w:vMerge/>
          </w:tcPr>
          <w:p w14:paraId="3714314D" w14:textId="77777777" w:rsidR="0043181F" w:rsidRDefault="0043181F" w:rsidP="00A90F2A"/>
        </w:tc>
        <w:tc>
          <w:tcPr>
            <w:tcW w:w="2324" w:type="dxa"/>
          </w:tcPr>
          <w:p w14:paraId="1CB4237A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the technologies and processes used to harness, generate and store renewable energy sources</w:t>
            </w:r>
          </w:p>
        </w:tc>
        <w:tc>
          <w:tcPr>
            <w:tcW w:w="2325" w:type="dxa"/>
          </w:tcPr>
          <w:p w14:paraId="45C1C441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the technologies and processes used to harness, generate and store renewable energy sources</w:t>
            </w:r>
          </w:p>
        </w:tc>
        <w:tc>
          <w:tcPr>
            <w:tcW w:w="2325" w:type="dxa"/>
          </w:tcPr>
          <w:p w14:paraId="3592CFA6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the technologies and processes used to harness, generate and store renewable energy sources</w:t>
            </w:r>
          </w:p>
        </w:tc>
        <w:tc>
          <w:tcPr>
            <w:tcW w:w="2325" w:type="dxa"/>
          </w:tcPr>
          <w:p w14:paraId="5C34EB92" w14:textId="77777777" w:rsidR="0043181F" w:rsidRDefault="0043181F" w:rsidP="00A90F2A">
            <w:r w:rsidRPr="008A7DB0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the technologies and processes used to harness, generate and store renewable energy sources</w:t>
            </w:r>
          </w:p>
        </w:tc>
        <w:tc>
          <w:tcPr>
            <w:tcW w:w="2325" w:type="dxa"/>
            <w:vMerge/>
          </w:tcPr>
          <w:p w14:paraId="753E18D3" w14:textId="77777777" w:rsidR="0043181F" w:rsidRDefault="0043181F" w:rsidP="00A90F2A"/>
        </w:tc>
      </w:tr>
    </w:tbl>
    <w:p w14:paraId="6AB842A4" w14:textId="77777777" w:rsidR="00E70C22" w:rsidRDefault="00E70C22" w:rsidP="00E70C22">
      <w:pPr>
        <w:spacing w:after="120" w:line="240" w:lineRule="auto"/>
        <w:rPr>
          <w:rFonts w:cs="Arial"/>
          <w:sz w:val="18"/>
          <w:szCs w:val="18"/>
        </w:rPr>
      </w:pPr>
    </w:p>
    <w:p w14:paraId="475709B0" w14:textId="39E17FB2" w:rsidR="00E70C22" w:rsidRPr="007C3D7A" w:rsidRDefault="00E70C22" w:rsidP="00E70C22">
      <w:pPr>
        <w:spacing w:after="120" w:line="240" w:lineRule="auto"/>
        <w:rPr>
          <w:rFonts w:cs="Arial"/>
          <w:sz w:val="18"/>
          <w:szCs w:val="18"/>
        </w:rPr>
      </w:pPr>
      <w:r w:rsidRPr="007C3D7A">
        <w:rPr>
          <w:rFonts w:cs="Arial"/>
          <w:sz w:val="18"/>
          <w:szCs w:val="18"/>
        </w:rPr>
        <w:t xml:space="preserve">KEY to marking scale based on the Outcome contributing </w:t>
      </w:r>
      <w:r>
        <w:rPr>
          <w:rFonts w:cs="Arial"/>
          <w:sz w:val="18"/>
          <w:szCs w:val="18"/>
        </w:rPr>
        <w:t>50</w:t>
      </w:r>
      <w:r w:rsidRPr="007C3D7A">
        <w:rPr>
          <w:rFonts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157"/>
        <w:gridCol w:w="1906"/>
        <w:gridCol w:w="548"/>
        <w:gridCol w:w="1515"/>
        <w:gridCol w:w="753"/>
        <w:gridCol w:w="1310"/>
        <w:gridCol w:w="1100"/>
        <w:gridCol w:w="963"/>
        <w:gridCol w:w="1305"/>
        <w:gridCol w:w="2268"/>
      </w:tblGrid>
      <w:tr w:rsidR="00E70C22" w:rsidRPr="00EC42E9" w14:paraId="0068D5AF" w14:textId="77777777" w:rsidTr="00A90F2A">
        <w:trPr>
          <w:gridAfter w:val="2"/>
          <w:wAfter w:w="3573" w:type="dxa"/>
        </w:trPr>
        <w:tc>
          <w:tcPr>
            <w:tcW w:w="2062" w:type="dxa"/>
            <w:vAlign w:val="center"/>
          </w:tcPr>
          <w:p w14:paraId="711B8764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 xml:space="preserve">Very Low </w:t>
            </w:r>
            <w:r>
              <w:rPr>
                <w:sz w:val="18"/>
                <w:szCs w:val="18"/>
              </w:rPr>
              <w:t>0</w:t>
            </w:r>
            <w:r w:rsidRPr="004B7620">
              <w:rPr>
                <w:sz w:val="18"/>
                <w:szCs w:val="18"/>
              </w:rPr>
              <w:t>–10</w:t>
            </w:r>
          </w:p>
        </w:tc>
        <w:tc>
          <w:tcPr>
            <w:tcW w:w="2063" w:type="dxa"/>
            <w:gridSpan w:val="2"/>
            <w:vAlign w:val="center"/>
          </w:tcPr>
          <w:p w14:paraId="4825FB18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Low 11–20</w:t>
            </w:r>
          </w:p>
        </w:tc>
        <w:tc>
          <w:tcPr>
            <w:tcW w:w="2063" w:type="dxa"/>
            <w:gridSpan w:val="2"/>
            <w:vAlign w:val="center"/>
          </w:tcPr>
          <w:p w14:paraId="741E939E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Medium 21–30</w:t>
            </w:r>
          </w:p>
        </w:tc>
        <w:tc>
          <w:tcPr>
            <w:tcW w:w="2063" w:type="dxa"/>
            <w:gridSpan w:val="2"/>
            <w:vAlign w:val="center"/>
          </w:tcPr>
          <w:p w14:paraId="541214AD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High 31–40</w:t>
            </w:r>
          </w:p>
        </w:tc>
        <w:tc>
          <w:tcPr>
            <w:tcW w:w="2063" w:type="dxa"/>
            <w:gridSpan w:val="2"/>
            <w:vAlign w:val="center"/>
          </w:tcPr>
          <w:p w14:paraId="54B0097D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Very High 41–50</w:t>
            </w:r>
          </w:p>
        </w:tc>
      </w:tr>
      <w:tr w:rsidR="0043181F" w14:paraId="5053AC67" w14:textId="77777777" w:rsidTr="00583AF1">
        <w:tc>
          <w:tcPr>
            <w:tcW w:w="13887" w:type="dxa"/>
            <w:gridSpan w:val="11"/>
            <w:shd w:val="clear" w:color="auto" w:fill="0072AA" w:themeFill="accent1" w:themeFillShade="BF"/>
          </w:tcPr>
          <w:p w14:paraId="5105F176" w14:textId="7A5D4C73" w:rsidR="0043181F" w:rsidRPr="002F3FB0" w:rsidRDefault="0043181F" w:rsidP="00A90F2A">
            <w:pPr>
              <w:pStyle w:val="Tablecondensedheading"/>
              <w:jc w:val="center"/>
              <w:rPr>
                <w:b/>
                <w:sz w:val="28"/>
                <w:szCs w:val="28"/>
              </w:rPr>
            </w:pPr>
            <w:r w:rsidRPr="002F3FB0">
              <w:rPr>
                <w:sz w:val="28"/>
                <w:szCs w:val="28"/>
              </w:rPr>
              <w:lastRenderedPageBreak/>
              <w:t>VCE Systems Engineering</w:t>
            </w:r>
          </w:p>
          <w:p w14:paraId="6C0D2BBC" w14:textId="77777777" w:rsidR="0043181F" w:rsidRPr="002F3FB0" w:rsidRDefault="0043181F" w:rsidP="00A90F2A">
            <w:pPr>
              <w:spacing w:line="240" w:lineRule="auto"/>
              <w:jc w:val="center"/>
            </w:pPr>
            <w:r w:rsidRPr="002F3FB0">
              <w:rPr>
                <w:color w:val="FFFFFF" w:themeColor="background1"/>
              </w:rPr>
              <w:t>SCHOOL-ASSESSED COURSEWORK</w:t>
            </w:r>
          </w:p>
        </w:tc>
      </w:tr>
      <w:tr w:rsidR="0043181F" w14:paraId="55372BBF" w14:textId="77777777" w:rsidTr="009753B9">
        <w:tc>
          <w:tcPr>
            <w:tcW w:w="13887" w:type="dxa"/>
            <w:gridSpan w:val="11"/>
          </w:tcPr>
          <w:p w14:paraId="3509D4D8" w14:textId="19D98F1B" w:rsidR="0043181F" w:rsidRDefault="0043181F" w:rsidP="00A90F2A">
            <w:pPr>
              <w:jc w:val="center"/>
            </w:pPr>
            <w:r>
              <w:rPr>
                <w:lang w:val="en-AU"/>
              </w:rPr>
              <w:t>Performance descriptors</w:t>
            </w:r>
          </w:p>
        </w:tc>
      </w:tr>
      <w:tr w:rsidR="0043181F" w14:paraId="650C38E1" w14:textId="77777777" w:rsidTr="0043181F">
        <w:tc>
          <w:tcPr>
            <w:tcW w:w="2219" w:type="dxa"/>
            <w:gridSpan w:val="2"/>
            <w:vMerge w:val="restart"/>
          </w:tcPr>
          <w:p w14:paraId="3D14212F" w14:textId="77777777" w:rsidR="0043181F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4849DFE4" w14:textId="77777777" w:rsidR="0043181F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551F032C" w14:textId="77777777" w:rsidR="0043181F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21C9848E" w14:textId="77777777" w:rsidR="0043181F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4AEEFFB2" w14:textId="77777777" w:rsidR="0043181F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4DD42DC6" w14:textId="77777777" w:rsidR="0043181F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</w:p>
          <w:p w14:paraId="5FECE429" w14:textId="77777777" w:rsidR="0043181F" w:rsidRPr="001F74A6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  <w:r w:rsidRPr="001F74A6"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  <w:t>Unit 4</w:t>
            </w:r>
          </w:p>
          <w:p w14:paraId="1DF9F3EE" w14:textId="77777777" w:rsidR="0043181F" w:rsidRPr="001F74A6" w:rsidRDefault="0043181F" w:rsidP="0050795C">
            <w:pPr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</w:pPr>
            <w:r w:rsidRPr="001F74A6"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</w:rPr>
              <w:t>Outcome 2</w:t>
            </w:r>
          </w:p>
          <w:p w14:paraId="190FAEAE" w14:textId="77777777" w:rsidR="0043181F" w:rsidRPr="005E729E" w:rsidRDefault="0043181F" w:rsidP="0050795C">
            <w:pPr>
              <w:spacing w:before="120" w:after="1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E72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Evaluate a range of new or emerging systems engineering technologies and </w:t>
            </w:r>
            <w:proofErr w:type="spellStart"/>
            <w:r w:rsidRPr="005E729E">
              <w:rPr>
                <w:rFonts w:ascii="Arial Narrow" w:hAnsi="Arial Narrow"/>
                <w:color w:val="000000" w:themeColor="text1"/>
                <w:sz w:val="20"/>
                <w:szCs w:val="20"/>
              </w:rPr>
              <w:t>analyse</w:t>
            </w:r>
            <w:proofErr w:type="spellEnd"/>
            <w:r w:rsidRPr="005E729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and critique likely impacts of these selected technologies.</w:t>
            </w:r>
          </w:p>
          <w:p w14:paraId="409630F4" w14:textId="77777777" w:rsidR="0043181F" w:rsidRDefault="0043181F" w:rsidP="0050795C"/>
        </w:tc>
        <w:tc>
          <w:tcPr>
            <w:tcW w:w="2454" w:type="dxa"/>
            <w:gridSpan w:val="2"/>
            <w:vAlign w:val="center"/>
          </w:tcPr>
          <w:p w14:paraId="5CE0D010" w14:textId="77777777" w:rsidR="0043181F" w:rsidRDefault="0043181F" w:rsidP="00A90F2A">
            <w:r w:rsidRPr="00497336">
              <w:rPr>
                <w:rFonts w:ascii="Arial Narrow" w:hAnsi="Arial Narrow" w:cs="Arial"/>
                <w:b/>
                <w:bCs/>
                <w:sz w:val="20"/>
                <w:szCs w:val="20"/>
                <w:lang w:eastAsia="en-AU"/>
              </w:rPr>
              <w:t>Very low</w:t>
            </w:r>
          </w:p>
        </w:tc>
        <w:tc>
          <w:tcPr>
            <w:tcW w:w="2268" w:type="dxa"/>
            <w:gridSpan w:val="2"/>
            <w:vAlign w:val="center"/>
          </w:tcPr>
          <w:p w14:paraId="379AE455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410" w:type="dxa"/>
            <w:gridSpan w:val="2"/>
            <w:vAlign w:val="center"/>
          </w:tcPr>
          <w:p w14:paraId="4C3667A5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268" w:type="dxa"/>
            <w:gridSpan w:val="2"/>
            <w:vAlign w:val="center"/>
          </w:tcPr>
          <w:p w14:paraId="5E330BD1" w14:textId="77777777" w:rsidR="0043181F" w:rsidRDefault="0043181F" w:rsidP="00A90F2A">
            <w:r w:rsidRPr="00497336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268" w:type="dxa"/>
          </w:tcPr>
          <w:p w14:paraId="615F490F" w14:textId="65E2D9B5" w:rsidR="0043181F" w:rsidRPr="00497336" w:rsidRDefault="0043181F" w:rsidP="00A90F2A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497336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43181F" w14:paraId="57CBDEB1" w14:textId="77777777" w:rsidTr="0043181F">
        <w:tc>
          <w:tcPr>
            <w:tcW w:w="2219" w:type="dxa"/>
            <w:gridSpan w:val="2"/>
            <w:vMerge/>
          </w:tcPr>
          <w:p w14:paraId="391D6673" w14:textId="51F3A868" w:rsidR="0043181F" w:rsidRDefault="0043181F" w:rsidP="0050795C"/>
        </w:tc>
        <w:tc>
          <w:tcPr>
            <w:tcW w:w="2454" w:type="dxa"/>
            <w:gridSpan w:val="2"/>
          </w:tcPr>
          <w:p w14:paraId="37F028CA" w14:textId="367B1B93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the operations and applications of new and emerging developments in systems engineering processes and products</w:t>
            </w:r>
          </w:p>
        </w:tc>
        <w:tc>
          <w:tcPr>
            <w:tcW w:w="2268" w:type="dxa"/>
            <w:gridSpan w:val="2"/>
          </w:tcPr>
          <w:p w14:paraId="13598D26" w14:textId="1879DE6B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the operations and applications of new and emerging developments in systems engineering processes and products</w:t>
            </w:r>
          </w:p>
        </w:tc>
        <w:tc>
          <w:tcPr>
            <w:tcW w:w="2410" w:type="dxa"/>
            <w:gridSpan w:val="2"/>
          </w:tcPr>
          <w:p w14:paraId="6D88B462" w14:textId="4FAF58A2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the operations and applications of new and emerging developments in systems engineering processes and products</w:t>
            </w:r>
          </w:p>
        </w:tc>
        <w:tc>
          <w:tcPr>
            <w:tcW w:w="2268" w:type="dxa"/>
            <w:gridSpan w:val="2"/>
          </w:tcPr>
          <w:p w14:paraId="307CFBAE" w14:textId="76C9E1A0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the operations and applications of new and emerging developments in systems engineering processes and products</w:t>
            </w:r>
          </w:p>
        </w:tc>
        <w:tc>
          <w:tcPr>
            <w:tcW w:w="2268" w:type="dxa"/>
          </w:tcPr>
          <w:p w14:paraId="712D4C7C" w14:textId="4036A3BC" w:rsidR="0043181F" w:rsidRPr="0050795C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795C">
              <w:rPr>
                <w:rFonts w:ascii="Arial Narrow" w:hAnsi="Arial Narrow"/>
                <w:color w:val="000000" w:themeColor="text1"/>
                <w:sz w:val="20"/>
                <w:szCs w:val="20"/>
              </w:rPr>
              <w:t>Evaluates the operations and applications of new and emerging developments in systems engineering processes and products</w:t>
            </w:r>
          </w:p>
        </w:tc>
      </w:tr>
      <w:tr w:rsidR="0043181F" w14:paraId="2F35E4D9" w14:textId="77777777" w:rsidTr="0043181F">
        <w:tc>
          <w:tcPr>
            <w:tcW w:w="2219" w:type="dxa"/>
            <w:gridSpan w:val="2"/>
            <w:vMerge/>
          </w:tcPr>
          <w:p w14:paraId="432B1739" w14:textId="77777777" w:rsidR="0043181F" w:rsidRDefault="0043181F" w:rsidP="0050795C"/>
        </w:tc>
        <w:tc>
          <w:tcPr>
            <w:tcW w:w="2454" w:type="dxa"/>
            <w:gridSpan w:val="2"/>
          </w:tcPr>
          <w:p w14:paraId="6726C743" w14:textId="70C24315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reasons for and/or drivers of the development of new and emerging technologies in systems engineering</w:t>
            </w:r>
          </w:p>
        </w:tc>
        <w:tc>
          <w:tcPr>
            <w:tcW w:w="2268" w:type="dxa"/>
            <w:gridSpan w:val="2"/>
          </w:tcPr>
          <w:p w14:paraId="55B74236" w14:textId="0B07C202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reasons for and/or drivers of the development of new and emerging technologies in systems engineering</w:t>
            </w:r>
          </w:p>
        </w:tc>
        <w:tc>
          <w:tcPr>
            <w:tcW w:w="2410" w:type="dxa"/>
            <w:gridSpan w:val="2"/>
          </w:tcPr>
          <w:p w14:paraId="7273E888" w14:textId="26EE3123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Describes reasons for and drivers of the development of new and emerging technologies in systems engineering </w:t>
            </w:r>
          </w:p>
        </w:tc>
        <w:tc>
          <w:tcPr>
            <w:tcW w:w="2268" w:type="dxa"/>
            <w:gridSpan w:val="2"/>
          </w:tcPr>
          <w:p w14:paraId="63AC9E38" w14:textId="22B049C9" w:rsidR="0043181F" w:rsidRPr="002F3FB0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reasons for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A8669B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the drivers of the development of new and emerging technologies in systems engineering</w:t>
            </w:r>
          </w:p>
        </w:tc>
        <w:tc>
          <w:tcPr>
            <w:tcW w:w="2268" w:type="dxa"/>
          </w:tcPr>
          <w:p w14:paraId="2327265E" w14:textId="063E4928" w:rsidR="0043181F" w:rsidRPr="0050795C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795C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 reasons for and drivers of the development of new and emerging technologies in systems engineering</w:t>
            </w:r>
          </w:p>
        </w:tc>
      </w:tr>
      <w:tr w:rsidR="0043181F" w14:paraId="5CDAC3B1" w14:textId="77777777" w:rsidTr="00E7425D">
        <w:tc>
          <w:tcPr>
            <w:tcW w:w="2219" w:type="dxa"/>
            <w:gridSpan w:val="2"/>
            <w:vMerge/>
          </w:tcPr>
          <w:p w14:paraId="419936DE" w14:textId="77777777" w:rsidR="0043181F" w:rsidRDefault="0043181F" w:rsidP="0050795C"/>
        </w:tc>
        <w:tc>
          <w:tcPr>
            <w:tcW w:w="2454" w:type="dxa"/>
            <w:gridSpan w:val="2"/>
          </w:tcPr>
          <w:p w14:paraId="2DDABAEA" w14:textId="1D989C60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positive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impacts of the new and emerging developments in systems engineering</w:t>
            </w:r>
          </w:p>
        </w:tc>
        <w:tc>
          <w:tcPr>
            <w:tcW w:w="2268" w:type="dxa"/>
            <w:gridSpan w:val="2"/>
          </w:tcPr>
          <w:p w14:paraId="3B417BCC" w14:textId="79C1DF18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positive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impacts of the new and emerging developments in systems engineering</w:t>
            </w:r>
          </w:p>
        </w:tc>
        <w:tc>
          <w:tcPr>
            <w:tcW w:w="2410" w:type="dxa"/>
            <w:gridSpan w:val="2"/>
          </w:tcPr>
          <w:p w14:paraId="5A372450" w14:textId="39A13D85" w:rsidR="0043181F" w:rsidRDefault="0043181F" w:rsidP="0050795C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positive impacts of the new and emerging developments in systems engineering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078FDC9" w14:textId="30D775E7" w:rsidR="0043181F" w:rsidRPr="002F3FB0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positive and negative impacts of the new and emerging developments in systems engineering</w:t>
            </w:r>
          </w:p>
        </w:tc>
        <w:tc>
          <w:tcPr>
            <w:tcW w:w="2268" w:type="dxa"/>
            <w:vMerge w:val="restart"/>
            <w:vAlign w:val="center"/>
          </w:tcPr>
          <w:p w14:paraId="4A804FC7" w14:textId="1299107B" w:rsidR="0043181F" w:rsidRPr="002F3FB0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795C">
              <w:rPr>
                <w:rFonts w:ascii="Arial Narrow" w:hAnsi="Arial Narrow"/>
                <w:color w:val="000000" w:themeColor="text1"/>
                <w:sz w:val="20"/>
                <w:szCs w:val="20"/>
              </w:rPr>
              <w:t>Analyses and critiques positive and negative impacts of the new and emerging developments in systems engineering</w:t>
            </w:r>
          </w:p>
        </w:tc>
      </w:tr>
      <w:tr w:rsidR="0043181F" w14:paraId="7372E129" w14:textId="77777777" w:rsidTr="0043181F">
        <w:tc>
          <w:tcPr>
            <w:tcW w:w="2219" w:type="dxa"/>
            <w:gridSpan w:val="2"/>
            <w:vMerge/>
          </w:tcPr>
          <w:p w14:paraId="4F923D35" w14:textId="77777777" w:rsidR="0043181F" w:rsidRDefault="0043181F" w:rsidP="0050795C"/>
        </w:tc>
        <w:tc>
          <w:tcPr>
            <w:tcW w:w="2454" w:type="dxa"/>
            <w:gridSpan w:val="2"/>
          </w:tcPr>
          <w:p w14:paraId="38430746" w14:textId="407563F7" w:rsidR="0043181F" w:rsidRPr="00E7425D" w:rsidRDefault="0043181F" w:rsidP="0050795C">
            <w:r w:rsidRPr="00E7425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Identifies negative impacts of the new and emerging developments in systems engineering</w:t>
            </w:r>
          </w:p>
        </w:tc>
        <w:tc>
          <w:tcPr>
            <w:tcW w:w="2268" w:type="dxa"/>
            <w:gridSpan w:val="2"/>
          </w:tcPr>
          <w:p w14:paraId="7E7AED48" w14:textId="6D0C5D79" w:rsidR="0043181F" w:rsidRPr="00E7425D" w:rsidRDefault="0043181F" w:rsidP="0050795C">
            <w:r w:rsidRPr="00E7425D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negative impacts of the new and emerging developments in systems engineering</w:t>
            </w:r>
          </w:p>
        </w:tc>
        <w:tc>
          <w:tcPr>
            <w:tcW w:w="2410" w:type="dxa"/>
            <w:gridSpan w:val="2"/>
          </w:tcPr>
          <w:p w14:paraId="4CEDCFBA" w14:textId="581272B5" w:rsidR="0043181F" w:rsidRPr="00E7425D" w:rsidRDefault="0043181F" w:rsidP="0050795C">
            <w:r w:rsidRPr="00E7425D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negative impacts of the new and emerging developments in systems engineering</w:t>
            </w:r>
          </w:p>
        </w:tc>
        <w:tc>
          <w:tcPr>
            <w:tcW w:w="2268" w:type="dxa"/>
            <w:gridSpan w:val="2"/>
            <w:vMerge/>
          </w:tcPr>
          <w:p w14:paraId="5A46F40D" w14:textId="65279660" w:rsidR="0043181F" w:rsidRPr="002F3FB0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867F5D0" w14:textId="77777777" w:rsidR="0043181F" w:rsidRPr="002F3FB0" w:rsidRDefault="0043181F" w:rsidP="0050795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43181F" w14:paraId="446F9780" w14:textId="77777777" w:rsidTr="0043181F">
        <w:tc>
          <w:tcPr>
            <w:tcW w:w="2219" w:type="dxa"/>
            <w:gridSpan w:val="2"/>
            <w:vMerge/>
          </w:tcPr>
          <w:p w14:paraId="1934D669" w14:textId="77777777" w:rsidR="0043181F" w:rsidRDefault="0043181F" w:rsidP="0053362E"/>
        </w:tc>
        <w:tc>
          <w:tcPr>
            <w:tcW w:w="2454" w:type="dxa"/>
            <w:gridSpan w:val="2"/>
          </w:tcPr>
          <w:p w14:paraId="1B123F02" w14:textId="03AC351B" w:rsidR="0043181F" w:rsidRDefault="0043181F" w:rsidP="0053362E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Identifies the potential of new and emerging developments in systems engineering </w:t>
            </w:r>
          </w:p>
        </w:tc>
        <w:tc>
          <w:tcPr>
            <w:tcW w:w="2268" w:type="dxa"/>
            <w:gridSpan w:val="2"/>
          </w:tcPr>
          <w:p w14:paraId="2607E06F" w14:textId="3328FF8B" w:rsidR="0043181F" w:rsidRDefault="0043181F" w:rsidP="0053362E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Outlines the potential of new and emerging developments in systems engineering</w:t>
            </w:r>
          </w:p>
        </w:tc>
        <w:tc>
          <w:tcPr>
            <w:tcW w:w="2410" w:type="dxa"/>
            <w:gridSpan w:val="2"/>
          </w:tcPr>
          <w:p w14:paraId="1739B85A" w14:textId="3E8BBE9E" w:rsidR="0043181F" w:rsidRDefault="0043181F" w:rsidP="0053362E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Describes the potential of new and emerging developments in systems engineering</w:t>
            </w:r>
          </w:p>
        </w:tc>
        <w:tc>
          <w:tcPr>
            <w:tcW w:w="2268" w:type="dxa"/>
            <w:gridSpan w:val="2"/>
          </w:tcPr>
          <w:p w14:paraId="1C6206C0" w14:textId="38AD098B" w:rsidR="0043181F" w:rsidRDefault="0043181F" w:rsidP="0053362E">
            <w:r w:rsidRPr="003167FC">
              <w:rPr>
                <w:rFonts w:ascii="Arial Narrow" w:hAnsi="Arial Narrow"/>
                <w:color w:val="000000" w:themeColor="text1"/>
                <w:sz w:val="20"/>
                <w:szCs w:val="20"/>
              </w:rPr>
              <w:t>Explains the potential of new and emerging developments in systems engineering</w:t>
            </w:r>
          </w:p>
        </w:tc>
        <w:tc>
          <w:tcPr>
            <w:tcW w:w="2268" w:type="dxa"/>
          </w:tcPr>
          <w:p w14:paraId="1EC7598E" w14:textId="372B72F9" w:rsidR="0043181F" w:rsidRDefault="0043181F" w:rsidP="0053362E">
            <w:r w:rsidRPr="0043181F">
              <w:rPr>
                <w:rFonts w:ascii="Arial Narrow" w:hAnsi="Arial Narrow"/>
                <w:color w:val="000000" w:themeColor="text1"/>
                <w:sz w:val="20"/>
                <w:szCs w:val="20"/>
              </w:rPr>
              <w:t>Analyses and critiques the potential of new and emerging developments in systems engineering</w:t>
            </w:r>
          </w:p>
        </w:tc>
      </w:tr>
    </w:tbl>
    <w:p w14:paraId="4BFFCD6B" w14:textId="77777777" w:rsidR="0053362E" w:rsidRDefault="0053362E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p w14:paraId="28C4533F" w14:textId="77777777" w:rsidR="00E70C22" w:rsidRPr="007C3D7A" w:rsidRDefault="00E70C22" w:rsidP="00E70C22">
      <w:pPr>
        <w:spacing w:after="120" w:line="240" w:lineRule="auto"/>
        <w:rPr>
          <w:rFonts w:cs="Arial"/>
          <w:sz w:val="18"/>
          <w:szCs w:val="18"/>
        </w:rPr>
      </w:pPr>
      <w:r w:rsidRPr="007C3D7A">
        <w:rPr>
          <w:rFonts w:cs="Arial"/>
          <w:sz w:val="18"/>
          <w:szCs w:val="18"/>
        </w:rPr>
        <w:t xml:space="preserve">KEY to marking scale based on the Outcome contributing </w:t>
      </w:r>
      <w:r>
        <w:rPr>
          <w:rFonts w:cs="Arial"/>
          <w:sz w:val="18"/>
          <w:szCs w:val="18"/>
        </w:rPr>
        <w:t>50</w:t>
      </w:r>
      <w:r w:rsidRPr="007C3D7A">
        <w:rPr>
          <w:rFonts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70C22" w:rsidRPr="00EC42E9" w14:paraId="11C43A34" w14:textId="77777777" w:rsidTr="00A90F2A">
        <w:tc>
          <w:tcPr>
            <w:tcW w:w="2062" w:type="dxa"/>
            <w:vAlign w:val="center"/>
          </w:tcPr>
          <w:p w14:paraId="0EBA4F30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 xml:space="preserve">Very Low </w:t>
            </w:r>
            <w:r>
              <w:rPr>
                <w:sz w:val="18"/>
                <w:szCs w:val="18"/>
              </w:rPr>
              <w:t>0</w:t>
            </w:r>
            <w:r w:rsidRPr="004B7620">
              <w:rPr>
                <w:sz w:val="18"/>
                <w:szCs w:val="18"/>
              </w:rPr>
              <w:t>–10</w:t>
            </w:r>
          </w:p>
        </w:tc>
        <w:tc>
          <w:tcPr>
            <w:tcW w:w="2063" w:type="dxa"/>
            <w:vAlign w:val="center"/>
          </w:tcPr>
          <w:p w14:paraId="1C7C99DD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Low 11–20</w:t>
            </w:r>
          </w:p>
        </w:tc>
        <w:tc>
          <w:tcPr>
            <w:tcW w:w="2063" w:type="dxa"/>
            <w:vAlign w:val="center"/>
          </w:tcPr>
          <w:p w14:paraId="73277A50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Medium 21–30</w:t>
            </w:r>
          </w:p>
        </w:tc>
        <w:tc>
          <w:tcPr>
            <w:tcW w:w="2063" w:type="dxa"/>
            <w:vAlign w:val="center"/>
          </w:tcPr>
          <w:p w14:paraId="4C8C56C2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High 31–40</w:t>
            </w:r>
          </w:p>
        </w:tc>
        <w:tc>
          <w:tcPr>
            <w:tcW w:w="2063" w:type="dxa"/>
            <w:vAlign w:val="center"/>
          </w:tcPr>
          <w:p w14:paraId="3EE92885" w14:textId="77777777" w:rsidR="00E70C22" w:rsidRPr="004B7620" w:rsidRDefault="00E70C22" w:rsidP="00A90F2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4B7620">
              <w:rPr>
                <w:sz w:val="18"/>
                <w:szCs w:val="18"/>
              </w:rPr>
              <w:t>Very High 41–50</w:t>
            </w:r>
          </w:p>
        </w:tc>
      </w:tr>
    </w:tbl>
    <w:p w14:paraId="15DB3F93" w14:textId="77777777" w:rsidR="00E70C22" w:rsidRPr="007C29E4" w:rsidRDefault="00E70C22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E70C22" w:rsidRPr="007C29E4" w:rsidSect="00060A2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B9B331C" w:rsidR="00FD29D3" w:rsidRPr="00FB42AE" w:rsidRDefault="009B3AAC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D1D48">
          <w:rPr>
            <w:color w:val="auto"/>
          </w:rPr>
          <w:t>Systems Engineering Performance descriptors: from 2026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346"/>
    <w:rsid w:val="000252EC"/>
    <w:rsid w:val="0004532F"/>
    <w:rsid w:val="0005780E"/>
    <w:rsid w:val="00060A23"/>
    <w:rsid w:val="00065CC6"/>
    <w:rsid w:val="00081424"/>
    <w:rsid w:val="000A71F7"/>
    <w:rsid w:val="000C615C"/>
    <w:rsid w:val="000E11BA"/>
    <w:rsid w:val="000F09E4"/>
    <w:rsid w:val="000F16FD"/>
    <w:rsid w:val="000F5AAF"/>
    <w:rsid w:val="00143520"/>
    <w:rsid w:val="00153AD2"/>
    <w:rsid w:val="001779EA"/>
    <w:rsid w:val="001C76B3"/>
    <w:rsid w:val="001D3246"/>
    <w:rsid w:val="001E3BB3"/>
    <w:rsid w:val="0020790C"/>
    <w:rsid w:val="002279BA"/>
    <w:rsid w:val="002329F3"/>
    <w:rsid w:val="00243F0D"/>
    <w:rsid w:val="00260767"/>
    <w:rsid w:val="00262E8A"/>
    <w:rsid w:val="002647BB"/>
    <w:rsid w:val="002754C1"/>
    <w:rsid w:val="002803AA"/>
    <w:rsid w:val="002841C8"/>
    <w:rsid w:val="0028516B"/>
    <w:rsid w:val="002C6F90"/>
    <w:rsid w:val="002D58B2"/>
    <w:rsid w:val="002E4FB5"/>
    <w:rsid w:val="002F3FB0"/>
    <w:rsid w:val="00302FB8"/>
    <w:rsid w:val="00304EA1"/>
    <w:rsid w:val="00305343"/>
    <w:rsid w:val="00313C4C"/>
    <w:rsid w:val="00314D81"/>
    <w:rsid w:val="00322FC6"/>
    <w:rsid w:val="0035293F"/>
    <w:rsid w:val="00391986"/>
    <w:rsid w:val="003A00B4"/>
    <w:rsid w:val="003B0F3D"/>
    <w:rsid w:val="003C5E71"/>
    <w:rsid w:val="00417AA3"/>
    <w:rsid w:val="00425DFE"/>
    <w:rsid w:val="0043181F"/>
    <w:rsid w:val="00434EDB"/>
    <w:rsid w:val="00440B32"/>
    <w:rsid w:val="0046078D"/>
    <w:rsid w:val="00495C80"/>
    <w:rsid w:val="004A2ED8"/>
    <w:rsid w:val="004F5BDA"/>
    <w:rsid w:val="004F6A78"/>
    <w:rsid w:val="0050795C"/>
    <w:rsid w:val="0051631E"/>
    <w:rsid w:val="0053362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D648B"/>
    <w:rsid w:val="009370BC"/>
    <w:rsid w:val="00970580"/>
    <w:rsid w:val="0098739B"/>
    <w:rsid w:val="009B3AAC"/>
    <w:rsid w:val="009B61E5"/>
    <w:rsid w:val="009C5F3D"/>
    <w:rsid w:val="009D1E89"/>
    <w:rsid w:val="009E215A"/>
    <w:rsid w:val="009E5707"/>
    <w:rsid w:val="00A17661"/>
    <w:rsid w:val="00A24B2D"/>
    <w:rsid w:val="00A40966"/>
    <w:rsid w:val="00A8293E"/>
    <w:rsid w:val="00A91F67"/>
    <w:rsid w:val="00A921E0"/>
    <w:rsid w:val="00A922F4"/>
    <w:rsid w:val="00AC1AD6"/>
    <w:rsid w:val="00AD1D48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C48DB"/>
    <w:rsid w:val="00BD0724"/>
    <w:rsid w:val="00BD2B91"/>
    <w:rsid w:val="00BE5521"/>
    <w:rsid w:val="00BF6C23"/>
    <w:rsid w:val="00C53263"/>
    <w:rsid w:val="00C60E0F"/>
    <w:rsid w:val="00C75F1D"/>
    <w:rsid w:val="00C95156"/>
    <w:rsid w:val="00C96AA8"/>
    <w:rsid w:val="00CA0DC2"/>
    <w:rsid w:val="00CA34C7"/>
    <w:rsid w:val="00CB1E0E"/>
    <w:rsid w:val="00CB68E8"/>
    <w:rsid w:val="00CC468E"/>
    <w:rsid w:val="00D02D62"/>
    <w:rsid w:val="00D04F01"/>
    <w:rsid w:val="00D06414"/>
    <w:rsid w:val="00D24E5A"/>
    <w:rsid w:val="00D338E4"/>
    <w:rsid w:val="00D45A8B"/>
    <w:rsid w:val="00D51947"/>
    <w:rsid w:val="00D532F0"/>
    <w:rsid w:val="00D75FF2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70C22"/>
    <w:rsid w:val="00E72F72"/>
    <w:rsid w:val="00E7425D"/>
    <w:rsid w:val="00EB0C84"/>
    <w:rsid w:val="00EC59E6"/>
    <w:rsid w:val="00F06248"/>
    <w:rsid w:val="00F17FDE"/>
    <w:rsid w:val="00F40D53"/>
    <w:rsid w:val="00F42E8F"/>
    <w:rsid w:val="00F4525C"/>
    <w:rsid w:val="00F50D86"/>
    <w:rsid w:val="00FB42AE"/>
    <w:rsid w:val="00FB7C2E"/>
    <w:rsid w:val="00FD29D3"/>
    <w:rsid w:val="00FD7C30"/>
    <w:rsid w:val="00FE3F0B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E4225"/>
    <w:rPr>
      <w:sz w:val="16"/>
      <w:szCs w:val="16"/>
    </w:rPr>
  </w:style>
  <w:style w:type="paragraph" w:customStyle="1" w:styleId="VCAAbullet">
    <w:name w:val="VCAA bullet"/>
    <w:basedOn w:val="Normal"/>
    <w:autoRedefine/>
    <w:qFormat/>
    <w:rsid w:val="00E70C22"/>
    <w:pPr>
      <w:spacing w:before="60" w:after="60" w:line="280" w:lineRule="exact"/>
      <w:contextualSpacing/>
    </w:pPr>
    <w:rPr>
      <w:rFonts w:ascii="Arial Narrow" w:eastAsia="Times New Roman" w:hAnsi="Arial Narrow" w:cs="Arial"/>
      <w:color w:val="000000" w:themeColor="text1"/>
      <w:kern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4532F"/>
    <w:rsid w:val="00081424"/>
    <w:rsid w:val="001C76B3"/>
    <w:rsid w:val="0020256E"/>
    <w:rsid w:val="0020790C"/>
    <w:rsid w:val="009325D2"/>
    <w:rsid w:val="009F6A2B"/>
    <w:rsid w:val="00A91F67"/>
    <w:rsid w:val="00BD3F6A"/>
    <w:rsid w:val="00CC468E"/>
    <w:rsid w:val="00D02D62"/>
    <w:rsid w:val="00D75FF2"/>
    <w:rsid w:val="00E72F72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BD4D5-A8FD-4528-853A-25F3F8FE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F8F24-86C4-4FD1-A152-4697558DB7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Engineering Performance descriptors: from 2026</dc:title>
  <dc:creator>Derek Tolan</dc:creator>
  <cp:lastModifiedBy>Chris Allan</cp:lastModifiedBy>
  <cp:revision>3</cp:revision>
  <cp:lastPrinted>2015-05-15T02:36:00Z</cp:lastPrinted>
  <dcterms:created xsi:type="dcterms:W3CDTF">2025-11-04T08:01:00Z</dcterms:created>
  <dcterms:modified xsi:type="dcterms:W3CDTF">2025-11-04T08:46:00Z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</Properties>
</file>