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365345C0" w:rsidR="00F4525C" w:rsidRPr="00870A89" w:rsidRDefault="00BD2FEB" w:rsidP="00E7229D">
          <w:pPr>
            <w:pStyle w:val="Title"/>
          </w:pPr>
          <w:r>
            <w:t>2025 VCE Economics external assessment report</w:t>
          </w:r>
        </w:p>
      </w:sdtContent>
    </w:sdt>
    <w:p w14:paraId="7F42BACB" w14:textId="77777777" w:rsidR="00BD2FEB" w:rsidRPr="00492D1A" w:rsidRDefault="00BD2FEB" w:rsidP="00632752">
      <w:pPr>
        <w:pStyle w:val="BodyText"/>
      </w:pPr>
      <w:bookmarkStart w:id="0" w:name="TemplateOverview"/>
      <w:bookmarkEnd w:id="0"/>
      <w:r w:rsidRPr="00492D1A">
        <w:t xml:space="preserve">This report provides sample </w:t>
      </w:r>
      <w:proofErr w:type="gramStart"/>
      <w:r w:rsidRPr="00492D1A">
        <w:t>answers</w:t>
      </w:r>
      <w:proofErr w:type="gramEnd"/>
      <w:r w:rsidRPr="00492D1A">
        <w:t xml:space="preserve"> or an indication of what answers may have included. Unless otherwise stated, these are not intended to be exemplary or complete responses. </w:t>
      </w:r>
    </w:p>
    <w:p w14:paraId="3E04EAFE" w14:textId="77777777" w:rsidR="00BD2FEB" w:rsidRPr="00492D1A" w:rsidRDefault="00BD2FEB" w:rsidP="00BD2FEB">
      <w:pPr>
        <w:pStyle w:val="VCAAbody"/>
        <w:rPr>
          <w:color w:val="auto"/>
          <w:lang w:val="en-AU"/>
        </w:rPr>
      </w:pPr>
      <w:r w:rsidRPr="00492D1A">
        <w:rPr>
          <w:color w:val="auto"/>
          <w:lang w:val="en-AU"/>
        </w:rPr>
        <w:t xml:space="preserve">Student responses reproduced in this report have not been corrected for grammar, spelling or </w:t>
      </w:r>
      <w:proofErr w:type="gramStart"/>
      <w:r w:rsidRPr="00492D1A">
        <w:rPr>
          <w:color w:val="auto"/>
          <w:lang w:val="en-AU"/>
        </w:rPr>
        <w:t>factual information</w:t>
      </w:r>
      <w:proofErr w:type="gramEnd"/>
      <w:r w:rsidRPr="00492D1A">
        <w:rPr>
          <w:color w:val="auto"/>
          <w:lang w:val="en-AU"/>
        </w:rPr>
        <w:t>.</w:t>
      </w:r>
    </w:p>
    <w:p w14:paraId="5DB7E5D1" w14:textId="77777777" w:rsidR="00BD2FEB" w:rsidRPr="00492D1A" w:rsidRDefault="00BD2FEB" w:rsidP="00632752">
      <w:pPr>
        <w:pStyle w:val="BodyText"/>
      </w:pPr>
      <w:r w:rsidRPr="00492D1A">
        <w:t>The statistics in this report may be subject to rounding resulting in a total more or less than 100 per cent.</w:t>
      </w:r>
    </w:p>
    <w:p w14:paraId="74E62D52" w14:textId="21AA3E72" w:rsidR="00243F0D" w:rsidRPr="00870A89" w:rsidRDefault="00BD2FEB" w:rsidP="00E7229D">
      <w:pPr>
        <w:pStyle w:val="Heading1"/>
      </w:pPr>
      <w:r w:rsidRPr="002B5DFD">
        <w:t>Section A – Multiple-choice questions</w:t>
      </w:r>
    </w:p>
    <w:tbl>
      <w:tblPr>
        <w:tblStyle w:val="VCAATableClosed"/>
        <w:tblW w:w="0" w:type="auto"/>
        <w:tblLook w:val="04A0" w:firstRow="1" w:lastRow="0" w:firstColumn="1" w:lastColumn="0" w:noHBand="0" w:noVBand="1"/>
      </w:tblPr>
      <w:tblGrid>
        <w:gridCol w:w="1004"/>
        <w:gridCol w:w="805"/>
        <w:gridCol w:w="656"/>
        <w:gridCol w:w="656"/>
        <w:gridCol w:w="721"/>
        <w:gridCol w:w="824"/>
        <w:gridCol w:w="4827"/>
      </w:tblGrid>
      <w:tr w:rsidR="00BD2FEB" w:rsidRPr="00DF24F6" w14:paraId="09430B3F" w14:textId="77777777" w:rsidTr="00C76316">
        <w:trPr>
          <w:cnfStyle w:val="100000000000" w:firstRow="1" w:lastRow="0" w:firstColumn="0" w:lastColumn="0" w:oddVBand="0" w:evenVBand="0" w:oddHBand="0" w:evenHBand="0" w:firstRowFirstColumn="0" w:firstRowLastColumn="0" w:lastRowFirstColumn="0" w:lastRowLastColumn="0"/>
        </w:trPr>
        <w:tc>
          <w:tcPr>
            <w:tcW w:w="1004" w:type="dxa"/>
          </w:tcPr>
          <w:p w14:paraId="4371AD72" w14:textId="77777777" w:rsidR="00BD2FEB" w:rsidRPr="00DF24F6" w:rsidRDefault="00BD2FEB" w:rsidP="00C76316">
            <w:pPr>
              <w:pStyle w:val="VCAAtablecondensedheading"/>
              <w:rPr>
                <w:lang w:val="en-AU"/>
              </w:rPr>
            </w:pPr>
            <w:r w:rsidRPr="00DF24F6">
              <w:rPr>
                <w:lang w:val="en-AU"/>
              </w:rPr>
              <w:t>Question</w:t>
            </w:r>
          </w:p>
        </w:tc>
        <w:tc>
          <w:tcPr>
            <w:tcW w:w="805" w:type="dxa"/>
          </w:tcPr>
          <w:p w14:paraId="7B17D8BC" w14:textId="77777777" w:rsidR="00BD2FEB" w:rsidRPr="00DF24F6" w:rsidRDefault="00BD2FEB" w:rsidP="00C76316">
            <w:pPr>
              <w:pStyle w:val="VCAAtablecondensedheading"/>
              <w:rPr>
                <w:lang w:val="en-AU"/>
              </w:rPr>
            </w:pPr>
            <w:r w:rsidRPr="00DF24F6">
              <w:rPr>
                <w:lang w:val="en-AU"/>
              </w:rPr>
              <w:t>Correct answer</w:t>
            </w:r>
          </w:p>
        </w:tc>
        <w:tc>
          <w:tcPr>
            <w:tcW w:w="656" w:type="dxa"/>
          </w:tcPr>
          <w:p w14:paraId="5CE29AD5" w14:textId="77777777" w:rsidR="00BD2FEB" w:rsidRPr="00DF24F6" w:rsidRDefault="00BD2FEB" w:rsidP="00C76316">
            <w:pPr>
              <w:pStyle w:val="VCAAtablecondensedheading"/>
              <w:rPr>
                <w:lang w:val="en-AU"/>
              </w:rPr>
            </w:pPr>
            <w:r w:rsidRPr="00DF24F6">
              <w:rPr>
                <w:lang w:val="en-AU"/>
              </w:rPr>
              <w:t>% A</w:t>
            </w:r>
          </w:p>
        </w:tc>
        <w:tc>
          <w:tcPr>
            <w:tcW w:w="656" w:type="dxa"/>
            <w:tcBorders>
              <w:bottom w:val="single" w:sz="4" w:space="0" w:color="000000" w:themeColor="text1"/>
            </w:tcBorders>
          </w:tcPr>
          <w:p w14:paraId="7C5AC500" w14:textId="77777777" w:rsidR="00BD2FEB" w:rsidRPr="00DF24F6" w:rsidRDefault="00BD2FEB" w:rsidP="00C76316">
            <w:pPr>
              <w:pStyle w:val="VCAAtablecondensedheading"/>
              <w:rPr>
                <w:lang w:val="en-AU"/>
              </w:rPr>
            </w:pPr>
            <w:r w:rsidRPr="00DF24F6">
              <w:rPr>
                <w:lang w:val="en-AU"/>
              </w:rPr>
              <w:t>% B</w:t>
            </w:r>
          </w:p>
        </w:tc>
        <w:tc>
          <w:tcPr>
            <w:tcW w:w="721" w:type="dxa"/>
          </w:tcPr>
          <w:p w14:paraId="41449938" w14:textId="77777777" w:rsidR="00BD2FEB" w:rsidRPr="00DF24F6" w:rsidRDefault="00BD2FEB" w:rsidP="00C76316">
            <w:pPr>
              <w:pStyle w:val="VCAAtablecondensedheading"/>
              <w:rPr>
                <w:lang w:val="en-AU"/>
              </w:rPr>
            </w:pPr>
            <w:r w:rsidRPr="00DF24F6">
              <w:rPr>
                <w:lang w:val="en-AU"/>
              </w:rPr>
              <w:t>% C</w:t>
            </w:r>
          </w:p>
        </w:tc>
        <w:tc>
          <w:tcPr>
            <w:tcW w:w="824" w:type="dxa"/>
          </w:tcPr>
          <w:p w14:paraId="7FB6DBDF" w14:textId="77777777" w:rsidR="00BD2FEB" w:rsidRPr="00DF24F6" w:rsidRDefault="00BD2FEB" w:rsidP="00C76316">
            <w:pPr>
              <w:pStyle w:val="VCAAtablecondensedheading"/>
              <w:rPr>
                <w:lang w:val="en-AU"/>
              </w:rPr>
            </w:pPr>
            <w:r w:rsidRPr="00DF24F6">
              <w:rPr>
                <w:lang w:val="en-AU"/>
              </w:rPr>
              <w:t>% D</w:t>
            </w:r>
          </w:p>
        </w:tc>
        <w:tc>
          <w:tcPr>
            <w:tcW w:w="4827" w:type="dxa"/>
          </w:tcPr>
          <w:p w14:paraId="251DF4BF" w14:textId="77777777" w:rsidR="00BD2FEB" w:rsidRPr="00DF24F6" w:rsidRDefault="00BD2FEB" w:rsidP="00C76316">
            <w:pPr>
              <w:pStyle w:val="VCAAtablecondensedheading"/>
              <w:rPr>
                <w:lang w:val="en-AU"/>
              </w:rPr>
            </w:pPr>
            <w:r w:rsidRPr="00DF24F6">
              <w:rPr>
                <w:lang w:val="en-AU"/>
              </w:rPr>
              <w:t>Comments</w:t>
            </w:r>
          </w:p>
        </w:tc>
      </w:tr>
      <w:tr w:rsidR="00BD2FEB" w:rsidRPr="00492D1A" w14:paraId="0261E955" w14:textId="77777777" w:rsidTr="00C76316">
        <w:trPr>
          <w:trHeight w:val="64"/>
        </w:trPr>
        <w:tc>
          <w:tcPr>
            <w:tcW w:w="1004" w:type="dxa"/>
            <w:tcBorders>
              <w:bottom w:val="single" w:sz="4" w:space="0" w:color="000000" w:themeColor="text1"/>
            </w:tcBorders>
          </w:tcPr>
          <w:p w14:paraId="6C132AC7" w14:textId="77777777" w:rsidR="00BD2FEB" w:rsidRPr="00492D1A" w:rsidRDefault="00BD2FEB" w:rsidP="00C76316">
            <w:pPr>
              <w:pStyle w:val="VCAAtablecondensed"/>
              <w:rPr>
                <w:rStyle w:val="EmphasisBold"/>
                <w:color w:val="auto"/>
              </w:rPr>
            </w:pPr>
            <w:r w:rsidRPr="00492D1A">
              <w:rPr>
                <w:rStyle w:val="EmphasisBold"/>
                <w:color w:val="auto"/>
              </w:rPr>
              <w:t>1</w:t>
            </w:r>
          </w:p>
        </w:tc>
        <w:tc>
          <w:tcPr>
            <w:tcW w:w="805" w:type="dxa"/>
            <w:tcBorders>
              <w:bottom w:val="single" w:sz="4" w:space="0" w:color="000000" w:themeColor="text1"/>
            </w:tcBorders>
          </w:tcPr>
          <w:p w14:paraId="365D0BA8" w14:textId="77777777" w:rsidR="00BD2FEB" w:rsidRPr="00492D1A" w:rsidRDefault="00BD2FEB" w:rsidP="00C76316">
            <w:pPr>
              <w:pStyle w:val="VCAAtablecondensed"/>
              <w:rPr>
                <w:color w:val="auto"/>
                <w:lang w:val="en-AU"/>
              </w:rPr>
            </w:pPr>
            <w:r w:rsidRPr="00492D1A">
              <w:rPr>
                <w:color w:val="auto"/>
                <w:lang w:val="en-AU"/>
              </w:rPr>
              <w:t>B</w:t>
            </w:r>
          </w:p>
        </w:tc>
        <w:tc>
          <w:tcPr>
            <w:tcW w:w="656" w:type="dxa"/>
          </w:tcPr>
          <w:p w14:paraId="2A94ED25" w14:textId="77777777" w:rsidR="00BD2FEB" w:rsidRPr="00492D1A" w:rsidRDefault="00BD2FEB" w:rsidP="00C76316">
            <w:pPr>
              <w:pStyle w:val="VCAAtablecondensed"/>
              <w:rPr>
                <w:color w:val="auto"/>
              </w:rPr>
            </w:pPr>
            <w:r w:rsidRPr="00492D1A">
              <w:rPr>
                <w:color w:val="auto"/>
              </w:rPr>
              <w:t>4</w:t>
            </w:r>
          </w:p>
        </w:tc>
        <w:tc>
          <w:tcPr>
            <w:tcW w:w="656" w:type="dxa"/>
            <w:shd w:val="pct10" w:color="auto" w:fill="auto"/>
          </w:tcPr>
          <w:p w14:paraId="2E5A785D" w14:textId="77777777" w:rsidR="00BD2FEB" w:rsidRPr="00492D1A" w:rsidRDefault="00BD2FEB" w:rsidP="00C76316">
            <w:pPr>
              <w:pStyle w:val="VCAAtablecondensed"/>
              <w:rPr>
                <w:b/>
                <w:bCs/>
                <w:color w:val="auto"/>
              </w:rPr>
            </w:pPr>
            <w:r w:rsidRPr="00492D1A">
              <w:rPr>
                <w:b/>
                <w:bCs/>
                <w:color w:val="auto"/>
              </w:rPr>
              <w:t>92</w:t>
            </w:r>
          </w:p>
        </w:tc>
        <w:tc>
          <w:tcPr>
            <w:tcW w:w="721" w:type="dxa"/>
          </w:tcPr>
          <w:p w14:paraId="5FC84C0B" w14:textId="77777777" w:rsidR="00BD2FEB" w:rsidRPr="00492D1A" w:rsidRDefault="00BD2FEB" w:rsidP="00C76316">
            <w:pPr>
              <w:pStyle w:val="VCAAtablecondensed"/>
              <w:rPr>
                <w:color w:val="auto"/>
              </w:rPr>
            </w:pPr>
            <w:r w:rsidRPr="00492D1A">
              <w:rPr>
                <w:color w:val="auto"/>
              </w:rPr>
              <w:t>3</w:t>
            </w:r>
          </w:p>
        </w:tc>
        <w:tc>
          <w:tcPr>
            <w:tcW w:w="824" w:type="dxa"/>
            <w:tcBorders>
              <w:bottom w:val="single" w:sz="4" w:space="0" w:color="000000" w:themeColor="text1"/>
            </w:tcBorders>
          </w:tcPr>
          <w:p w14:paraId="221A2E0B" w14:textId="77777777" w:rsidR="00BD2FEB" w:rsidRPr="00492D1A" w:rsidRDefault="00BD2FEB" w:rsidP="00C76316">
            <w:pPr>
              <w:pStyle w:val="VCAAtablecondensed"/>
              <w:rPr>
                <w:color w:val="auto"/>
              </w:rPr>
            </w:pPr>
            <w:r w:rsidRPr="00492D1A">
              <w:rPr>
                <w:color w:val="auto"/>
              </w:rPr>
              <w:t>1</w:t>
            </w:r>
          </w:p>
        </w:tc>
        <w:tc>
          <w:tcPr>
            <w:tcW w:w="4827" w:type="dxa"/>
            <w:tcBorders>
              <w:bottom w:val="single" w:sz="4" w:space="0" w:color="000000" w:themeColor="text1"/>
            </w:tcBorders>
          </w:tcPr>
          <w:p w14:paraId="616532FC" w14:textId="77777777" w:rsidR="00BD2FEB" w:rsidRPr="00492D1A" w:rsidRDefault="00BD2FEB" w:rsidP="00C76316">
            <w:pPr>
              <w:pStyle w:val="VCAAtablecondensed"/>
              <w:rPr>
                <w:color w:val="auto"/>
                <w:lang w:val="en-AU"/>
              </w:rPr>
            </w:pPr>
          </w:p>
        </w:tc>
      </w:tr>
      <w:tr w:rsidR="00BD2FEB" w:rsidRPr="00492D1A" w14:paraId="4F4F4C5C" w14:textId="77777777" w:rsidTr="00C76316">
        <w:tc>
          <w:tcPr>
            <w:tcW w:w="1004" w:type="dxa"/>
          </w:tcPr>
          <w:p w14:paraId="0141180E" w14:textId="77777777" w:rsidR="00BD2FEB" w:rsidRPr="00492D1A" w:rsidRDefault="00BD2FEB" w:rsidP="00C76316">
            <w:pPr>
              <w:pStyle w:val="VCAAtablecondensed"/>
              <w:rPr>
                <w:rStyle w:val="EmphasisBold"/>
                <w:color w:val="auto"/>
              </w:rPr>
            </w:pPr>
            <w:r w:rsidRPr="00492D1A">
              <w:rPr>
                <w:rStyle w:val="EmphasisBold"/>
                <w:color w:val="auto"/>
              </w:rPr>
              <w:t>2</w:t>
            </w:r>
          </w:p>
        </w:tc>
        <w:tc>
          <w:tcPr>
            <w:tcW w:w="805" w:type="dxa"/>
            <w:vAlign w:val="bottom"/>
          </w:tcPr>
          <w:p w14:paraId="39449114" w14:textId="77777777" w:rsidR="00BD2FEB" w:rsidRPr="00492D1A" w:rsidRDefault="00BD2FEB" w:rsidP="00C76316">
            <w:pPr>
              <w:pStyle w:val="VCAAtablecondensed"/>
              <w:rPr>
                <w:color w:val="auto"/>
              </w:rPr>
            </w:pPr>
            <w:r w:rsidRPr="00492D1A">
              <w:rPr>
                <w:color w:val="auto"/>
              </w:rPr>
              <w:t>D</w:t>
            </w:r>
          </w:p>
        </w:tc>
        <w:tc>
          <w:tcPr>
            <w:tcW w:w="656" w:type="dxa"/>
            <w:tcBorders>
              <w:bottom w:val="single" w:sz="4" w:space="0" w:color="000000" w:themeColor="text1"/>
            </w:tcBorders>
          </w:tcPr>
          <w:p w14:paraId="167E7B63" w14:textId="77777777" w:rsidR="00BD2FEB" w:rsidRPr="00492D1A" w:rsidRDefault="00BD2FEB" w:rsidP="00C76316">
            <w:pPr>
              <w:pStyle w:val="VCAAtablecondensed"/>
              <w:rPr>
                <w:color w:val="auto"/>
              </w:rPr>
            </w:pPr>
            <w:r w:rsidRPr="00492D1A">
              <w:rPr>
                <w:color w:val="auto"/>
              </w:rPr>
              <w:t>8</w:t>
            </w:r>
          </w:p>
        </w:tc>
        <w:tc>
          <w:tcPr>
            <w:tcW w:w="656" w:type="dxa"/>
          </w:tcPr>
          <w:p w14:paraId="0D504482" w14:textId="77777777" w:rsidR="00BD2FEB" w:rsidRPr="00492D1A" w:rsidRDefault="00BD2FEB" w:rsidP="00C76316">
            <w:pPr>
              <w:pStyle w:val="VCAAtablecondensed"/>
              <w:rPr>
                <w:color w:val="auto"/>
              </w:rPr>
            </w:pPr>
            <w:r w:rsidRPr="00492D1A">
              <w:rPr>
                <w:color w:val="auto"/>
              </w:rPr>
              <w:t>10</w:t>
            </w:r>
          </w:p>
        </w:tc>
        <w:tc>
          <w:tcPr>
            <w:tcW w:w="721" w:type="dxa"/>
          </w:tcPr>
          <w:p w14:paraId="5B60E3E6" w14:textId="77777777" w:rsidR="00BD2FEB" w:rsidRPr="00492D1A" w:rsidRDefault="00BD2FEB" w:rsidP="00C76316">
            <w:pPr>
              <w:pStyle w:val="VCAAtablecondensed"/>
              <w:rPr>
                <w:color w:val="auto"/>
              </w:rPr>
            </w:pPr>
            <w:r w:rsidRPr="00492D1A">
              <w:rPr>
                <w:color w:val="auto"/>
              </w:rPr>
              <w:t>3</w:t>
            </w:r>
          </w:p>
        </w:tc>
        <w:tc>
          <w:tcPr>
            <w:tcW w:w="824" w:type="dxa"/>
            <w:shd w:val="pct10" w:color="auto" w:fill="auto"/>
          </w:tcPr>
          <w:p w14:paraId="2F13E2FF" w14:textId="77777777" w:rsidR="00BD2FEB" w:rsidRPr="00492D1A" w:rsidRDefault="00BD2FEB" w:rsidP="00C76316">
            <w:pPr>
              <w:pStyle w:val="VCAAtablecondensed"/>
              <w:rPr>
                <w:rStyle w:val="EmphasisBold"/>
                <w:color w:val="auto"/>
              </w:rPr>
            </w:pPr>
            <w:r w:rsidRPr="00492D1A">
              <w:rPr>
                <w:rStyle w:val="EmphasisBold"/>
                <w:color w:val="auto"/>
              </w:rPr>
              <w:t>79</w:t>
            </w:r>
          </w:p>
        </w:tc>
        <w:tc>
          <w:tcPr>
            <w:tcW w:w="4827" w:type="dxa"/>
          </w:tcPr>
          <w:p w14:paraId="28F80E74" w14:textId="77777777" w:rsidR="00BD2FEB" w:rsidRPr="00492D1A" w:rsidRDefault="00BD2FEB" w:rsidP="00C76316">
            <w:pPr>
              <w:pStyle w:val="VCAAtablecondensed"/>
              <w:rPr>
                <w:color w:val="auto"/>
              </w:rPr>
            </w:pPr>
          </w:p>
        </w:tc>
      </w:tr>
      <w:tr w:rsidR="00BD2FEB" w:rsidRPr="00492D1A" w14:paraId="04C59FD1" w14:textId="77777777" w:rsidTr="00C76316">
        <w:tc>
          <w:tcPr>
            <w:tcW w:w="1004" w:type="dxa"/>
          </w:tcPr>
          <w:p w14:paraId="3031458E" w14:textId="77777777" w:rsidR="00BD2FEB" w:rsidRPr="00492D1A" w:rsidRDefault="00BD2FEB" w:rsidP="00C76316">
            <w:pPr>
              <w:pStyle w:val="VCAAtablecondensed"/>
              <w:rPr>
                <w:rStyle w:val="EmphasisBold"/>
                <w:color w:val="auto"/>
              </w:rPr>
            </w:pPr>
            <w:r w:rsidRPr="00492D1A">
              <w:rPr>
                <w:rStyle w:val="EmphasisBold"/>
                <w:color w:val="auto"/>
              </w:rPr>
              <w:t>3</w:t>
            </w:r>
          </w:p>
        </w:tc>
        <w:tc>
          <w:tcPr>
            <w:tcW w:w="805" w:type="dxa"/>
            <w:vAlign w:val="bottom"/>
          </w:tcPr>
          <w:p w14:paraId="6D463425" w14:textId="77777777" w:rsidR="00BD2FEB" w:rsidRPr="00492D1A" w:rsidRDefault="00BD2FEB" w:rsidP="00C76316">
            <w:pPr>
              <w:pStyle w:val="VCAAtablecondensed"/>
              <w:rPr>
                <w:color w:val="auto"/>
                <w:lang w:val="en-AU"/>
              </w:rPr>
            </w:pPr>
            <w:r w:rsidRPr="00492D1A">
              <w:rPr>
                <w:color w:val="auto"/>
                <w:lang w:val="en-AU"/>
              </w:rPr>
              <w:t>A</w:t>
            </w:r>
          </w:p>
        </w:tc>
        <w:tc>
          <w:tcPr>
            <w:tcW w:w="656" w:type="dxa"/>
            <w:shd w:val="pct10" w:color="auto" w:fill="auto"/>
          </w:tcPr>
          <w:p w14:paraId="394B6E4C" w14:textId="77777777" w:rsidR="00BD2FEB" w:rsidRPr="00492D1A" w:rsidRDefault="00BD2FEB" w:rsidP="00C76316">
            <w:pPr>
              <w:pStyle w:val="VCAAtablecondensed"/>
              <w:rPr>
                <w:b/>
                <w:bCs/>
                <w:color w:val="auto"/>
                <w:lang w:val="en-AU"/>
              </w:rPr>
            </w:pPr>
            <w:r w:rsidRPr="00492D1A">
              <w:rPr>
                <w:b/>
                <w:bCs/>
                <w:color w:val="auto"/>
                <w:lang w:val="en-AU"/>
              </w:rPr>
              <w:t>75</w:t>
            </w:r>
          </w:p>
        </w:tc>
        <w:tc>
          <w:tcPr>
            <w:tcW w:w="656" w:type="dxa"/>
            <w:tcBorders>
              <w:bottom w:val="single" w:sz="4" w:space="0" w:color="000000" w:themeColor="text1"/>
            </w:tcBorders>
          </w:tcPr>
          <w:p w14:paraId="1DD32105" w14:textId="77777777" w:rsidR="00BD2FEB" w:rsidRPr="00492D1A" w:rsidRDefault="00BD2FEB" w:rsidP="00C76316">
            <w:pPr>
              <w:pStyle w:val="VCAAtablecondensed"/>
              <w:rPr>
                <w:color w:val="auto"/>
                <w:lang w:val="en-AU"/>
              </w:rPr>
            </w:pPr>
            <w:r w:rsidRPr="00492D1A">
              <w:rPr>
                <w:color w:val="auto"/>
                <w:lang w:val="en-AU"/>
              </w:rPr>
              <w:t>3</w:t>
            </w:r>
          </w:p>
        </w:tc>
        <w:tc>
          <w:tcPr>
            <w:tcW w:w="721" w:type="dxa"/>
          </w:tcPr>
          <w:p w14:paraId="47A67443" w14:textId="77777777" w:rsidR="00BD2FEB" w:rsidRPr="00492D1A" w:rsidRDefault="00BD2FEB" w:rsidP="00C76316">
            <w:pPr>
              <w:pStyle w:val="VCAAtablecondensed"/>
              <w:rPr>
                <w:color w:val="auto"/>
                <w:lang w:val="en-AU"/>
              </w:rPr>
            </w:pPr>
            <w:r w:rsidRPr="00492D1A">
              <w:rPr>
                <w:color w:val="auto"/>
                <w:lang w:val="en-AU"/>
              </w:rPr>
              <w:t>8</w:t>
            </w:r>
          </w:p>
        </w:tc>
        <w:tc>
          <w:tcPr>
            <w:tcW w:w="824" w:type="dxa"/>
          </w:tcPr>
          <w:p w14:paraId="57C71810" w14:textId="77777777" w:rsidR="00BD2FEB" w:rsidRPr="00492D1A" w:rsidRDefault="00BD2FEB" w:rsidP="00C76316">
            <w:pPr>
              <w:pStyle w:val="VCAAtablecondensed"/>
              <w:rPr>
                <w:color w:val="auto"/>
                <w:lang w:val="en-AU"/>
              </w:rPr>
            </w:pPr>
            <w:r w:rsidRPr="00492D1A">
              <w:rPr>
                <w:color w:val="auto"/>
                <w:lang w:val="en-AU"/>
              </w:rPr>
              <w:t>13</w:t>
            </w:r>
          </w:p>
        </w:tc>
        <w:tc>
          <w:tcPr>
            <w:tcW w:w="4827" w:type="dxa"/>
          </w:tcPr>
          <w:p w14:paraId="0BF302F8" w14:textId="77777777" w:rsidR="00BD2FEB" w:rsidRPr="00492D1A" w:rsidRDefault="00BD2FEB" w:rsidP="00C76316">
            <w:pPr>
              <w:pStyle w:val="VCAAtablecondensed"/>
              <w:rPr>
                <w:color w:val="auto"/>
              </w:rPr>
            </w:pPr>
          </w:p>
        </w:tc>
      </w:tr>
      <w:tr w:rsidR="00BD2FEB" w:rsidRPr="00492D1A" w14:paraId="012B5536" w14:textId="77777777" w:rsidTr="00C76316">
        <w:tc>
          <w:tcPr>
            <w:tcW w:w="1004" w:type="dxa"/>
          </w:tcPr>
          <w:p w14:paraId="2C90BF7D" w14:textId="77777777" w:rsidR="00BD2FEB" w:rsidRPr="00492D1A" w:rsidRDefault="00BD2FEB" w:rsidP="00C76316">
            <w:pPr>
              <w:pStyle w:val="VCAAtablecondensed"/>
              <w:rPr>
                <w:rStyle w:val="EmphasisBold"/>
                <w:color w:val="auto"/>
              </w:rPr>
            </w:pPr>
            <w:r w:rsidRPr="00492D1A">
              <w:rPr>
                <w:rStyle w:val="EmphasisBold"/>
                <w:color w:val="auto"/>
              </w:rPr>
              <w:t>4</w:t>
            </w:r>
          </w:p>
        </w:tc>
        <w:tc>
          <w:tcPr>
            <w:tcW w:w="805" w:type="dxa"/>
            <w:vAlign w:val="bottom"/>
          </w:tcPr>
          <w:p w14:paraId="480ED87B" w14:textId="77777777" w:rsidR="00BD2FEB" w:rsidRPr="00492D1A" w:rsidRDefault="00BD2FEB" w:rsidP="00C76316">
            <w:pPr>
              <w:pStyle w:val="VCAAtablecondensed"/>
              <w:rPr>
                <w:color w:val="auto"/>
                <w:lang w:val="en-AU"/>
              </w:rPr>
            </w:pPr>
            <w:r w:rsidRPr="00492D1A">
              <w:rPr>
                <w:color w:val="auto"/>
                <w:lang w:val="en-AU"/>
              </w:rPr>
              <w:t>B</w:t>
            </w:r>
          </w:p>
        </w:tc>
        <w:tc>
          <w:tcPr>
            <w:tcW w:w="656" w:type="dxa"/>
          </w:tcPr>
          <w:p w14:paraId="7C93B7C1" w14:textId="77777777" w:rsidR="00BD2FEB" w:rsidRPr="00492D1A" w:rsidRDefault="00BD2FEB" w:rsidP="00C76316">
            <w:pPr>
              <w:pStyle w:val="VCAAtablecondensed"/>
              <w:rPr>
                <w:color w:val="auto"/>
                <w:lang w:val="en-AU"/>
              </w:rPr>
            </w:pPr>
            <w:r w:rsidRPr="00492D1A">
              <w:rPr>
                <w:color w:val="auto"/>
                <w:lang w:val="en-AU"/>
              </w:rPr>
              <w:t>2</w:t>
            </w:r>
          </w:p>
        </w:tc>
        <w:tc>
          <w:tcPr>
            <w:tcW w:w="656" w:type="dxa"/>
            <w:tcBorders>
              <w:bottom w:val="single" w:sz="4" w:space="0" w:color="000000" w:themeColor="text1"/>
            </w:tcBorders>
            <w:shd w:val="pct10" w:color="auto" w:fill="auto"/>
          </w:tcPr>
          <w:p w14:paraId="49FD557B" w14:textId="77777777" w:rsidR="00BD2FEB" w:rsidRPr="00492D1A" w:rsidRDefault="00BD2FEB" w:rsidP="00C76316">
            <w:pPr>
              <w:pStyle w:val="VCAAtablecondensed"/>
              <w:rPr>
                <w:b/>
                <w:bCs/>
                <w:color w:val="auto"/>
                <w:lang w:val="en-AU"/>
              </w:rPr>
            </w:pPr>
            <w:r w:rsidRPr="00492D1A">
              <w:rPr>
                <w:b/>
                <w:bCs/>
                <w:color w:val="auto"/>
                <w:lang w:val="en-AU"/>
              </w:rPr>
              <w:t>64</w:t>
            </w:r>
          </w:p>
        </w:tc>
        <w:tc>
          <w:tcPr>
            <w:tcW w:w="721" w:type="dxa"/>
          </w:tcPr>
          <w:p w14:paraId="16C53EF4" w14:textId="77777777" w:rsidR="00BD2FEB" w:rsidRPr="00492D1A" w:rsidRDefault="00BD2FEB" w:rsidP="00C76316">
            <w:pPr>
              <w:pStyle w:val="VCAAtablecondensed"/>
              <w:rPr>
                <w:color w:val="auto"/>
                <w:lang w:val="en-AU"/>
              </w:rPr>
            </w:pPr>
            <w:r w:rsidRPr="00492D1A">
              <w:rPr>
                <w:color w:val="auto"/>
                <w:lang w:val="en-AU"/>
              </w:rPr>
              <w:t>4</w:t>
            </w:r>
          </w:p>
        </w:tc>
        <w:tc>
          <w:tcPr>
            <w:tcW w:w="824" w:type="dxa"/>
          </w:tcPr>
          <w:p w14:paraId="280CE65E" w14:textId="77777777" w:rsidR="00BD2FEB" w:rsidRPr="00492D1A" w:rsidRDefault="00BD2FEB" w:rsidP="00C76316">
            <w:pPr>
              <w:pStyle w:val="VCAAtablecondensed"/>
              <w:rPr>
                <w:color w:val="auto"/>
                <w:lang w:val="en-AU"/>
              </w:rPr>
            </w:pPr>
            <w:r w:rsidRPr="00492D1A">
              <w:rPr>
                <w:color w:val="auto"/>
                <w:lang w:val="en-AU"/>
              </w:rPr>
              <w:t>29</w:t>
            </w:r>
          </w:p>
        </w:tc>
        <w:tc>
          <w:tcPr>
            <w:tcW w:w="4827" w:type="dxa"/>
          </w:tcPr>
          <w:p w14:paraId="11EE61D1" w14:textId="77777777" w:rsidR="00BD2FEB" w:rsidRPr="00492D1A" w:rsidRDefault="00BD2FEB" w:rsidP="00C76316">
            <w:pPr>
              <w:pStyle w:val="VCAAtablecondensed"/>
              <w:rPr>
                <w:color w:val="auto"/>
                <w:lang w:val="en-AU"/>
              </w:rPr>
            </w:pPr>
          </w:p>
        </w:tc>
      </w:tr>
      <w:tr w:rsidR="00BD2FEB" w:rsidRPr="00492D1A" w14:paraId="29AEFE0D" w14:textId="77777777" w:rsidTr="00C76316">
        <w:tc>
          <w:tcPr>
            <w:tcW w:w="1004" w:type="dxa"/>
          </w:tcPr>
          <w:p w14:paraId="7670BAA0" w14:textId="77777777" w:rsidR="00BD2FEB" w:rsidRPr="00492D1A" w:rsidRDefault="00BD2FEB" w:rsidP="00C76316">
            <w:pPr>
              <w:pStyle w:val="VCAAtablecondensed"/>
              <w:rPr>
                <w:rStyle w:val="EmphasisBold"/>
                <w:color w:val="auto"/>
              </w:rPr>
            </w:pPr>
            <w:r w:rsidRPr="00492D1A">
              <w:rPr>
                <w:rStyle w:val="EmphasisBold"/>
                <w:color w:val="auto"/>
              </w:rPr>
              <w:t>5</w:t>
            </w:r>
          </w:p>
        </w:tc>
        <w:tc>
          <w:tcPr>
            <w:tcW w:w="805" w:type="dxa"/>
            <w:vAlign w:val="bottom"/>
          </w:tcPr>
          <w:p w14:paraId="5DB48D4D" w14:textId="77777777" w:rsidR="00BD2FEB" w:rsidRPr="00492D1A" w:rsidRDefault="00BD2FEB" w:rsidP="00C76316">
            <w:pPr>
              <w:pStyle w:val="VCAAtablecondensed"/>
              <w:rPr>
                <w:color w:val="auto"/>
                <w:lang w:val="en-AU"/>
              </w:rPr>
            </w:pPr>
            <w:r w:rsidRPr="00492D1A">
              <w:rPr>
                <w:color w:val="auto"/>
                <w:lang w:val="en-AU"/>
              </w:rPr>
              <w:t>B</w:t>
            </w:r>
          </w:p>
        </w:tc>
        <w:tc>
          <w:tcPr>
            <w:tcW w:w="656" w:type="dxa"/>
          </w:tcPr>
          <w:p w14:paraId="729DAE0B" w14:textId="77777777" w:rsidR="00BD2FEB" w:rsidRPr="00492D1A" w:rsidRDefault="00BD2FEB" w:rsidP="00C76316">
            <w:pPr>
              <w:pStyle w:val="VCAAtablecondensed"/>
              <w:rPr>
                <w:color w:val="auto"/>
                <w:lang w:val="en-AU"/>
              </w:rPr>
            </w:pPr>
            <w:r w:rsidRPr="00492D1A">
              <w:rPr>
                <w:color w:val="auto"/>
                <w:lang w:val="en-AU"/>
              </w:rPr>
              <w:t>10</w:t>
            </w:r>
          </w:p>
        </w:tc>
        <w:tc>
          <w:tcPr>
            <w:tcW w:w="656" w:type="dxa"/>
            <w:shd w:val="pct10" w:color="auto" w:fill="auto"/>
          </w:tcPr>
          <w:p w14:paraId="262ACB7E" w14:textId="77777777" w:rsidR="00BD2FEB" w:rsidRPr="00492D1A" w:rsidRDefault="00BD2FEB" w:rsidP="00C76316">
            <w:pPr>
              <w:pStyle w:val="VCAAtablecondensed"/>
              <w:rPr>
                <w:b/>
                <w:bCs/>
                <w:color w:val="auto"/>
                <w:lang w:val="en-AU"/>
              </w:rPr>
            </w:pPr>
            <w:r w:rsidRPr="00492D1A">
              <w:rPr>
                <w:b/>
                <w:bCs/>
                <w:color w:val="auto"/>
                <w:lang w:val="en-AU"/>
              </w:rPr>
              <w:t>68</w:t>
            </w:r>
          </w:p>
        </w:tc>
        <w:tc>
          <w:tcPr>
            <w:tcW w:w="721" w:type="dxa"/>
          </w:tcPr>
          <w:p w14:paraId="52CD5F0A" w14:textId="77777777" w:rsidR="00BD2FEB" w:rsidRPr="00492D1A" w:rsidRDefault="00BD2FEB" w:rsidP="00C76316">
            <w:pPr>
              <w:pStyle w:val="VCAAtablecondensed"/>
              <w:rPr>
                <w:color w:val="auto"/>
                <w:lang w:val="en-AU"/>
              </w:rPr>
            </w:pPr>
            <w:r w:rsidRPr="00492D1A">
              <w:rPr>
                <w:color w:val="auto"/>
                <w:lang w:val="en-AU"/>
              </w:rPr>
              <w:t>14</w:t>
            </w:r>
          </w:p>
        </w:tc>
        <w:tc>
          <w:tcPr>
            <w:tcW w:w="824" w:type="dxa"/>
            <w:tcBorders>
              <w:bottom w:val="single" w:sz="4" w:space="0" w:color="000000" w:themeColor="text1"/>
            </w:tcBorders>
          </w:tcPr>
          <w:p w14:paraId="2BC3DA4D" w14:textId="77777777" w:rsidR="00BD2FEB" w:rsidRPr="00492D1A" w:rsidRDefault="00BD2FEB" w:rsidP="00C76316">
            <w:pPr>
              <w:pStyle w:val="VCAAtablecondensed"/>
              <w:rPr>
                <w:color w:val="auto"/>
                <w:lang w:val="en-AU"/>
              </w:rPr>
            </w:pPr>
            <w:r w:rsidRPr="00492D1A">
              <w:rPr>
                <w:color w:val="auto"/>
                <w:lang w:val="en-AU"/>
              </w:rPr>
              <w:t>8</w:t>
            </w:r>
          </w:p>
        </w:tc>
        <w:tc>
          <w:tcPr>
            <w:tcW w:w="4827" w:type="dxa"/>
          </w:tcPr>
          <w:p w14:paraId="139A8362" w14:textId="77777777" w:rsidR="00BD2FEB" w:rsidRPr="00492D1A" w:rsidRDefault="00BD2FEB" w:rsidP="00C76316">
            <w:pPr>
              <w:pStyle w:val="VCAAtablecondensed"/>
              <w:rPr>
                <w:color w:val="auto"/>
              </w:rPr>
            </w:pPr>
          </w:p>
        </w:tc>
      </w:tr>
      <w:tr w:rsidR="00BD2FEB" w:rsidRPr="00492D1A" w14:paraId="304C3E08" w14:textId="77777777" w:rsidTr="00C76316">
        <w:tc>
          <w:tcPr>
            <w:tcW w:w="1004" w:type="dxa"/>
          </w:tcPr>
          <w:p w14:paraId="3954FC15" w14:textId="77777777" w:rsidR="00BD2FEB" w:rsidRPr="00492D1A" w:rsidRDefault="00BD2FEB" w:rsidP="00C76316">
            <w:pPr>
              <w:pStyle w:val="VCAAtablecondensed"/>
              <w:rPr>
                <w:rStyle w:val="EmphasisBold"/>
                <w:color w:val="auto"/>
              </w:rPr>
            </w:pPr>
            <w:r w:rsidRPr="00492D1A">
              <w:rPr>
                <w:rStyle w:val="EmphasisBold"/>
                <w:color w:val="auto"/>
              </w:rPr>
              <w:t>6</w:t>
            </w:r>
          </w:p>
        </w:tc>
        <w:tc>
          <w:tcPr>
            <w:tcW w:w="805" w:type="dxa"/>
            <w:vAlign w:val="bottom"/>
          </w:tcPr>
          <w:p w14:paraId="0C5796C9" w14:textId="77777777" w:rsidR="00BD2FEB" w:rsidRPr="00492D1A" w:rsidRDefault="00BD2FEB" w:rsidP="00C76316">
            <w:pPr>
              <w:pStyle w:val="VCAAtablecondensed"/>
              <w:rPr>
                <w:color w:val="auto"/>
                <w:lang w:val="en-AU"/>
              </w:rPr>
            </w:pPr>
            <w:r w:rsidRPr="00492D1A">
              <w:rPr>
                <w:color w:val="auto"/>
                <w:lang w:val="en-AU"/>
              </w:rPr>
              <w:t>D</w:t>
            </w:r>
          </w:p>
        </w:tc>
        <w:tc>
          <w:tcPr>
            <w:tcW w:w="656" w:type="dxa"/>
          </w:tcPr>
          <w:p w14:paraId="174058BD" w14:textId="77777777" w:rsidR="00BD2FEB" w:rsidRPr="00492D1A" w:rsidRDefault="00BD2FEB" w:rsidP="00C76316">
            <w:pPr>
              <w:pStyle w:val="VCAAtablecondensed"/>
              <w:rPr>
                <w:color w:val="auto"/>
                <w:lang w:val="en-AU"/>
              </w:rPr>
            </w:pPr>
            <w:r w:rsidRPr="00492D1A">
              <w:rPr>
                <w:color w:val="auto"/>
                <w:lang w:val="en-AU"/>
              </w:rPr>
              <w:t>26</w:t>
            </w:r>
          </w:p>
        </w:tc>
        <w:tc>
          <w:tcPr>
            <w:tcW w:w="656" w:type="dxa"/>
            <w:tcBorders>
              <w:bottom w:val="single" w:sz="4" w:space="0" w:color="000000" w:themeColor="text1"/>
            </w:tcBorders>
          </w:tcPr>
          <w:p w14:paraId="1A991B96" w14:textId="77777777" w:rsidR="00BD2FEB" w:rsidRPr="00492D1A" w:rsidRDefault="00BD2FEB" w:rsidP="00C76316">
            <w:pPr>
              <w:pStyle w:val="VCAAtablecondensed"/>
              <w:rPr>
                <w:color w:val="auto"/>
                <w:lang w:val="en-AU"/>
              </w:rPr>
            </w:pPr>
            <w:r w:rsidRPr="00492D1A">
              <w:rPr>
                <w:color w:val="auto"/>
                <w:lang w:val="en-AU"/>
              </w:rPr>
              <w:t>4</w:t>
            </w:r>
          </w:p>
        </w:tc>
        <w:tc>
          <w:tcPr>
            <w:tcW w:w="721" w:type="dxa"/>
          </w:tcPr>
          <w:p w14:paraId="7EC4038F" w14:textId="77777777" w:rsidR="00BD2FEB" w:rsidRPr="00492D1A" w:rsidRDefault="00BD2FEB" w:rsidP="00C76316">
            <w:pPr>
              <w:pStyle w:val="VCAAtablecondensed"/>
              <w:rPr>
                <w:color w:val="auto"/>
                <w:lang w:val="en-AU"/>
              </w:rPr>
            </w:pPr>
            <w:r w:rsidRPr="00492D1A">
              <w:rPr>
                <w:color w:val="auto"/>
                <w:lang w:val="en-AU"/>
              </w:rPr>
              <w:t>5</w:t>
            </w:r>
          </w:p>
        </w:tc>
        <w:tc>
          <w:tcPr>
            <w:tcW w:w="824" w:type="dxa"/>
            <w:shd w:val="pct10" w:color="auto" w:fill="auto"/>
          </w:tcPr>
          <w:p w14:paraId="40C97C63" w14:textId="77777777" w:rsidR="00BD2FEB" w:rsidRPr="00492D1A" w:rsidRDefault="00BD2FEB" w:rsidP="00C76316">
            <w:pPr>
              <w:pStyle w:val="VCAAtablecondensed"/>
              <w:rPr>
                <w:b/>
                <w:bCs/>
                <w:color w:val="auto"/>
                <w:lang w:val="en-AU"/>
              </w:rPr>
            </w:pPr>
            <w:r w:rsidRPr="00492D1A">
              <w:rPr>
                <w:b/>
                <w:bCs/>
                <w:color w:val="auto"/>
                <w:lang w:val="en-AU"/>
              </w:rPr>
              <w:t>65</w:t>
            </w:r>
          </w:p>
        </w:tc>
        <w:tc>
          <w:tcPr>
            <w:tcW w:w="4827" w:type="dxa"/>
          </w:tcPr>
          <w:p w14:paraId="0CB5AA20" w14:textId="77777777" w:rsidR="00BD2FEB" w:rsidRPr="00492D1A" w:rsidRDefault="00BD2FEB" w:rsidP="00C76316">
            <w:pPr>
              <w:pStyle w:val="VCAAtablecondensed"/>
              <w:rPr>
                <w:color w:val="auto"/>
              </w:rPr>
            </w:pPr>
          </w:p>
        </w:tc>
      </w:tr>
      <w:tr w:rsidR="00BD2FEB" w:rsidRPr="00492D1A" w14:paraId="0CB7AF70" w14:textId="77777777" w:rsidTr="00C76316">
        <w:tc>
          <w:tcPr>
            <w:tcW w:w="1004" w:type="dxa"/>
          </w:tcPr>
          <w:p w14:paraId="77F4796B" w14:textId="77777777" w:rsidR="00BD2FEB" w:rsidRPr="00492D1A" w:rsidRDefault="00BD2FEB" w:rsidP="00C76316">
            <w:pPr>
              <w:pStyle w:val="VCAAtablecondensed"/>
              <w:rPr>
                <w:rStyle w:val="EmphasisBold"/>
                <w:color w:val="auto"/>
              </w:rPr>
            </w:pPr>
            <w:r w:rsidRPr="00492D1A">
              <w:rPr>
                <w:rStyle w:val="EmphasisBold"/>
                <w:color w:val="auto"/>
              </w:rPr>
              <w:t>7</w:t>
            </w:r>
          </w:p>
        </w:tc>
        <w:tc>
          <w:tcPr>
            <w:tcW w:w="805" w:type="dxa"/>
            <w:vAlign w:val="bottom"/>
          </w:tcPr>
          <w:p w14:paraId="78E2E6C4" w14:textId="77777777" w:rsidR="00BD2FEB" w:rsidRPr="00492D1A" w:rsidRDefault="00BD2FEB" w:rsidP="00C76316">
            <w:pPr>
              <w:pStyle w:val="VCAAtablecondensed"/>
              <w:rPr>
                <w:color w:val="auto"/>
                <w:lang w:val="en-AU"/>
              </w:rPr>
            </w:pPr>
            <w:r w:rsidRPr="00492D1A">
              <w:rPr>
                <w:color w:val="auto"/>
                <w:lang w:val="en-AU"/>
              </w:rPr>
              <w:t>B</w:t>
            </w:r>
          </w:p>
        </w:tc>
        <w:tc>
          <w:tcPr>
            <w:tcW w:w="656" w:type="dxa"/>
          </w:tcPr>
          <w:p w14:paraId="33BBF8CC" w14:textId="77777777" w:rsidR="00BD2FEB" w:rsidRPr="00492D1A" w:rsidRDefault="00BD2FEB" w:rsidP="00C76316">
            <w:pPr>
              <w:pStyle w:val="VCAAtablecondensed"/>
              <w:rPr>
                <w:color w:val="auto"/>
                <w:lang w:val="en-AU"/>
              </w:rPr>
            </w:pPr>
            <w:r w:rsidRPr="00492D1A">
              <w:rPr>
                <w:color w:val="auto"/>
                <w:lang w:val="en-AU"/>
              </w:rPr>
              <w:t>6</w:t>
            </w:r>
          </w:p>
        </w:tc>
        <w:tc>
          <w:tcPr>
            <w:tcW w:w="656" w:type="dxa"/>
            <w:shd w:val="pct10" w:color="auto" w:fill="auto"/>
          </w:tcPr>
          <w:p w14:paraId="4D446CDF" w14:textId="77777777" w:rsidR="00BD2FEB" w:rsidRPr="00492D1A" w:rsidRDefault="00BD2FEB" w:rsidP="00C76316">
            <w:pPr>
              <w:pStyle w:val="VCAAtablecondensed"/>
              <w:rPr>
                <w:b/>
                <w:bCs/>
                <w:color w:val="auto"/>
                <w:lang w:val="en-AU"/>
              </w:rPr>
            </w:pPr>
            <w:r w:rsidRPr="00492D1A">
              <w:rPr>
                <w:b/>
                <w:bCs/>
                <w:color w:val="auto"/>
                <w:lang w:val="en-AU"/>
              </w:rPr>
              <w:t>77</w:t>
            </w:r>
          </w:p>
        </w:tc>
        <w:tc>
          <w:tcPr>
            <w:tcW w:w="721" w:type="dxa"/>
            <w:tcBorders>
              <w:bottom w:val="single" w:sz="4" w:space="0" w:color="000000" w:themeColor="text1"/>
            </w:tcBorders>
          </w:tcPr>
          <w:p w14:paraId="55117AC8" w14:textId="77777777" w:rsidR="00BD2FEB" w:rsidRPr="00492D1A" w:rsidRDefault="00BD2FEB" w:rsidP="00C76316">
            <w:pPr>
              <w:pStyle w:val="VCAAtablecondensed"/>
              <w:rPr>
                <w:color w:val="auto"/>
                <w:lang w:val="en-AU"/>
              </w:rPr>
            </w:pPr>
            <w:r w:rsidRPr="00492D1A">
              <w:rPr>
                <w:color w:val="auto"/>
                <w:lang w:val="en-AU"/>
              </w:rPr>
              <w:t>10</w:t>
            </w:r>
          </w:p>
        </w:tc>
        <w:tc>
          <w:tcPr>
            <w:tcW w:w="824" w:type="dxa"/>
          </w:tcPr>
          <w:p w14:paraId="1AA02758" w14:textId="77777777" w:rsidR="00BD2FEB" w:rsidRPr="00492D1A" w:rsidRDefault="00BD2FEB" w:rsidP="00C76316">
            <w:pPr>
              <w:pStyle w:val="VCAAtablecondensed"/>
              <w:rPr>
                <w:color w:val="auto"/>
                <w:lang w:val="en-AU"/>
              </w:rPr>
            </w:pPr>
            <w:r w:rsidRPr="00492D1A">
              <w:rPr>
                <w:color w:val="auto"/>
                <w:lang w:val="en-AU"/>
              </w:rPr>
              <w:t>7</w:t>
            </w:r>
          </w:p>
        </w:tc>
        <w:tc>
          <w:tcPr>
            <w:tcW w:w="4827" w:type="dxa"/>
          </w:tcPr>
          <w:p w14:paraId="0D1228E6" w14:textId="77777777" w:rsidR="00BD2FEB" w:rsidRPr="00492D1A" w:rsidRDefault="00BD2FEB" w:rsidP="00C76316">
            <w:pPr>
              <w:pStyle w:val="VCAAtablecondensed"/>
              <w:rPr>
                <w:color w:val="auto"/>
              </w:rPr>
            </w:pPr>
          </w:p>
        </w:tc>
      </w:tr>
      <w:tr w:rsidR="00BD2FEB" w:rsidRPr="00492D1A" w14:paraId="635170B6" w14:textId="77777777" w:rsidTr="00C76316">
        <w:tc>
          <w:tcPr>
            <w:tcW w:w="1004" w:type="dxa"/>
          </w:tcPr>
          <w:p w14:paraId="7DD211C8" w14:textId="77777777" w:rsidR="00BD2FEB" w:rsidRPr="00492D1A" w:rsidRDefault="00BD2FEB" w:rsidP="00C76316">
            <w:pPr>
              <w:pStyle w:val="VCAAtablecondensed"/>
              <w:rPr>
                <w:rStyle w:val="EmphasisBold"/>
                <w:color w:val="auto"/>
              </w:rPr>
            </w:pPr>
            <w:r w:rsidRPr="00492D1A">
              <w:rPr>
                <w:rStyle w:val="EmphasisBold"/>
                <w:color w:val="auto"/>
              </w:rPr>
              <w:t>8</w:t>
            </w:r>
          </w:p>
        </w:tc>
        <w:tc>
          <w:tcPr>
            <w:tcW w:w="805" w:type="dxa"/>
            <w:vAlign w:val="bottom"/>
          </w:tcPr>
          <w:p w14:paraId="7F012B66" w14:textId="77777777" w:rsidR="00BD2FEB" w:rsidRPr="00492D1A" w:rsidRDefault="00BD2FEB" w:rsidP="00C76316">
            <w:pPr>
              <w:pStyle w:val="VCAAtablecondensed"/>
              <w:rPr>
                <w:color w:val="auto"/>
                <w:lang w:val="en-AU"/>
              </w:rPr>
            </w:pPr>
            <w:r w:rsidRPr="00492D1A">
              <w:rPr>
                <w:color w:val="auto"/>
                <w:lang w:val="en-AU"/>
              </w:rPr>
              <w:t>C</w:t>
            </w:r>
          </w:p>
        </w:tc>
        <w:tc>
          <w:tcPr>
            <w:tcW w:w="656" w:type="dxa"/>
          </w:tcPr>
          <w:p w14:paraId="6AEAF119" w14:textId="77777777" w:rsidR="00BD2FEB" w:rsidRPr="00492D1A" w:rsidRDefault="00BD2FEB" w:rsidP="00C76316">
            <w:pPr>
              <w:pStyle w:val="VCAAtablecondensed"/>
              <w:rPr>
                <w:color w:val="auto"/>
                <w:lang w:val="en-AU"/>
              </w:rPr>
            </w:pPr>
            <w:r w:rsidRPr="00492D1A">
              <w:rPr>
                <w:color w:val="auto"/>
                <w:lang w:val="en-AU"/>
              </w:rPr>
              <w:t>10</w:t>
            </w:r>
          </w:p>
        </w:tc>
        <w:tc>
          <w:tcPr>
            <w:tcW w:w="656" w:type="dxa"/>
          </w:tcPr>
          <w:p w14:paraId="52302E76" w14:textId="77777777" w:rsidR="00BD2FEB" w:rsidRPr="00492D1A" w:rsidRDefault="00BD2FEB" w:rsidP="00C76316">
            <w:pPr>
              <w:pStyle w:val="VCAAtablecondensed"/>
              <w:rPr>
                <w:color w:val="auto"/>
                <w:lang w:val="en-AU"/>
              </w:rPr>
            </w:pPr>
            <w:r w:rsidRPr="00492D1A">
              <w:rPr>
                <w:color w:val="auto"/>
                <w:lang w:val="en-AU"/>
              </w:rPr>
              <w:t>8</w:t>
            </w:r>
          </w:p>
        </w:tc>
        <w:tc>
          <w:tcPr>
            <w:tcW w:w="721" w:type="dxa"/>
            <w:tcBorders>
              <w:bottom w:val="single" w:sz="4" w:space="0" w:color="000000" w:themeColor="text1"/>
            </w:tcBorders>
            <w:shd w:val="pct10" w:color="auto" w:fill="auto"/>
          </w:tcPr>
          <w:p w14:paraId="1D7351BE" w14:textId="77777777" w:rsidR="00BD2FEB" w:rsidRPr="00492D1A" w:rsidRDefault="00BD2FEB" w:rsidP="00C76316">
            <w:pPr>
              <w:pStyle w:val="VCAAtablecondensed"/>
              <w:rPr>
                <w:b/>
                <w:bCs/>
                <w:color w:val="auto"/>
                <w:lang w:val="en-AU"/>
              </w:rPr>
            </w:pPr>
            <w:r w:rsidRPr="00492D1A">
              <w:rPr>
                <w:b/>
                <w:bCs/>
                <w:color w:val="auto"/>
                <w:lang w:val="en-AU"/>
              </w:rPr>
              <w:t>80</w:t>
            </w:r>
          </w:p>
        </w:tc>
        <w:tc>
          <w:tcPr>
            <w:tcW w:w="824" w:type="dxa"/>
          </w:tcPr>
          <w:p w14:paraId="6C139693" w14:textId="77777777" w:rsidR="00BD2FEB" w:rsidRPr="00492D1A" w:rsidRDefault="00BD2FEB" w:rsidP="00C76316">
            <w:pPr>
              <w:pStyle w:val="VCAAtablecondensed"/>
              <w:rPr>
                <w:color w:val="auto"/>
                <w:lang w:val="en-AU"/>
              </w:rPr>
            </w:pPr>
            <w:r w:rsidRPr="00492D1A">
              <w:rPr>
                <w:color w:val="auto"/>
                <w:lang w:val="en-AU"/>
              </w:rPr>
              <w:t>2</w:t>
            </w:r>
          </w:p>
        </w:tc>
        <w:tc>
          <w:tcPr>
            <w:tcW w:w="4827" w:type="dxa"/>
          </w:tcPr>
          <w:p w14:paraId="46847A37" w14:textId="77777777" w:rsidR="00BD2FEB" w:rsidRPr="00492D1A" w:rsidRDefault="00BD2FEB" w:rsidP="00C76316">
            <w:pPr>
              <w:pStyle w:val="VCAAtablecondensed"/>
              <w:rPr>
                <w:color w:val="auto"/>
              </w:rPr>
            </w:pPr>
          </w:p>
        </w:tc>
      </w:tr>
      <w:tr w:rsidR="00BD2FEB" w:rsidRPr="00492D1A" w14:paraId="0EEC16E6" w14:textId="77777777" w:rsidTr="00C76316">
        <w:tc>
          <w:tcPr>
            <w:tcW w:w="1004" w:type="dxa"/>
          </w:tcPr>
          <w:p w14:paraId="465DE310" w14:textId="77777777" w:rsidR="00BD2FEB" w:rsidRPr="00492D1A" w:rsidRDefault="00BD2FEB" w:rsidP="00C76316">
            <w:pPr>
              <w:pStyle w:val="VCAAtablecondensed"/>
              <w:rPr>
                <w:rStyle w:val="EmphasisBold"/>
                <w:color w:val="auto"/>
              </w:rPr>
            </w:pPr>
            <w:r w:rsidRPr="00492D1A">
              <w:rPr>
                <w:rStyle w:val="EmphasisBold"/>
                <w:color w:val="auto"/>
              </w:rPr>
              <w:t>9</w:t>
            </w:r>
          </w:p>
        </w:tc>
        <w:tc>
          <w:tcPr>
            <w:tcW w:w="805" w:type="dxa"/>
          </w:tcPr>
          <w:p w14:paraId="1ADCBAB3" w14:textId="77777777" w:rsidR="00BD2FEB" w:rsidRPr="00492D1A" w:rsidRDefault="00BD2FEB" w:rsidP="00C76316">
            <w:pPr>
              <w:pStyle w:val="VCAAtablecondensed"/>
              <w:rPr>
                <w:color w:val="auto"/>
                <w:lang w:val="en-AU"/>
              </w:rPr>
            </w:pPr>
            <w:r w:rsidRPr="00492D1A">
              <w:rPr>
                <w:color w:val="auto"/>
              </w:rPr>
              <w:t>C</w:t>
            </w:r>
          </w:p>
        </w:tc>
        <w:tc>
          <w:tcPr>
            <w:tcW w:w="656" w:type="dxa"/>
          </w:tcPr>
          <w:p w14:paraId="20F32F5C" w14:textId="77777777" w:rsidR="00BD2FEB" w:rsidRPr="00492D1A" w:rsidRDefault="00BD2FEB" w:rsidP="00C76316">
            <w:pPr>
              <w:pStyle w:val="VCAAtablecondensed"/>
              <w:rPr>
                <w:color w:val="auto"/>
              </w:rPr>
            </w:pPr>
            <w:r w:rsidRPr="00492D1A">
              <w:rPr>
                <w:color w:val="auto"/>
              </w:rPr>
              <w:t>21</w:t>
            </w:r>
          </w:p>
        </w:tc>
        <w:tc>
          <w:tcPr>
            <w:tcW w:w="656" w:type="dxa"/>
          </w:tcPr>
          <w:p w14:paraId="2C6C9718" w14:textId="77777777" w:rsidR="00BD2FEB" w:rsidRPr="00492D1A" w:rsidRDefault="00BD2FEB" w:rsidP="00C76316">
            <w:pPr>
              <w:pStyle w:val="VCAAtablecondensed"/>
              <w:rPr>
                <w:color w:val="auto"/>
              </w:rPr>
            </w:pPr>
            <w:r w:rsidRPr="00492D1A">
              <w:rPr>
                <w:color w:val="auto"/>
              </w:rPr>
              <w:t>7</w:t>
            </w:r>
          </w:p>
        </w:tc>
        <w:tc>
          <w:tcPr>
            <w:tcW w:w="721" w:type="dxa"/>
            <w:shd w:val="pct10" w:color="auto" w:fill="auto"/>
          </w:tcPr>
          <w:p w14:paraId="5CED2FCF" w14:textId="77777777" w:rsidR="00BD2FEB" w:rsidRPr="00492D1A" w:rsidRDefault="00BD2FEB" w:rsidP="00C76316">
            <w:pPr>
              <w:pStyle w:val="VCAAtablecondensed"/>
              <w:rPr>
                <w:b/>
                <w:bCs/>
                <w:color w:val="auto"/>
              </w:rPr>
            </w:pPr>
            <w:r w:rsidRPr="00492D1A">
              <w:rPr>
                <w:b/>
                <w:bCs/>
                <w:color w:val="auto"/>
              </w:rPr>
              <w:t>63</w:t>
            </w:r>
          </w:p>
        </w:tc>
        <w:tc>
          <w:tcPr>
            <w:tcW w:w="824" w:type="dxa"/>
            <w:tcBorders>
              <w:bottom w:val="single" w:sz="4" w:space="0" w:color="000000" w:themeColor="text1"/>
            </w:tcBorders>
          </w:tcPr>
          <w:p w14:paraId="12500BF7" w14:textId="77777777" w:rsidR="00BD2FEB" w:rsidRPr="00492D1A" w:rsidRDefault="00BD2FEB" w:rsidP="00C76316">
            <w:pPr>
              <w:pStyle w:val="VCAAtablecondensed"/>
              <w:rPr>
                <w:color w:val="auto"/>
              </w:rPr>
            </w:pPr>
            <w:r w:rsidRPr="00492D1A">
              <w:rPr>
                <w:color w:val="auto"/>
              </w:rPr>
              <w:t>9</w:t>
            </w:r>
          </w:p>
        </w:tc>
        <w:tc>
          <w:tcPr>
            <w:tcW w:w="4827" w:type="dxa"/>
          </w:tcPr>
          <w:p w14:paraId="23E7CE8F" w14:textId="77777777" w:rsidR="00BD2FEB" w:rsidRPr="00492D1A" w:rsidRDefault="00BD2FEB" w:rsidP="00C76316">
            <w:pPr>
              <w:pStyle w:val="VCAAtablecondensed"/>
              <w:rPr>
                <w:color w:val="auto"/>
                <w:lang w:val="en-AU"/>
              </w:rPr>
            </w:pPr>
          </w:p>
        </w:tc>
      </w:tr>
      <w:tr w:rsidR="00BD2FEB" w:rsidRPr="00492D1A" w14:paraId="6CC3D3EF" w14:textId="77777777" w:rsidTr="00C76316">
        <w:tc>
          <w:tcPr>
            <w:tcW w:w="1004" w:type="dxa"/>
          </w:tcPr>
          <w:p w14:paraId="12372BF5" w14:textId="77777777" w:rsidR="00BD2FEB" w:rsidRPr="00492D1A" w:rsidRDefault="00BD2FEB" w:rsidP="00C76316">
            <w:pPr>
              <w:pStyle w:val="VCAAtablecondensed"/>
              <w:rPr>
                <w:rStyle w:val="EmphasisBold"/>
                <w:color w:val="auto"/>
              </w:rPr>
            </w:pPr>
            <w:r w:rsidRPr="00492D1A">
              <w:rPr>
                <w:rStyle w:val="EmphasisBold"/>
                <w:color w:val="auto"/>
              </w:rPr>
              <w:t>10</w:t>
            </w:r>
          </w:p>
        </w:tc>
        <w:tc>
          <w:tcPr>
            <w:tcW w:w="805" w:type="dxa"/>
          </w:tcPr>
          <w:p w14:paraId="699E0488" w14:textId="77777777" w:rsidR="00BD2FEB" w:rsidRPr="00492D1A" w:rsidRDefault="00BD2FEB" w:rsidP="00C76316">
            <w:pPr>
              <w:pStyle w:val="VCAAtablecondensed"/>
              <w:rPr>
                <w:color w:val="auto"/>
              </w:rPr>
            </w:pPr>
            <w:r w:rsidRPr="00492D1A">
              <w:rPr>
                <w:color w:val="auto"/>
              </w:rPr>
              <w:t>D</w:t>
            </w:r>
          </w:p>
          <w:p w14:paraId="6E20CDE3" w14:textId="77777777" w:rsidR="00BD2FEB" w:rsidRPr="00492D1A" w:rsidRDefault="00BD2FEB" w:rsidP="00C76316">
            <w:pPr>
              <w:rPr>
                <w:color w:val="auto"/>
              </w:rPr>
            </w:pPr>
          </w:p>
          <w:p w14:paraId="7B8780A9" w14:textId="77777777" w:rsidR="00BD2FEB" w:rsidRPr="00492D1A" w:rsidRDefault="00BD2FEB" w:rsidP="00C76316">
            <w:pPr>
              <w:rPr>
                <w:color w:val="auto"/>
              </w:rPr>
            </w:pPr>
          </w:p>
          <w:p w14:paraId="185FD5B3" w14:textId="77777777" w:rsidR="00BD2FEB" w:rsidRPr="00492D1A" w:rsidRDefault="00BD2FEB" w:rsidP="00C76316">
            <w:pPr>
              <w:rPr>
                <w:color w:val="auto"/>
              </w:rPr>
            </w:pPr>
          </w:p>
          <w:p w14:paraId="2F95E2B6" w14:textId="77777777" w:rsidR="00BD2FEB" w:rsidRPr="00492D1A" w:rsidRDefault="00BD2FEB" w:rsidP="00C76316">
            <w:pPr>
              <w:rPr>
                <w:color w:val="auto"/>
              </w:rPr>
            </w:pPr>
          </w:p>
          <w:p w14:paraId="242719D0" w14:textId="77777777" w:rsidR="00BD2FEB" w:rsidRPr="00492D1A" w:rsidRDefault="00BD2FEB" w:rsidP="00C76316">
            <w:pPr>
              <w:rPr>
                <w:color w:val="auto"/>
              </w:rPr>
            </w:pPr>
          </w:p>
          <w:p w14:paraId="0B161529" w14:textId="77777777" w:rsidR="00BD2FEB" w:rsidRPr="00492D1A" w:rsidRDefault="00BD2FEB" w:rsidP="00C76316">
            <w:pPr>
              <w:rPr>
                <w:color w:val="auto"/>
              </w:rPr>
            </w:pPr>
          </w:p>
          <w:p w14:paraId="69367C24" w14:textId="77777777" w:rsidR="00BD2FEB" w:rsidRPr="00492D1A" w:rsidRDefault="00BD2FEB" w:rsidP="00C76316">
            <w:pPr>
              <w:rPr>
                <w:color w:val="auto"/>
              </w:rPr>
            </w:pPr>
          </w:p>
          <w:p w14:paraId="6A455E65" w14:textId="77777777" w:rsidR="00BD2FEB" w:rsidRPr="00492D1A" w:rsidRDefault="00BD2FEB" w:rsidP="00C76316">
            <w:pPr>
              <w:rPr>
                <w:color w:val="auto"/>
              </w:rPr>
            </w:pPr>
          </w:p>
          <w:p w14:paraId="0243496C" w14:textId="77777777" w:rsidR="00BD2FEB" w:rsidRPr="00492D1A" w:rsidRDefault="00BD2FEB" w:rsidP="00C76316">
            <w:pPr>
              <w:rPr>
                <w:color w:val="auto"/>
              </w:rPr>
            </w:pPr>
          </w:p>
          <w:p w14:paraId="6A6469F5" w14:textId="77777777" w:rsidR="00BD2FEB" w:rsidRPr="00492D1A" w:rsidRDefault="00BD2FEB" w:rsidP="00C76316">
            <w:pPr>
              <w:rPr>
                <w:color w:val="auto"/>
              </w:rPr>
            </w:pPr>
          </w:p>
        </w:tc>
        <w:tc>
          <w:tcPr>
            <w:tcW w:w="656" w:type="dxa"/>
          </w:tcPr>
          <w:p w14:paraId="2941BEEA" w14:textId="77777777" w:rsidR="00BD2FEB" w:rsidRPr="00492D1A" w:rsidRDefault="00BD2FEB" w:rsidP="00C76316">
            <w:pPr>
              <w:pStyle w:val="VCAAtablecondensed"/>
              <w:rPr>
                <w:color w:val="auto"/>
              </w:rPr>
            </w:pPr>
            <w:r w:rsidRPr="00492D1A">
              <w:rPr>
                <w:color w:val="auto"/>
              </w:rPr>
              <w:t>20</w:t>
            </w:r>
          </w:p>
        </w:tc>
        <w:tc>
          <w:tcPr>
            <w:tcW w:w="656" w:type="dxa"/>
          </w:tcPr>
          <w:p w14:paraId="5A45D87E" w14:textId="77777777" w:rsidR="00BD2FEB" w:rsidRPr="00492D1A" w:rsidRDefault="00BD2FEB" w:rsidP="00C76316">
            <w:pPr>
              <w:pStyle w:val="VCAAtablecondensed"/>
              <w:rPr>
                <w:color w:val="auto"/>
              </w:rPr>
            </w:pPr>
            <w:r w:rsidRPr="00492D1A">
              <w:rPr>
                <w:color w:val="auto"/>
              </w:rPr>
              <w:t>8</w:t>
            </w:r>
          </w:p>
        </w:tc>
        <w:tc>
          <w:tcPr>
            <w:tcW w:w="721" w:type="dxa"/>
          </w:tcPr>
          <w:p w14:paraId="448F5089" w14:textId="77777777" w:rsidR="00BD2FEB" w:rsidRPr="00492D1A" w:rsidRDefault="00BD2FEB" w:rsidP="00C76316">
            <w:pPr>
              <w:pStyle w:val="VCAAtablecondensed"/>
              <w:rPr>
                <w:color w:val="auto"/>
              </w:rPr>
            </w:pPr>
            <w:r w:rsidRPr="00492D1A">
              <w:rPr>
                <w:color w:val="auto"/>
              </w:rPr>
              <w:t>19</w:t>
            </w:r>
          </w:p>
        </w:tc>
        <w:tc>
          <w:tcPr>
            <w:tcW w:w="824" w:type="dxa"/>
            <w:tcBorders>
              <w:bottom w:val="single" w:sz="4" w:space="0" w:color="000000" w:themeColor="text1"/>
            </w:tcBorders>
            <w:shd w:val="pct10" w:color="auto" w:fill="auto"/>
          </w:tcPr>
          <w:p w14:paraId="49116DC9" w14:textId="77777777" w:rsidR="00BD2FEB" w:rsidRPr="00492D1A" w:rsidRDefault="00BD2FEB" w:rsidP="00C76316">
            <w:pPr>
              <w:pStyle w:val="VCAAtablecondensed"/>
              <w:rPr>
                <w:b/>
                <w:bCs/>
                <w:color w:val="auto"/>
              </w:rPr>
            </w:pPr>
            <w:r w:rsidRPr="00492D1A">
              <w:rPr>
                <w:b/>
                <w:bCs/>
                <w:color w:val="auto"/>
              </w:rPr>
              <w:t>52</w:t>
            </w:r>
          </w:p>
        </w:tc>
        <w:tc>
          <w:tcPr>
            <w:tcW w:w="4827" w:type="dxa"/>
          </w:tcPr>
          <w:p w14:paraId="3CADA5F1" w14:textId="77777777" w:rsidR="00BD2FEB" w:rsidRPr="00492D1A" w:rsidRDefault="00BD2FEB" w:rsidP="00C76316">
            <w:pPr>
              <w:pStyle w:val="VCAAtablecondensed"/>
              <w:rPr>
                <w:color w:val="auto"/>
                <w:sz w:val="18"/>
                <w:szCs w:val="20"/>
                <w:lang w:val="en-AU"/>
              </w:rPr>
            </w:pPr>
            <w:r w:rsidRPr="00492D1A">
              <w:rPr>
                <w:color w:val="auto"/>
                <w:lang w:val="en-AU"/>
              </w:rPr>
              <w:t xml:space="preserve">This question proved to be tricky, with only half of students identifying D as the correct answer. Students are reminded to pay careful attention to every single word in the question. The question clearly stated that the ‘economy was operating at a level close to capacity’ instead of </w:t>
            </w:r>
            <w:r w:rsidRPr="00492D1A">
              <w:rPr>
                <w:rStyle w:val="EmphasisBold"/>
                <w:color w:val="auto"/>
              </w:rPr>
              <w:t>at</w:t>
            </w:r>
            <w:r w:rsidRPr="00492D1A">
              <w:rPr>
                <w:color w:val="auto"/>
                <w:lang w:val="en-AU"/>
              </w:rPr>
              <w:t xml:space="preserve"> full productive capacity. This suggests there is still some slack in the economy and hence it is still able to absorb further increases in the level of aggregate demand, resulting in potentially higher output, employment and prices.</w:t>
            </w:r>
          </w:p>
        </w:tc>
      </w:tr>
      <w:tr w:rsidR="00BD2FEB" w:rsidRPr="00492D1A" w14:paraId="081BFCAA" w14:textId="77777777" w:rsidTr="00C76316">
        <w:tc>
          <w:tcPr>
            <w:tcW w:w="1004" w:type="dxa"/>
          </w:tcPr>
          <w:p w14:paraId="2FA6594F" w14:textId="77777777" w:rsidR="00BD2FEB" w:rsidRPr="00492D1A" w:rsidRDefault="00BD2FEB" w:rsidP="00C76316">
            <w:pPr>
              <w:pStyle w:val="VCAAtablecondensed"/>
              <w:rPr>
                <w:rStyle w:val="EmphasisBold"/>
                <w:color w:val="auto"/>
              </w:rPr>
            </w:pPr>
            <w:r w:rsidRPr="00492D1A">
              <w:rPr>
                <w:rStyle w:val="EmphasisBold"/>
                <w:color w:val="auto"/>
              </w:rPr>
              <w:lastRenderedPageBreak/>
              <w:t>11</w:t>
            </w:r>
          </w:p>
        </w:tc>
        <w:tc>
          <w:tcPr>
            <w:tcW w:w="805" w:type="dxa"/>
          </w:tcPr>
          <w:p w14:paraId="1BBCEB51" w14:textId="77777777" w:rsidR="00BD2FEB" w:rsidRPr="00492D1A" w:rsidRDefault="00BD2FEB" w:rsidP="00C76316">
            <w:pPr>
              <w:pStyle w:val="VCAAtablecondensed"/>
              <w:rPr>
                <w:color w:val="auto"/>
                <w:lang w:val="en-AU"/>
              </w:rPr>
            </w:pPr>
            <w:r w:rsidRPr="00492D1A">
              <w:rPr>
                <w:color w:val="auto"/>
              </w:rPr>
              <w:t>D</w:t>
            </w:r>
          </w:p>
        </w:tc>
        <w:tc>
          <w:tcPr>
            <w:tcW w:w="656" w:type="dxa"/>
          </w:tcPr>
          <w:p w14:paraId="399C3E12" w14:textId="77777777" w:rsidR="00BD2FEB" w:rsidRPr="00492D1A" w:rsidRDefault="00BD2FEB" w:rsidP="00C76316">
            <w:pPr>
              <w:pStyle w:val="VCAAtablecondensed"/>
              <w:rPr>
                <w:color w:val="auto"/>
              </w:rPr>
            </w:pPr>
            <w:r w:rsidRPr="00492D1A">
              <w:rPr>
                <w:color w:val="auto"/>
              </w:rPr>
              <w:t>11</w:t>
            </w:r>
          </w:p>
        </w:tc>
        <w:tc>
          <w:tcPr>
            <w:tcW w:w="656" w:type="dxa"/>
          </w:tcPr>
          <w:p w14:paraId="3A06027E" w14:textId="77777777" w:rsidR="00BD2FEB" w:rsidRPr="00492D1A" w:rsidRDefault="00BD2FEB" w:rsidP="00C76316">
            <w:pPr>
              <w:pStyle w:val="VCAAtablecondensed"/>
              <w:rPr>
                <w:color w:val="auto"/>
              </w:rPr>
            </w:pPr>
            <w:r w:rsidRPr="00492D1A">
              <w:rPr>
                <w:color w:val="auto"/>
              </w:rPr>
              <w:t>2</w:t>
            </w:r>
          </w:p>
        </w:tc>
        <w:tc>
          <w:tcPr>
            <w:tcW w:w="721" w:type="dxa"/>
          </w:tcPr>
          <w:p w14:paraId="139A8055" w14:textId="77777777" w:rsidR="00BD2FEB" w:rsidRPr="00492D1A" w:rsidRDefault="00BD2FEB" w:rsidP="00C76316">
            <w:pPr>
              <w:pStyle w:val="VCAAtablecondensed"/>
              <w:rPr>
                <w:color w:val="auto"/>
              </w:rPr>
            </w:pPr>
            <w:r w:rsidRPr="00492D1A">
              <w:rPr>
                <w:color w:val="auto"/>
              </w:rPr>
              <w:t>7</w:t>
            </w:r>
          </w:p>
        </w:tc>
        <w:tc>
          <w:tcPr>
            <w:tcW w:w="824" w:type="dxa"/>
            <w:shd w:val="pct10" w:color="auto" w:fill="auto"/>
          </w:tcPr>
          <w:p w14:paraId="2939E737" w14:textId="77777777" w:rsidR="00BD2FEB" w:rsidRPr="00492D1A" w:rsidRDefault="00BD2FEB" w:rsidP="00C76316">
            <w:pPr>
              <w:pStyle w:val="VCAAtablecondensed"/>
              <w:rPr>
                <w:b/>
                <w:bCs/>
                <w:color w:val="auto"/>
              </w:rPr>
            </w:pPr>
            <w:r w:rsidRPr="00492D1A">
              <w:rPr>
                <w:b/>
                <w:bCs/>
                <w:color w:val="auto"/>
              </w:rPr>
              <w:t>80</w:t>
            </w:r>
          </w:p>
        </w:tc>
        <w:tc>
          <w:tcPr>
            <w:tcW w:w="4827" w:type="dxa"/>
          </w:tcPr>
          <w:p w14:paraId="2D67F482" w14:textId="77777777" w:rsidR="00BD2FEB" w:rsidRPr="00492D1A" w:rsidRDefault="00BD2FEB" w:rsidP="00C76316">
            <w:pPr>
              <w:pStyle w:val="VCAAtablecondensed"/>
              <w:rPr>
                <w:color w:val="auto"/>
              </w:rPr>
            </w:pPr>
          </w:p>
        </w:tc>
      </w:tr>
      <w:tr w:rsidR="00BD2FEB" w:rsidRPr="00492D1A" w14:paraId="5AD61285" w14:textId="77777777" w:rsidTr="00C76316">
        <w:tc>
          <w:tcPr>
            <w:tcW w:w="1004" w:type="dxa"/>
          </w:tcPr>
          <w:p w14:paraId="34B8CCA4" w14:textId="77777777" w:rsidR="00BD2FEB" w:rsidRPr="00492D1A" w:rsidRDefault="00BD2FEB" w:rsidP="00C76316">
            <w:pPr>
              <w:pStyle w:val="VCAAtablecondensed"/>
              <w:rPr>
                <w:rStyle w:val="EmphasisBold"/>
                <w:color w:val="auto"/>
              </w:rPr>
            </w:pPr>
            <w:r w:rsidRPr="00492D1A">
              <w:rPr>
                <w:rStyle w:val="EmphasisBold"/>
                <w:color w:val="auto"/>
              </w:rPr>
              <w:t>12</w:t>
            </w:r>
          </w:p>
        </w:tc>
        <w:tc>
          <w:tcPr>
            <w:tcW w:w="805" w:type="dxa"/>
          </w:tcPr>
          <w:p w14:paraId="308F82F9" w14:textId="77777777" w:rsidR="00BD2FEB" w:rsidRPr="00492D1A" w:rsidRDefault="00BD2FEB" w:rsidP="00C76316">
            <w:pPr>
              <w:pStyle w:val="VCAAtablecondensed"/>
              <w:rPr>
                <w:color w:val="auto"/>
                <w:lang w:val="en-AU"/>
              </w:rPr>
            </w:pPr>
            <w:r w:rsidRPr="00492D1A">
              <w:rPr>
                <w:color w:val="auto"/>
              </w:rPr>
              <w:t>A</w:t>
            </w:r>
          </w:p>
        </w:tc>
        <w:tc>
          <w:tcPr>
            <w:tcW w:w="656" w:type="dxa"/>
            <w:shd w:val="clear" w:color="auto" w:fill="D9D9D9" w:themeFill="background1" w:themeFillShade="D9"/>
          </w:tcPr>
          <w:p w14:paraId="0CA06AAB" w14:textId="77777777" w:rsidR="00BD2FEB" w:rsidRPr="00492D1A" w:rsidRDefault="00BD2FEB" w:rsidP="00C76316">
            <w:pPr>
              <w:pStyle w:val="VCAAtablecondensed"/>
              <w:rPr>
                <w:rStyle w:val="EmphasisBold"/>
                <w:color w:val="auto"/>
              </w:rPr>
            </w:pPr>
            <w:r w:rsidRPr="00492D1A">
              <w:rPr>
                <w:rStyle w:val="EmphasisBold"/>
                <w:color w:val="auto"/>
              </w:rPr>
              <w:t>76</w:t>
            </w:r>
          </w:p>
        </w:tc>
        <w:tc>
          <w:tcPr>
            <w:tcW w:w="656" w:type="dxa"/>
          </w:tcPr>
          <w:p w14:paraId="0128DE4B" w14:textId="77777777" w:rsidR="00BD2FEB" w:rsidRPr="00492D1A" w:rsidRDefault="00BD2FEB" w:rsidP="00C76316">
            <w:pPr>
              <w:pStyle w:val="VCAAtablecondensed"/>
              <w:rPr>
                <w:color w:val="auto"/>
              </w:rPr>
            </w:pPr>
            <w:r w:rsidRPr="00492D1A">
              <w:rPr>
                <w:color w:val="auto"/>
              </w:rPr>
              <w:t>5</w:t>
            </w:r>
          </w:p>
        </w:tc>
        <w:tc>
          <w:tcPr>
            <w:tcW w:w="721" w:type="dxa"/>
          </w:tcPr>
          <w:p w14:paraId="17E49141" w14:textId="77777777" w:rsidR="00BD2FEB" w:rsidRPr="00492D1A" w:rsidRDefault="00BD2FEB" w:rsidP="00C76316">
            <w:pPr>
              <w:pStyle w:val="VCAAtablecondensed"/>
              <w:rPr>
                <w:color w:val="auto"/>
              </w:rPr>
            </w:pPr>
            <w:r w:rsidRPr="00492D1A">
              <w:rPr>
                <w:color w:val="auto"/>
              </w:rPr>
              <w:t>14</w:t>
            </w:r>
          </w:p>
        </w:tc>
        <w:tc>
          <w:tcPr>
            <w:tcW w:w="824" w:type="dxa"/>
          </w:tcPr>
          <w:p w14:paraId="36A53252" w14:textId="77777777" w:rsidR="00BD2FEB" w:rsidRPr="00492D1A" w:rsidRDefault="00BD2FEB" w:rsidP="00C76316">
            <w:pPr>
              <w:pStyle w:val="VCAAtablecondensed"/>
              <w:rPr>
                <w:color w:val="auto"/>
              </w:rPr>
            </w:pPr>
            <w:r w:rsidRPr="00492D1A">
              <w:rPr>
                <w:color w:val="auto"/>
              </w:rPr>
              <w:t>4</w:t>
            </w:r>
          </w:p>
        </w:tc>
        <w:tc>
          <w:tcPr>
            <w:tcW w:w="4827" w:type="dxa"/>
            <w:shd w:val="clear" w:color="auto" w:fill="FFFFFF" w:themeFill="background1"/>
          </w:tcPr>
          <w:p w14:paraId="7A88529C" w14:textId="77777777" w:rsidR="00BD2FEB" w:rsidRPr="00492D1A" w:rsidRDefault="00BD2FEB" w:rsidP="00C76316">
            <w:pPr>
              <w:pStyle w:val="VCAAtablecondensed"/>
              <w:rPr>
                <w:color w:val="auto"/>
                <w:lang w:val="en-AU"/>
              </w:rPr>
            </w:pPr>
          </w:p>
        </w:tc>
      </w:tr>
      <w:tr w:rsidR="00BD2FEB" w:rsidRPr="00492D1A" w14:paraId="72F858D9" w14:textId="77777777" w:rsidTr="00C76316">
        <w:tc>
          <w:tcPr>
            <w:tcW w:w="1004" w:type="dxa"/>
          </w:tcPr>
          <w:p w14:paraId="61916F3A" w14:textId="77777777" w:rsidR="00BD2FEB" w:rsidRPr="00492D1A" w:rsidRDefault="00BD2FEB" w:rsidP="00C76316">
            <w:pPr>
              <w:pStyle w:val="VCAAtablecondensed"/>
              <w:rPr>
                <w:rStyle w:val="EmphasisBold"/>
                <w:color w:val="auto"/>
              </w:rPr>
            </w:pPr>
            <w:r w:rsidRPr="00492D1A">
              <w:rPr>
                <w:rStyle w:val="EmphasisBold"/>
                <w:color w:val="auto"/>
              </w:rPr>
              <w:t>13</w:t>
            </w:r>
          </w:p>
        </w:tc>
        <w:tc>
          <w:tcPr>
            <w:tcW w:w="805" w:type="dxa"/>
          </w:tcPr>
          <w:p w14:paraId="2364E807" w14:textId="77777777" w:rsidR="00BD2FEB" w:rsidRPr="00492D1A" w:rsidRDefault="00BD2FEB" w:rsidP="00C76316">
            <w:pPr>
              <w:pStyle w:val="VCAAtablecondensed"/>
              <w:rPr>
                <w:color w:val="auto"/>
                <w:lang w:val="en-AU"/>
              </w:rPr>
            </w:pPr>
            <w:r w:rsidRPr="00492D1A">
              <w:rPr>
                <w:color w:val="auto"/>
              </w:rPr>
              <w:t>C</w:t>
            </w:r>
          </w:p>
        </w:tc>
        <w:tc>
          <w:tcPr>
            <w:tcW w:w="656" w:type="dxa"/>
          </w:tcPr>
          <w:p w14:paraId="712613DB" w14:textId="77777777" w:rsidR="00BD2FEB" w:rsidRPr="00492D1A" w:rsidRDefault="00BD2FEB" w:rsidP="00C76316">
            <w:pPr>
              <w:pStyle w:val="VCAAtablecondensed"/>
              <w:rPr>
                <w:color w:val="auto"/>
              </w:rPr>
            </w:pPr>
            <w:r w:rsidRPr="00492D1A">
              <w:rPr>
                <w:color w:val="auto"/>
              </w:rPr>
              <w:t>2</w:t>
            </w:r>
          </w:p>
        </w:tc>
        <w:tc>
          <w:tcPr>
            <w:tcW w:w="656" w:type="dxa"/>
          </w:tcPr>
          <w:p w14:paraId="5CD4A50E" w14:textId="77777777" w:rsidR="00BD2FEB" w:rsidRPr="00492D1A" w:rsidRDefault="00BD2FEB" w:rsidP="00C76316">
            <w:pPr>
              <w:pStyle w:val="VCAAtablecondensed"/>
              <w:rPr>
                <w:color w:val="auto"/>
              </w:rPr>
            </w:pPr>
            <w:r w:rsidRPr="00492D1A">
              <w:rPr>
                <w:color w:val="auto"/>
              </w:rPr>
              <w:t>2</w:t>
            </w:r>
          </w:p>
        </w:tc>
        <w:tc>
          <w:tcPr>
            <w:tcW w:w="721" w:type="dxa"/>
            <w:shd w:val="clear" w:color="auto" w:fill="D9D9D9" w:themeFill="background1" w:themeFillShade="D9"/>
          </w:tcPr>
          <w:p w14:paraId="64CCE486" w14:textId="77777777" w:rsidR="00BD2FEB" w:rsidRPr="00492D1A" w:rsidRDefault="00BD2FEB" w:rsidP="00C76316">
            <w:pPr>
              <w:pStyle w:val="VCAAtablecondensed"/>
              <w:rPr>
                <w:rStyle w:val="EmphasisBold"/>
                <w:color w:val="auto"/>
              </w:rPr>
            </w:pPr>
            <w:r w:rsidRPr="00492D1A">
              <w:rPr>
                <w:rStyle w:val="EmphasisBold"/>
                <w:color w:val="auto"/>
              </w:rPr>
              <w:t>93</w:t>
            </w:r>
          </w:p>
        </w:tc>
        <w:tc>
          <w:tcPr>
            <w:tcW w:w="824" w:type="dxa"/>
          </w:tcPr>
          <w:p w14:paraId="2367CBBD" w14:textId="77777777" w:rsidR="00BD2FEB" w:rsidRPr="00492D1A" w:rsidRDefault="00BD2FEB" w:rsidP="00C76316">
            <w:pPr>
              <w:pStyle w:val="VCAAtablecondensed"/>
              <w:rPr>
                <w:color w:val="auto"/>
              </w:rPr>
            </w:pPr>
            <w:r w:rsidRPr="00492D1A">
              <w:rPr>
                <w:color w:val="auto"/>
              </w:rPr>
              <w:t>3</w:t>
            </w:r>
          </w:p>
        </w:tc>
        <w:tc>
          <w:tcPr>
            <w:tcW w:w="4827" w:type="dxa"/>
            <w:shd w:val="clear" w:color="auto" w:fill="FFFFFF" w:themeFill="background1"/>
          </w:tcPr>
          <w:p w14:paraId="5FFFCA14" w14:textId="77777777" w:rsidR="00BD2FEB" w:rsidRPr="00492D1A" w:rsidRDefault="00BD2FEB" w:rsidP="00C76316">
            <w:pPr>
              <w:pStyle w:val="VCAAtablecondensed"/>
              <w:rPr>
                <w:color w:val="auto"/>
                <w:lang w:val="en-AU"/>
              </w:rPr>
            </w:pPr>
          </w:p>
        </w:tc>
      </w:tr>
      <w:tr w:rsidR="00BD2FEB" w:rsidRPr="00492D1A" w14:paraId="3713048C" w14:textId="77777777" w:rsidTr="00C76316">
        <w:tc>
          <w:tcPr>
            <w:tcW w:w="1004" w:type="dxa"/>
          </w:tcPr>
          <w:p w14:paraId="3C757923" w14:textId="77777777" w:rsidR="00BD2FEB" w:rsidRPr="00492D1A" w:rsidRDefault="00BD2FEB" w:rsidP="00C76316">
            <w:pPr>
              <w:pStyle w:val="VCAAtablecondensed"/>
              <w:rPr>
                <w:rStyle w:val="EmphasisBold"/>
                <w:color w:val="auto"/>
              </w:rPr>
            </w:pPr>
            <w:r w:rsidRPr="00492D1A">
              <w:rPr>
                <w:rStyle w:val="EmphasisBold"/>
                <w:color w:val="auto"/>
              </w:rPr>
              <w:t>14</w:t>
            </w:r>
          </w:p>
        </w:tc>
        <w:tc>
          <w:tcPr>
            <w:tcW w:w="805" w:type="dxa"/>
          </w:tcPr>
          <w:p w14:paraId="01B51ABF" w14:textId="77777777" w:rsidR="00BD2FEB" w:rsidRPr="00492D1A" w:rsidRDefault="00BD2FEB" w:rsidP="00C76316">
            <w:pPr>
              <w:pStyle w:val="VCAAtablecondensed"/>
              <w:rPr>
                <w:color w:val="auto"/>
                <w:lang w:val="en-AU"/>
              </w:rPr>
            </w:pPr>
            <w:r w:rsidRPr="00492D1A">
              <w:rPr>
                <w:color w:val="auto"/>
              </w:rPr>
              <w:t>A</w:t>
            </w:r>
          </w:p>
        </w:tc>
        <w:tc>
          <w:tcPr>
            <w:tcW w:w="656" w:type="dxa"/>
            <w:shd w:val="clear" w:color="auto" w:fill="D9D9D9" w:themeFill="background1" w:themeFillShade="D9"/>
          </w:tcPr>
          <w:p w14:paraId="1BCFBB80" w14:textId="77777777" w:rsidR="00BD2FEB" w:rsidRPr="00492D1A" w:rsidRDefault="00BD2FEB" w:rsidP="00C76316">
            <w:pPr>
              <w:pStyle w:val="VCAAtablecondensed"/>
              <w:rPr>
                <w:rStyle w:val="EmphasisBold"/>
                <w:color w:val="auto"/>
              </w:rPr>
            </w:pPr>
            <w:r w:rsidRPr="00492D1A">
              <w:rPr>
                <w:rStyle w:val="EmphasisBold"/>
                <w:color w:val="auto"/>
              </w:rPr>
              <w:t>43</w:t>
            </w:r>
          </w:p>
        </w:tc>
        <w:tc>
          <w:tcPr>
            <w:tcW w:w="656" w:type="dxa"/>
          </w:tcPr>
          <w:p w14:paraId="0B58D421" w14:textId="77777777" w:rsidR="00BD2FEB" w:rsidRPr="00492D1A" w:rsidRDefault="00BD2FEB" w:rsidP="00C76316">
            <w:pPr>
              <w:pStyle w:val="VCAAtablecondensed"/>
              <w:rPr>
                <w:color w:val="auto"/>
              </w:rPr>
            </w:pPr>
            <w:r w:rsidRPr="00492D1A">
              <w:rPr>
                <w:color w:val="auto"/>
              </w:rPr>
              <w:t>32</w:t>
            </w:r>
          </w:p>
        </w:tc>
        <w:tc>
          <w:tcPr>
            <w:tcW w:w="721" w:type="dxa"/>
          </w:tcPr>
          <w:p w14:paraId="69CEAA10" w14:textId="77777777" w:rsidR="00BD2FEB" w:rsidRPr="00492D1A" w:rsidRDefault="00BD2FEB" w:rsidP="00C76316">
            <w:pPr>
              <w:pStyle w:val="VCAAtablecondensed"/>
              <w:rPr>
                <w:color w:val="auto"/>
              </w:rPr>
            </w:pPr>
            <w:r w:rsidRPr="00492D1A">
              <w:rPr>
                <w:color w:val="auto"/>
              </w:rPr>
              <w:t>17</w:t>
            </w:r>
          </w:p>
        </w:tc>
        <w:tc>
          <w:tcPr>
            <w:tcW w:w="824" w:type="dxa"/>
          </w:tcPr>
          <w:p w14:paraId="385F0ADE" w14:textId="77777777" w:rsidR="00BD2FEB" w:rsidRPr="00492D1A" w:rsidRDefault="00BD2FEB" w:rsidP="00C76316">
            <w:pPr>
              <w:pStyle w:val="VCAAtablecondensed"/>
              <w:rPr>
                <w:color w:val="auto"/>
              </w:rPr>
            </w:pPr>
            <w:r w:rsidRPr="00492D1A">
              <w:rPr>
                <w:color w:val="auto"/>
              </w:rPr>
              <w:t>7</w:t>
            </w:r>
          </w:p>
        </w:tc>
        <w:tc>
          <w:tcPr>
            <w:tcW w:w="4827" w:type="dxa"/>
            <w:shd w:val="clear" w:color="auto" w:fill="FFFFFF" w:themeFill="background1"/>
          </w:tcPr>
          <w:p w14:paraId="3130C56F" w14:textId="77777777" w:rsidR="00BD2FEB" w:rsidRPr="00492D1A" w:rsidRDefault="00BD2FEB" w:rsidP="00C76316">
            <w:pPr>
              <w:pStyle w:val="VCAAtablecondensed"/>
              <w:rPr>
                <w:color w:val="auto"/>
                <w:lang w:val="en-AU"/>
              </w:rPr>
            </w:pPr>
            <w:r w:rsidRPr="00492D1A">
              <w:rPr>
                <w:color w:val="auto"/>
              </w:rPr>
              <w:t>Many students found this question to be challenging. Performing basic economic calculations is a key skill in the Study Design. With respect to the terms of trade (TOT) formula, students are reminded that the export price index (XPI) is the numerator while the import price index (MPI) is the denominator. That is, to calculate the TOT index the XPI is divided by the MPI. Some students got this the wrong way around and divided the MPI by the XPI. Additionally, some students forgot to multiply the result by 100 to arrive at the TOT index.</w:t>
            </w:r>
          </w:p>
        </w:tc>
      </w:tr>
      <w:tr w:rsidR="00BD2FEB" w:rsidRPr="00492D1A" w14:paraId="5B1330CA" w14:textId="77777777" w:rsidTr="00C76316">
        <w:tc>
          <w:tcPr>
            <w:tcW w:w="1004" w:type="dxa"/>
          </w:tcPr>
          <w:p w14:paraId="6FA244CD" w14:textId="77777777" w:rsidR="00BD2FEB" w:rsidRPr="00492D1A" w:rsidRDefault="00BD2FEB" w:rsidP="00C76316">
            <w:pPr>
              <w:pStyle w:val="VCAAtablecondensed"/>
              <w:rPr>
                <w:rStyle w:val="EmphasisBold"/>
                <w:color w:val="auto"/>
              </w:rPr>
            </w:pPr>
            <w:r w:rsidRPr="00492D1A">
              <w:rPr>
                <w:rStyle w:val="EmphasisBold"/>
                <w:color w:val="auto"/>
              </w:rPr>
              <w:t>15</w:t>
            </w:r>
          </w:p>
        </w:tc>
        <w:tc>
          <w:tcPr>
            <w:tcW w:w="805" w:type="dxa"/>
          </w:tcPr>
          <w:p w14:paraId="3F36536D" w14:textId="77777777" w:rsidR="00BD2FEB" w:rsidRPr="00492D1A" w:rsidRDefault="00BD2FEB" w:rsidP="00C76316">
            <w:pPr>
              <w:pStyle w:val="VCAAtablecondensed"/>
              <w:rPr>
                <w:color w:val="auto"/>
                <w:lang w:val="en-AU"/>
              </w:rPr>
            </w:pPr>
            <w:r w:rsidRPr="00492D1A">
              <w:rPr>
                <w:color w:val="auto"/>
              </w:rPr>
              <w:t>D</w:t>
            </w:r>
          </w:p>
        </w:tc>
        <w:tc>
          <w:tcPr>
            <w:tcW w:w="656" w:type="dxa"/>
          </w:tcPr>
          <w:p w14:paraId="222B4641" w14:textId="77777777" w:rsidR="00BD2FEB" w:rsidRPr="00492D1A" w:rsidRDefault="00BD2FEB" w:rsidP="00C76316">
            <w:pPr>
              <w:pStyle w:val="VCAAtablecondensed"/>
              <w:rPr>
                <w:color w:val="auto"/>
              </w:rPr>
            </w:pPr>
            <w:r w:rsidRPr="00492D1A">
              <w:rPr>
                <w:color w:val="auto"/>
              </w:rPr>
              <w:t>5</w:t>
            </w:r>
          </w:p>
        </w:tc>
        <w:tc>
          <w:tcPr>
            <w:tcW w:w="656" w:type="dxa"/>
          </w:tcPr>
          <w:p w14:paraId="7132F44B" w14:textId="77777777" w:rsidR="00BD2FEB" w:rsidRPr="00492D1A" w:rsidRDefault="00BD2FEB" w:rsidP="00C76316">
            <w:pPr>
              <w:pStyle w:val="VCAAtablecondensed"/>
              <w:rPr>
                <w:color w:val="auto"/>
              </w:rPr>
            </w:pPr>
            <w:r w:rsidRPr="00492D1A">
              <w:rPr>
                <w:color w:val="auto"/>
              </w:rPr>
              <w:t>3</w:t>
            </w:r>
          </w:p>
        </w:tc>
        <w:tc>
          <w:tcPr>
            <w:tcW w:w="721" w:type="dxa"/>
          </w:tcPr>
          <w:p w14:paraId="4AD2C26E" w14:textId="77777777" w:rsidR="00BD2FEB" w:rsidRPr="00492D1A" w:rsidRDefault="00BD2FEB" w:rsidP="00C76316">
            <w:pPr>
              <w:pStyle w:val="VCAAtablecondensed"/>
              <w:rPr>
                <w:color w:val="auto"/>
              </w:rPr>
            </w:pPr>
            <w:r w:rsidRPr="00492D1A">
              <w:rPr>
                <w:color w:val="auto"/>
              </w:rPr>
              <w:t>3</w:t>
            </w:r>
          </w:p>
        </w:tc>
        <w:tc>
          <w:tcPr>
            <w:tcW w:w="824" w:type="dxa"/>
            <w:shd w:val="clear" w:color="auto" w:fill="D9D9D9" w:themeFill="background1" w:themeFillShade="D9"/>
          </w:tcPr>
          <w:p w14:paraId="1279C011" w14:textId="77777777" w:rsidR="00BD2FEB" w:rsidRPr="00492D1A" w:rsidRDefault="00BD2FEB" w:rsidP="00C76316">
            <w:pPr>
              <w:pStyle w:val="VCAAtablecondensed"/>
              <w:rPr>
                <w:rStyle w:val="EmphasisBold"/>
                <w:color w:val="auto"/>
              </w:rPr>
            </w:pPr>
            <w:r w:rsidRPr="00492D1A">
              <w:rPr>
                <w:rStyle w:val="EmphasisBold"/>
                <w:color w:val="auto"/>
              </w:rPr>
              <w:t>90</w:t>
            </w:r>
          </w:p>
        </w:tc>
        <w:tc>
          <w:tcPr>
            <w:tcW w:w="4827" w:type="dxa"/>
            <w:shd w:val="clear" w:color="auto" w:fill="FFFFFF" w:themeFill="background1"/>
          </w:tcPr>
          <w:p w14:paraId="63CA184D" w14:textId="77777777" w:rsidR="00BD2FEB" w:rsidRPr="00492D1A" w:rsidRDefault="00BD2FEB" w:rsidP="00C76316">
            <w:pPr>
              <w:pStyle w:val="VCAAtablecondensed"/>
              <w:rPr>
                <w:color w:val="auto"/>
                <w:lang w:val="en-AU"/>
              </w:rPr>
            </w:pPr>
          </w:p>
        </w:tc>
      </w:tr>
    </w:tbl>
    <w:p w14:paraId="3D659880" w14:textId="56D22BA2" w:rsidR="002754C1" w:rsidRPr="00870A89" w:rsidRDefault="00BD2FEB" w:rsidP="00BD2FEB">
      <w:pPr>
        <w:pStyle w:val="Heading1"/>
      </w:pPr>
      <w:r>
        <w:t xml:space="preserve">Section B </w:t>
      </w:r>
      <w:r w:rsidRPr="002B5DFD">
        <w:t>–</w:t>
      </w:r>
      <w:r>
        <w:t xml:space="preserve"> Written responses</w:t>
      </w:r>
    </w:p>
    <w:p w14:paraId="7D984E1F" w14:textId="01D6B452" w:rsidR="00B62480" w:rsidRDefault="00BD2FEB" w:rsidP="00E7229D">
      <w:pPr>
        <w:pStyle w:val="Heading2"/>
      </w:pPr>
      <w:r w:rsidRPr="003056C4">
        <w:t>Question 1a.</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BD2FEB" w:rsidRPr="00DF24F6" w14:paraId="279EFB57" w14:textId="77777777" w:rsidTr="00C76316">
        <w:trPr>
          <w:cnfStyle w:val="100000000000" w:firstRow="1" w:lastRow="0" w:firstColumn="0" w:lastColumn="0" w:oddVBand="0" w:evenVBand="0" w:oddHBand="0" w:evenHBand="0" w:firstRowFirstColumn="0" w:firstRowLastColumn="0" w:lastRowFirstColumn="0" w:lastRowLastColumn="0"/>
        </w:trPr>
        <w:tc>
          <w:tcPr>
            <w:tcW w:w="720" w:type="dxa"/>
          </w:tcPr>
          <w:p w14:paraId="167A4FBF" w14:textId="77777777" w:rsidR="00BD2FEB" w:rsidRPr="00DF24F6" w:rsidRDefault="00BD2FEB" w:rsidP="00C76316">
            <w:pPr>
              <w:pStyle w:val="VCAAtablecondensedheading"/>
              <w:rPr>
                <w:lang w:val="en-AU"/>
              </w:rPr>
            </w:pPr>
            <w:r w:rsidRPr="00DF24F6">
              <w:rPr>
                <w:lang w:val="en-AU"/>
              </w:rPr>
              <w:t>Marks</w:t>
            </w:r>
          </w:p>
        </w:tc>
        <w:tc>
          <w:tcPr>
            <w:tcW w:w="576" w:type="dxa"/>
          </w:tcPr>
          <w:p w14:paraId="6D5215AB" w14:textId="77777777" w:rsidR="00BD2FEB" w:rsidRPr="00DF24F6" w:rsidRDefault="00BD2FEB" w:rsidP="00C76316">
            <w:pPr>
              <w:pStyle w:val="VCAAtablecondensedheading"/>
              <w:rPr>
                <w:lang w:val="en-AU"/>
              </w:rPr>
            </w:pPr>
            <w:r w:rsidRPr="00DF24F6">
              <w:rPr>
                <w:lang w:val="en-AU"/>
              </w:rPr>
              <w:t>0</w:t>
            </w:r>
          </w:p>
        </w:tc>
        <w:tc>
          <w:tcPr>
            <w:tcW w:w="576" w:type="dxa"/>
          </w:tcPr>
          <w:p w14:paraId="011645AC" w14:textId="77777777" w:rsidR="00BD2FEB" w:rsidRPr="00DF24F6" w:rsidRDefault="00BD2FEB" w:rsidP="00C76316">
            <w:pPr>
              <w:pStyle w:val="VCAAtablecondensedheading"/>
              <w:rPr>
                <w:lang w:val="en-AU"/>
              </w:rPr>
            </w:pPr>
            <w:r w:rsidRPr="00DF24F6">
              <w:rPr>
                <w:lang w:val="en-AU"/>
              </w:rPr>
              <w:t>1</w:t>
            </w:r>
          </w:p>
        </w:tc>
        <w:tc>
          <w:tcPr>
            <w:tcW w:w="576" w:type="dxa"/>
          </w:tcPr>
          <w:p w14:paraId="4E7B9766" w14:textId="77777777" w:rsidR="00BD2FEB" w:rsidRPr="00DF24F6" w:rsidRDefault="00BD2FEB" w:rsidP="00C76316">
            <w:pPr>
              <w:pStyle w:val="VCAAtablecondensedheading"/>
              <w:rPr>
                <w:lang w:val="en-AU"/>
              </w:rPr>
            </w:pPr>
            <w:r w:rsidRPr="00DF24F6">
              <w:rPr>
                <w:lang w:val="en-AU"/>
              </w:rPr>
              <w:t>2</w:t>
            </w:r>
          </w:p>
        </w:tc>
        <w:tc>
          <w:tcPr>
            <w:tcW w:w="1008" w:type="dxa"/>
          </w:tcPr>
          <w:p w14:paraId="766BFB92" w14:textId="77777777" w:rsidR="00BD2FEB" w:rsidRPr="00DF24F6" w:rsidRDefault="00BD2FEB" w:rsidP="00C76316">
            <w:pPr>
              <w:pStyle w:val="VCAAtablecondensedheading"/>
              <w:rPr>
                <w:lang w:val="en-AU"/>
              </w:rPr>
            </w:pPr>
            <w:r w:rsidRPr="00DF24F6">
              <w:rPr>
                <w:lang w:val="en-AU"/>
              </w:rPr>
              <w:t>Average</w:t>
            </w:r>
          </w:p>
        </w:tc>
      </w:tr>
      <w:tr w:rsidR="00BD2FEB" w:rsidRPr="00492D1A" w14:paraId="7C269334" w14:textId="77777777" w:rsidTr="00C76316">
        <w:tc>
          <w:tcPr>
            <w:tcW w:w="720" w:type="dxa"/>
          </w:tcPr>
          <w:p w14:paraId="191CF048" w14:textId="77777777" w:rsidR="00BD2FEB" w:rsidRPr="00492D1A" w:rsidRDefault="00BD2FEB" w:rsidP="00C76316">
            <w:pPr>
              <w:pStyle w:val="VCAAtablecondensed"/>
              <w:rPr>
                <w:color w:val="auto"/>
              </w:rPr>
            </w:pPr>
            <w:r w:rsidRPr="00492D1A">
              <w:rPr>
                <w:color w:val="auto"/>
              </w:rPr>
              <w:t>%</w:t>
            </w:r>
          </w:p>
        </w:tc>
        <w:tc>
          <w:tcPr>
            <w:tcW w:w="576" w:type="dxa"/>
            <w:vAlign w:val="bottom"/>
          </w:tcPr>
          <w:p w14:paraId="063AAC10" w14:textId="77777777" w:rsidR="00BD2FEB" w:rsidRPr="00492D1A" w:rsidRDefault="00BD2FEB" w:rsidP="00C76316">
            <w:pPr>
              <w:pStyle w:val="VCAAtablecondensed"/>
              <w:rPr>
                <w:color w:val="auto"/>
              </w:rPr>
            </w:pPr>
            <w:r w:rsidRPr="00492D1A">
              <w:rPr>
                <w:color w:val="auto"/>
              </w:rPr>
              <w:t>17</w:t>
            </w:r>
          </w:p>
        </w:tc>
        <w:tc>
          <w:tcPr>
            <w:tcW w:w="576" w:type="dxa"/>
            <w:vAlign w:val="bottom"/>
          </w:tcPr>
          <w:p w14:paraId="13E7943E" w14:textId="77777777" w:rsidR="00BD2FEB" w:rsidRPr="00492D1A" w:rsidRDefault="00BD2FEB" w:rsidP="00C76316">
            <w:pPr>
              <w:pStyle w:val="VCAAtablecondensed"/>
              <w:rPr>
                <w:color w:val="auto"/>
              </w:rPr>
            </w:pPr>
            <w:r w:rsidRPr="00492D1A">
              <w:rPr>
                <w:color w:val="auto"/>
              </w:rPr>
              <w:t>30</w:t>
            </w:r>
          </w:p>
        </w:tc>
        <w:tc>
          <w:tcPr>
            <w:tcW w:w="576" w:type="dxa"/>
            <w:vAlign w:val="bottom"/>
          </w:tcPr>
          <w:p w14:paraId="362ECB5E" w14:textId="77777777" w:rsidR="00BD2FEB" w:rsidRPr="00492D1A" w:rsidRDefault="00BD2FEB" w:rsidP="00C76316">
            <w:pPr>
              <w:pStyle w:val="VCAAtablecondensed"/>
              <w:rPr>
                <w:color w:val="auto"/>
              </w:rPr>
            </w:pPr>
            <w:r w:rsidRPr="00492D1A">
              <w:rPr>
                <w:color w:val="auto"/>
              </w:rPr>
              <w:t>53</w:t>
            </w:r>
          </w:p>
        </w:tc>
        <w:tc>
          <w:tcPr>
            <w:tcW w:w="1008" w:type="dxa"/>
          </w:tcPr>
          <w:p w14:paraId="3C3C9B82" w14:textId="77777777" w:rsidR="00BD2FEB" w:rsidRPr="00492D1A" w:rsidRDefault="00BD2FEB" w:rsidP="00C76316">
            <w:pPr>
              <w:pStyle w:val="VCAAtablecondensed"/>
              <w:rPr>
                <w:color w:val="auto"/>
              </w:rPr>
            </w:pPr>
            <w:bookmarkStart w:id="1" w:name="_Hlk3250884411"/>
            <w:bookmarkEnd w:id="1"/>
            <w:r w:rsidRPr="00492D1A">
              <w:rPr>
                <w:color w:val="auto"/>
              </w:rPr>
              <w:t>1.4</w:t>
            </w:r>
          </w:p>
        </w:tc>
      </w:tr>
    </w:tbl>
    <w:p w14:paraId="52DF03EF" w14:textId="77777777" w:rsidR="00BD2FEB" w:rsidRPr="00492D1A" w:rsidRDefault="00BD2FEB" w:rsidP="00632752">
      <w:pPr>
        <w:pStyle w:val="BodyText"/>
      </w:pPr>
      <w:r w:rsidRPr="00492D1A">
        <w:t xml:space="preserve">Students were required to outline the characteristics of public goods. Overall, this question was handled well, with more than half the cohort achieving full marks. </w:t>
      </w:r>
    </w:p>
    <w:p w14:paraId="50A6B8AC" w14:textId="77777777" w:rsidR="00BD2FEB" w:rsidRPr="00492D1A" w:rsidRDefault="00BD2FEB" w:rsidP="00632752">
      <w:pPr>
        <w:pStyle w:val="BodyText"/>
      </w:pPr>
      <w:r w:rsidRPr="00492D1A">
        <w:t xml:space="preserve">High-scoring responses: </w:t>
      </w:r>
    </w:p>
    <w:p w14:paraId="270777F3" w14:textId="77777777" w:rsidR="00BD2FEB" w:rsidRPr="00492D1A" w:rsidRDefault="00BD2FEB" w:rsidP="00BD2FEB">
      <w:pPr>
        <w:pStyle w:val="Bullet"/>
        <w:ind w:left="426" w:hanging="426"/>
      </w:pPr>
      <w:r w:rsidRPr="00492D1A">
        <w:t>clearly demonstrated an understanding of non-rivalry</w:t>
      </w:r>
    </w:p>
    <w:p w14:paraId="64917A78" w14:textId="77777777" w:rsidR="00BD2FEB" w:rsidRPr="00492D1A" w:rsidRDefault="00BD2FEB" w:rsidP="00632752">
      <w:pPr>
        <w:pStyle w:val="Indent"/>
      </w:pPr>
      <w:r w:rsidRPr="00492D1A">
        <w:t xml:space="preserve">A non-rivalrous (or non-depletable) good is one where consumption by one person does not reduce consumption for others. Students should also have noted that non-rivalry is a key characteristic but is not unique to public goods. </w:t>
      </w:r>
    </w:p>
    <w:p w14:paraId="3C143B97" w14:textId="77777777" w:rsidR="00BD2FEB" w:rsidRPr="00492D1A" w:rsidRDefault="00BD2FEB" w:rsidP="00BD2FEB">
      <w:pPr>
        <w:pStyle w:val="Bullet"/>
        <w:ind w:left="426" w:hanging="426"/>
      </w:pPr>
      <w:r w:rsidRPr="00492D1A">
        <w:t>clearly demonstrated an understanding of non-excludability</w:t>
      </w:r>
    </w:p>
    <w:p w14:paraId="6F3EDC34" w14:textId="77777777" w:rsidR="00BD2FEB" w:rsidRPr="00492D1A" w:rsidRDefault="00BD2FEB" w:rsidP="00632752">
      <w:pPr>
        <w:pStyle w:val="Indent"/>
      </w:pPr>
      <w:r w:rsidRPr="00492D1A">
        <w:t xml:space="preserve">Non-excludability refers to a situation where it is difficult (in some cases, impossible) for suppliers to prevent individuals who do not pay from accessing or consuming the good or service. This characteristic leads to the ‘free-rider problem’, but this problem is not a characteristic of a public good. </w:t>
      </w:r>
    </w:p>
    <w:p w14:paraId="3D6DFFF0" w14:textId="77777777" w:rsidR="00632752" w:rsidRDefault="00632752">
      <w:pPr>
        <w:spacing w:line="276" w:lineRule="auto"/>
        <w:rPr>
          <w:rFonts w:ascii="Arial" w:hAnsi="Arial" w:cs="Arial"/>
          <w:sz w:val="20"/>
          <w:lang w:val="en-AU" w:eastAsia="en-AU"/>
        </w:rPr>
      </w:pPr>
      <w:r>
        <w:br w:type="page"/>
      </w:r>
    </w:p>
    <w:p w14:paraId="5992BA9D" w14:textId="1E18EDF8" w:rsidR="00BD2FEB" w:rsidRPr="00492D1A" w:rsidRDefault="00BD2FEB" w:rsidP="00632752">
      <w:pPr>
        <w:pStyle w:val="BodyText"/>
      </w:pPr>
      <w:r w:rsidRPr="00492D1A">
        <w:lastRenderedPageBreak/>
        <w:t>Common misconceptions included:</w:t>
      </w:r>
    </w:p>
    <w:p w14:paraId="6D0DFF76" w14:textId="77777777" w:rsidR="00BD2FEB" w:rsidRPr="00492D1A" w:rsidRDefault="00BD2FEB" w:rsidP="00BD2FEB">
      <w:pPr>
        <w:pStyle w:val="Bullet"/>
        <w:ind w:left="426" w:hanging="426"/>
      </w:pPr>
      <w:r w:rsidRPr="00492D1A">
        <w:t xml:space="preserve">describing the impacts instead of the characteristics </w:t>
      </w:r>
    </w:p>
    <w:p w14:paraId="4D0E3752" w14:textId="77777777" w:rsidR="00BD2FEB" w:rsidRPr="00492D1A" w:rsidRDefault="00BD2FEB" w:rsidP="00632752">
      <w:pPr>
        <w:pStyle w:val="Indent"/>
      </w:pPr>
      <w:r w:rsidRPr="00492D1A">
        <w:t>For example, many students focused on how public goods lead to the free-rider problem, are underproduced by the market or result in an inefficient outcome. These are consequences, not characteristics.</w:t>
      </w:r>
    </w:p>
    <w:p w14:paraId="356D1C88" w14:textId="77777777" w:rsidR="00BD2FEB" w:rsidRPr="00492D1A" w:rsidRDefault="00BD2FEB" w:rsidP="00BD2FEB">
      <w:pPr>
        <w:pStyle w:val="Bullet"/>
        <w:ind w:left="426" w:hanging="426"/>
      </w:pPr>
      <w:r w:rsidRPr="00492D1A">
        <w:t>misunderstanding the meaning of non-excludability</w:t>
      </w:r>
    </w:p>
    <w:p w14:paraId="35EC5BC8" w14:textId="77777777" w:rsidR="00BD2FEB" w:rsidRPr="00492D1A" w:rsidRDefault="00BD2FEB" w:rsidP="00632752">
      <w:pPr>
        <w:pStyle w:val="Indent"/>
      </w:pPr>
      <w:r w:rsidRPr="00492D1A">
        <w:t>Many students responded that non-excludable means ‘everyone can access them’. This does not demonstrate proper economic understanding, as the concept relates to the difficulty of excluding non-payers, not universal access.</w:t>
      </w:r>
    </w:p>
    <w:p w14:paraId="4789E158" w14:textId="77777777" w:rsidR="00BD2FEB" w:rsidRPr="00492D1A" w:rsidRDefault="00BD2FEB" w:rsidP="00BD2FEB">
      <w:pPr>
        <w:pStyle w:val="Bullet"/>
        <w:ind w:left="426" w:hanging="426"/>
      </w:pPr>
      <w:r w:rsidRPr="00492D1A">
        <w:t xml:space="preserve">providing an unclear structure reducing the quality of the response </w:t>
      </w:r>
    </w:p>
    <w:p w14:paraId="0F96D712" w14:textId="3A92BD13" w:rsidR="00BD2FEB" w:rsidRPr="00492D1A" w:rsidRDefault="00BD2FEB" w:rsidP="00632752">
      <w:pPr>
        <w:pStyle w:val="Indent"/>
      </w:pPr>
      <w:r w:rsidRPr="00492D1A">
        <w:t xml:space="preserve">Some students included definitions of both characteristics in their answer, but it was not clear which was which. Students should be careful to clearly set out their answer so that they address each aspect of a question. For example, a response could read ‘one characteristic of a public good is non-rivalry which means…’ and ‘another characteristic is…’ </w:t>
      </w:r>
    </w:p>
    <w:p w14:paraId="28C588CF" w14:textId="77777777" w:rsidR="00BD2FEB" w:rsidRPr="00492D1A" w:rsidRDefault="00BD2FEB" w:rsidP="00BD2FEB">
      <w:pPr>
        <w:pStyle w:val="Bullet"/>
        <w:ind w:left="426" w:hanging="426"/>
      </w:pPr>
      <w:r w:rsidRPr="00492D1A">
        <w:t>misinterpreting the question</w:t>
      </w:r>
    </w:p>
    <w:p w14:paraId="3D1E3AAD" w14:textId="77777777" w:rsidR="00BD2FEB" w:rsidRPr="00492D1A" w:rsidRDefault="00BD2FEB" w:rsidP="00632752">
      <w:pPr>
        <w:pStyle w:val="Indent"/>
      </w:pPr>
      <w:r w:rsidRPr="00492D1A">
        <w:t xml:space="preserve">Some students only gave examples of public goods even though the question asked for characteristics. </w:t>
      </w:r>
    </w:p>
    <w:p w14:paraId="4BBDD1A5" w14:textId="77777777" w:rsidR="00BD2FEB" w:rsidRPr="00492D1A" w:rsidRDefault="00BD2FEB" w:rsidP="00BD2FEB">
      <w:pPr>
        <w:pStyle w:val="Bullet"/>
        <w:ind w:left="426" w:hanging="426"/>
      </w:pPr>
      <w:r w:rsidRPr="00492D1A">
        <w:t>incorrectly using examples</w:t>
      </w:r>
    </w:p>
    <w:p w14:paraId="4C2075C4" w14:textId="77777777" w:rsidR="00BD2FEB" w:rsidRPr="00492D1A" w:rsidRDefault="00BD2FEB" w:rsidP="00632752">
      <w:pPr>
        <w:pStyle w:val="Indent"/>
      </w:pPr>
      <w:r w:rsidRPr="00492D1A">
        <w:t>Although not a requirement of the question, some students gave incorrect examples of public goods, such as public education, public hospitals and public transport.</w:t>
      </w:r>
    </w:p>
    <w:p w14:paraId="1452BD58" w14:textId="77777777" w:rsidR="00BD2FEB" w:rsidRPr="00492D1A" w:rsidRDefault="00BD2FEB" w:rsidP="00632752">
      <w:pPr>
        <w:pStyle w:val="BodyText"/>
      </w:pPr>
      <w:r w:rsidRPr="00492D1A">
        <w:t>The following is an example of a high-scoring response that clearly demonstrates an understanding of public goods</w:t>
      </w:r>
      <w:r>
        <w:t>,</w:t>
      </w:r>
      <w:r w:rsidRPr="00492D1A">
        <w:t xml:space="preserve"> outlines the characteristics of a public good</w:t>
      </w:r>
      <w:r>
        <w:t xml:space="preserve"> and includes</w:t>
      </w:r>
      <w:r w:rsidRPr="00492D1A">
        <w:t xml:space="preserve"> </w:t>
      </w:r>
      <w:r>
        <w:t>e</w:t>
      </w:r>
      <w:r w:rsidRPr="00492D1A">
        <w:t xml:space="preserve">xamples of public goods for added emphasis: </w:t>
      </w:r>
    </w:p>
    <w:p w14:paraId="453683FA" w14:textId="77777777" w:rsidR="00BD2FEB" w:rsidRDefault="00BD2FEB" w:rsidP="00632752">
      <w:pPr>
        <w:pStyle w:val="Studentsample"/>
      </w:pPr>
      <w:r w:rsidRPr="00492D1A">
        <w:t xml:space="preserve">Public goods are goods that are both non-excludable (firms cannot stop non-payers from using them) and non-rivalrous (one person consuming it doesn’t reduce the amount available for others). An example would be streetlights or firework displays. </w:t>
      </w:r>
    </w:p>
    <w:p w14:paraId="4ABBF01E" w14:textId="77777777" w:rsidR="00BD2FEB" w:rsidRPr="00960B1A" w:rsidRDefault="00BD2FEB" w:rsidP="00BD2FEB">
      <w:pPr>
        <w:pStyle w:val="Heading2"/>
      </w:pPr>
      <w:r w:rsidRPr="00960B1A">
        <w:t>Question 1b.</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1008"/>
      </w:tblGrid>
      <w:tr w:rsidR="00BD2FEB" w:rsidRPr="00DF24F6" w14:paraId="573243BC" w14:textId="77777777" w:rsidTr="00C76316">
        <w:trPr>
          <w:cnfStyle w:val="100000000000" w:firstRow="1" w:lastRow="0" w:firstColumn="0" w:lastColumn="0" w:oddVBand="0" w:evenVBand="0" w:oddHBand="0" w:evenHBand="0" w:firstRowFirstColumn="0" w:firstRowLastColumn="0" w:lastRowFirstColumn="0" w:lastRowLastColumn="0"/>
        </w:trPr>
        <w:tc>
          <w:tcPr>
            <w:tcW w:w="720" w:type="dxa"/>
          </w:tcPr>
          <w:p w14:paraId="164ED41F" w14:textId="77777777" w:rsidR="00BD2FEB" w:rsidRPr="00DF24F6" w:rsidRDefault="00BD2FEB" w:rsidP="00C76316">
            <w:pPr>
              <w:pStyle w:val="VCAAtablecondensedheading"/>
              <w:rPr>
                <w:lang w:val="en-AU"/>
              </w:rPr>
            </w:pPr>
            <w:r w:rsidRPr="00DF24F6">
              <w:rPr>
                <w:lang w:val="en-AU"/>
              </w:rPr>
              <w:t>Marks</w:t>
            </w:r>
          </w:p>
        </w:tc>
        <w:tc>
          <w:tcPr>
            <w:tcW w:w="576" w:type="dxa"/>
          </w:tcPr>
          <w:p w14:paraId="692C7829" w14:textId="77777777" w:rsidR="00BD2FEB" w:rsidRPr="00DF24F6" w:rsidRDefault="00BD2FEB" w:rsidP="00C76316">
            <w:pPr>
              <w:pStyle w:val="VCAAtablecondensedheading"/>
              <w:rPr>
                <w:lang w:val="en-AU"/>
              </w:rPr>
            </w:pPr>
            <w:r w:rsidRPr="00DF24F6">
              <w:rPr>
                <w:lang w:val="en-AU"/>
              </w:rPr>
              <w:t>0</w:t>
            </w:r>
          </w:p>
        </w:tc>
        <w:tc>
          <w:tcPr>
            <w:tcW w:w="576" w:type="dxa"/>
          </w:tcPr>
          <w:p w14:paraId="6A0AA0FF" w14:textId="77777777" w:rsidR="00BD2FEB" w:rsidRPr="00DF24F6" w:rsidRDefault="00BD2FEB" w:rsidP="00C76316">
            <w:pPr>
              <w:pStyle w:val="VCAAtablecondensedheading"/>
              <w:rPr>
                <w:lang w:val="en-AU"/>
              </w:rPr>
            </w:pPr>
            <w:r w:rsidRPr="00DF24F6">
              <w:rPr>
                <w:lang w:val="en-AU"/>
              </w:rPr>
              <w:t>1</w:t>
            </w:r>
          </w:p>
        </w:tc>
        <w:tc>
          <w:tcPr>
            <w:tcW w:w="576" w:type="dxa"/>
          </w:tcPr>
          <w:p w14:paraId="34CF4A41" w14:textId="77777777" w:rsidR="00BD2FEB" w:rsidRPr="00DF24F6" w:rsidRDefault="00BD2FEB" w:rsidP="00C76316">
            <w:pPr>
              <w:pStyle w:val="VCAAtablecondensedheading"/>
              <w:rPr>
                <w:lang w:val="en-AU"/>
              </w:rPr>
            </w:pPr>
            <w:r w:rsidRPr="00DF24F6">
              <w:rPr>
                <w:lang w:val="en-AU"/>
              </w:rPr>
              <w:t>2</w:t>
            </w:r>
          </w:p>
        </w:tc>
        <w:tc>
          <w:tcPr>
            <w:tcW w:w="576" w:type="dxa"/>
          </w:tcPr>
          <w:p w14:paraId="0F605D82" w14:textId="77777777" w:rsidR="00BD2FEB" w:rsidRPr="00DF24F6" w:rsidRDefault="00BD2FEB" w:rsidP="00C76316">
            <w:pPr>
              <w:pStyle w:val="VCAAtablecondensedheading"/>
              <w:rPr>
                <w:lang w:val="en-AU"/>
              </w:rPr>
            </w:pPr>
            <w:r w:rsidRPr="00DF24F6">
              <w:rPr>
                <w:lang w:val="en-AU"/>
              </w:rPr>
              <w:t>3</w:t>
            </w:r>
          </w:p>
        </w:tc>
        <w:tc>
          <w:tcPr>
            <w:tcW w:w="1008" w:type="dxa"/>
          </w:tcPr>
          <w:p w14:paraId="7EEFF90C" w14:textId="77777777" w:rsidR="00BD2FEB" w:rsidRPr="00DF24F6" w:rsidRDefault="00BD2FEB" w:rsidP="00C76316">
            <w:pPr>
              <w:pStyle w:val="VCAAtablecondensedheading"/>
              <w:rPr>
                <w:lang w:val="en-AU"/>
              </w:rPr>
            </w:pPr>
            <w:r w:rsidRPr="00DF24F6">
              <w:rPr>
                <w:lang w:val="en-AU"/>
              </w:rPr>
              <w:t>Average</w:t>
            </w:r>
          </w:p>
        </w:tc>
      </w:tr>
      <w:tr w:rsidR="00BD2FEB" w:rsidRPr="00492D1A" w14:paraId="5C1194FD" w14:textId="77777777" w:rsidTr="00C76316">
        <w:tc>
          <w:tcPr>
            <w:tcW w:w="720" w:type="dxa"/>
          </w:tcPr>
          <w:p w14:paraId="3E5D5F3C" w14:textId="77777777" w:rsidR="00BD2FEB" w:rsidRPr="00492D1A" w:rsidRDefault="00BD2FEB" w:rsidP="00C76316">
            <w:pPr>
              <w:pStyle w:val="VCAAtablecondensed"/>
              <w:rPr>
                <w:color w:val="auto"/>
              </w:rPr>
            </w:pPr>
            <w:r w:rsidRPr="00492D1A">
              <w:rPr>
                <w:color w:val="auto"/>
              </w:rPr>
              <w:t>%</w:t>
            </w:r>
          </w:p>
        </w:tc>
        <w:tc>
          <w:tcPr>
            <w:tcW w:w="576" w:type="dxa"/>
            <w:vAlign w:val="bottom"/>
          </w:tcPr>
          <w:p w14:paraId="1F1B55C5" w14:textId="77777777" w:rsidR="00BD2FEB" w:rsidRPr="00492D1A" w:rsidRDefault="00BD2FEB" w:rsidP="00C76316">
            <w:pPr>
              <w:pStyle w:val="VCAAtablecondensed"/>
              <w:rPr>
                <w:color w:val="auto"/>
              </w:rPr>
            </w:pPr>
            <w:r w:rsidRPr="00492D1A">
              <w:rPr>
                <w:color w:val="auto"/>
              </w:rPr>
              <w:t>33</w:t>
            </w:r>
          </w:p>
        </w:tc>
        <w:tc>
          <w:tcPr>
            <w:tcW w:w="576" w:type="dxa"/>
            <w:vAlign w:val="bottom"/>
          </w:tcPr>
          <w:p w14:paraId="76B6194A" w14:textId="77777777" w:rsidR="00BD2FEB" w:rsidRPr="00492D1A" w:rsidRDefault="00BD2FEB" w:rsidP="00C76316">
            <w:pPr>
              <w:pStyle w:val="VCAAtablecondensed"/>
              <w:rPr>
                <w:color w:val="auto"/>
              </w:rPr>
            </w:pPr>
            <w:r w:rsidRPr="00492D1A">
              <w:rPr>
                <w:color w:val="auto"/>
              </w:rPr>
              <w:t>21</w:t>
            </w:r>
          </w:p>
        </w:tc>
        <w:tc>
          <w:tcPr>
            <w:tcW w:w="576" w:type="dxa"/>
            <w:vAlign w:val="bottom"/>
          </w:tcPr>
          <w:p w14:paraId="42F52AF6" w14:textId="77777777" w:rsidR="00BD2FEB" w:rsidRPr="00492D1A" w:rsidRDefault="00BD2FEB" w:rsidP="00C76316">
            <w:pPr>
              <w:pStyle w:val="VCAAtablecondensed"/>
              <w:rPr>
                <w:color w:val="auto"/>
              </w:rPr>
            </w:pPr>
            <w:r w:rsidRPr="00492D1A">
              <w:rPr>
                <w:color w:val="auto"/>
              </w:rPr>
              <w:t>20</w:t>
            </w:r>
          </w:p>
        </w:tc>
        <w:tc>
          <w:tcPr>
            <w:tcW w:w="576" w:type="dxa"/>
            <w:vAlign w:val="bottom"/>
          </w:tcPr>
          <w:p w14:paraId="527DFB9A" w14:textId="77777777" w:rsidR="00BD2FEB" w:rsidRPr="00492D1A" w:rsidRDefault="00BD2FEB" w:rsidP="00C76316">
            <w:pPr>
              <w:pStyle w:val="VCAAtablecondensed"/>
              <w:rPr>
                <w:color w:val="auto"/>
              </w:rPr>
            </w:pPr>
            <w:r w:rsidRPr="00492D1A">
              <w:rPr>
                <w:color w:val="auto"/>
              </w:rPr>
              <w:t>26</w:t>
            </w:r>
          </w:p>
        </w:tc>
        <w:tc>
          <w:tcPr>
            <w:tcW w:w="1008" w:type="dxa"/>
          </w:tcPr>
          <w:p w14:paraId="462A33CA" w14:textId="77777777" w:rsidR="00BD2FEB" w:rsidRPr="00492D1A" w:rsidRDefault="00BD2FEB" w:rsidP="00C76316">
            <w:pPr>
              <w:pStyle w:val="VCAAtablecondensed"/>
              <w:rPr>
                <w:color w:val="auto"/>
              </w:rPr>
            </w:pPr>
            <w:r w:rsidRPr="00492D1A">
              <w:rPr>
                <w:color w:val="auto"/>
              </w:rPr>
              <w:t>1.4</w:t>
            </w:r>
          </w:p>
        </w:tc>
      </w:tr>
    </w:tbl>
    <w:p w14:paraId="293A19E9" w14:textId="77777777" w:rsidR="00BD2FEB" w:rsidRPr="00492D1A" w:rsidRDefault="00BD2FEB" w:rsidP="00632752">
      <w:pPr>
        <w:pStyle w:val="BodyText"/>
      </w:pPr>
      <w:r w:rsidRPr="00492D1A">
        <w:t xml:space="preserve">Students were required to explain why direct provision of a good or service may address a market failure and to provide an example. This question challenged students who did not understand the meaning of ‘direct provision’. </w:t>
      </w:r>
    </w:p>
    <w:p w14:paraId="3500CAB9" w14:textId="77777777" w:rsidR="00BD2FEB" w:rsidRPr="00492D1A" w:rsidRDefault="00BD2FEB" w:rsidP="00632752">
      <w:pPr>
        <w:pStyle w:val="BodyText"/>
      </w:pPr>
      <w:r w:rsidRPr="00492D1A">
        <w:t xml:space="preserve">High-scoring responses: </w:t>
      </w:r>
    </w:p>
    <w:p w14:paraId="7A6DF531" w14:textId="77777777" w:rsidR="00BD2FEB" w:rsidRPr="00492D1A" w:rsidRDefault="00BD2FEB" w:rsidP="00BD2FEB">
      <w:pPr>
        <w:pStyle w:val="Bullet"/>
        <w:ind w:left="426" w:hanging="426"/>
      </w:pPr>
      <w:r w:rsidRPr="00492D1A">
        <w:t>demonstrated an understanding of market failure </w:t>
      </w:r>
    </w:p>
    <w:p w14:paraId="67645EC5" w14:textId="77777777" w:rsidR="00BD2FEB" w:rsidRPr="00492D1A" w:rsidRDefault="00BD2FEB" w:rsidP="00BD2FEB">
      <w:pPr>
        <w:pStyle w:val="Bullet"/>
        <w:ind w:left="426" w:hanging="426"/>
      </w:pPr>
      <w:r w:rsidRPr="00492D1A">
        <w:t xml:space="preserve">demonstrated an understanding of direct provision supported by a relevant example </w:t>
      </w:r>
    </w:p>
    <w:p w14:paraId="1094A315" w14:textId="77777777" w:rsidR="00BD2FEB" w:rsidRPr="00492D1A" w:rsidRDefault="00BD2FEB" w:rsidP="00BD2FEB">
      <w:pPr>
        <w:pStyle w:val="Bullet"/>
        <w:ind w:left="426" w:hanging="426"/>
      </w:pPr>
      <w:r w:rsidRPr="00492D1A">
        <w:t>demonstrated an understanding of how direct provision corrects market failure and moves the market towards an efficient allocation of resources. </w:t>
      </w:r>
    </w:p>
    <w:p w14:paraId="3141053E" w14:textId="77777777" w:rsidR="00BD2FEB" w:rsidRPr="00492D1A" w:rsidRDefault="00BD2FEB" w:rsidP="00632752">
      <w:pPr>
        <w:pStyle w:val="BodyText"/>
      </w:pPr>
      <w:r w:rsidRPr="00492D1A">
        <w:t>Common misconceptions included:</w:t>
      </w:r>
    </w:p>
    <w:p w14:paraId="2672E03C" w14:textId="77777777" w:rsidR="00BD2FEB" w:rsidRPr="00492D1A" w:rsidRDefault="00BD2FEB" w:rsidP="00BD2FEB">
      <w:pPr>
        <w:pStyle w:val="Bullet"/>
        <w:ind w:left="426" w:hanging="426"/>
      </w:pPr>
      <w:r w:rsidRPr="00492D1A">
        <w:t xml:space="preserve">misunderstanding the meaning of ‘direct provision’ </w:t>
      </w:r>
    </w:p>
    <w:p w14:paraId="201126EE" w14:textId="77777777" w:rsidR="00BD2FEB" w:rsidRPr="00492D1A" w:rsidRDefault="00BD2FEB" w:rsidP="00632752">
      <w:pPr>
        <w:pStyle w:val="Indent"/>
      </w:pPr>
      <w:r w:rsidRPr="00492D1A">
        <w:t xml:space="preserve">Many students interpreted direct provision as any form of government involvement, instead of the government directly producing a good or service using taxpayer funds. Direct provision could be used to </w:t>
      </w:r>
      <w:r w:rsidRPr="00492D1A">
        <w:lastRenderedPageBreak/>
        <w:t xml:space="preserve">correct market failure, including but not limited to the provision of public goods as outlined in Question 1a. Some students incorrectly gave the example of subsidies, rules and regulations or taxes, none of which are forms of direct provision. </w:t>
      </w:r>
    </w:p>
    <w:p w14:paraId="4D0F36BA" w14:textId="77777777" w:rsidR="00BD2FEB" w:rsidRPr="00492D1A" w:rsidRDefault="00BD2FEB" w:rsidP="00BD2FEB">
      <w:pPr>
        <w:pStyle w:val="Bullet"/>
        <w:ind w:left="426" w:hanging="426"/>
      </w:pPr>
      <w:r w:rsidRPr="00492D1A">
        <w:t xml:space="preserve">misinterpreting the question </w:t>
      </w:r>
    </w:p>
    <w:p w14:paraId="5BB3553C" w14:textId="77777777" w:rsidR="00BD2FEB" w:rsidRPr="00492D1A" w:rsidRDefault="00BD2FEB" w:rsidP="00632752">
      <w:pPr>
        <w:pStyle w:val="Indent"/>
      </w:pPr>
      <w:r w:rsidRPr="00492D1A">
        <w:t>Many students assumed that they must refer to public goods in this question. Although Question 1a referred to public goods, Question 1b allowed students to link direct provision to any type of market failure. For example, students could have explained that the government funds and runs schools and hospitals to address the under-allocation of resources to these (merit) goods given that they yield positive externalities. Students are reminded to read each question carefully and respond to what is being specifically asked.</w:t>
      </w:r>
    </w:p>
    <w:p w14:paraId="09D9CC92" w14:textId="77777777" w:rsidR="00BD2FEB" w:rsidRPr="00492D1A" w:rsidRDefault="00BD2FEB" w:rsidP="00BD2FEB">
      <w:pPr>
        <w:pStyle w:val="Bullet"/>
        <w:ind w:left="426" w:hanging="426"/>
      </w:pPr>
      <w:r w:rsidRPr="00492D1A">
        <w:t xml:space="preserve">not demonstrating a clear understanding of market failure </w:t>
      </w:r>
    </w:p>
    <w:p w14:paraId="0389B47D" w14:textId="77777777" w:rsidR="00BD2FEB" w:rsidRPr="00492D1A" w:rsidRDefault="00BD2FEB" w:rsidP="00632752">
      <w:pPr>
        <w:pStyle w:val="Indent"/>
      </w:pPr>
      <w:r w:rsidRPr="00492D1A">
        <w:t>Market failure occurs when the operation of free and competitive markets results in an inefficient allocation of resources that does not maximise societal welfare. In such cases, government intervention (like direct provision) is designed to correct the market failure by increasing the allocation of resources to markets where goods and services would otherwise be underproduced, thereby moving the allocation of resources towards a more efficient or socially optimal level.</w:t>
      </w:r>
    </w:p>
    <w:p w14:paraId="54DDE2C5" w14:textId="77777777" w:rsidR="00BD2FEB" w:rsidRPr="00492D1A" w:rsidRDefault="00BD2FEB" w:rsidP="00632752">
      <w:pPr>
        <w:pStyle w:val="BodyText"/>
      </w:pPr>
      <w:r w:rsidRPr="00492D1A">
        <w:t>The following is an example of a high-scoring response that clearly addresses all requirements of the question:</w:t>
      </w:r>
    </w:p>
    <w:p w14:paraId="5F5184B8" w14:textId="77777777" w:rsidR="00BD2FEB" w:rsidRPr="00492D1A" w:rsidRDefault="00BD2FEB" w:rsidP="00632752">
      <w:pPr>
        <w:pStyle w:val="Studentsample"/>
      </w:pPr>
      <w:r w:rsidRPr="00492D1A">
        <w:t>In the case of public goods, in the free market they are inherently underproduced, since due to its characteristics, it has the ‘</w:t>
      </w:r>
      <w:proofErr w:type="gramStart"/>
      <w:r w:rsidRPr="00492D1A">
        <w:t>free-rider</w:t>
      </w:r>
      <w:proofErr w:type="gramEnd"/>
      <w:r w:rsidRPr="00492D1A">
        <w:t xml:space="preserve">’ problem, where no one is willing to pay, thus making it unprofitable for firms to produce. Thus, there is an under allocation of resources to public goods, e.g. streetlights, thus it creates a market failure (when the free operation of demand and supply results in an inefficient allocation of resources). This can be corrected through a government intervention such as a direct provision; directly providing the public good, thus increasing the supply of it, and lifting the </w:t>
      </w:r>
      <w:proofErr w:type="gramStart"/>
      <w:r w:rsidRPr="00492D1A">
        <w:t>amount</w:t>
      </w:r>
      <w:proofErr w:type="gramEnd"/>
      <w:r w:rsidRPr="00492D1A">
        <w:t xml:space="preserve"> of resources allocated to public goods towards a more allocatively efficient amount, correcting the market failure. </w:t>
      </w:r>
    </w:p>
    <w:p w14:paraId="4CEFAF09" w14:textId="77777777" w:rsidR="00BD2FEB" w:rsidRPr="00AF2A4F" w:rsidRDefault="00BD2FEB" w:rsidP="00BD2FEB">
      <w:pPr>
        <w:pStyle w:val="Heading2"/>
      </w:pPr>
      <w:r w:rsidRPr="00AF2A4F">
        <w:t>Question 2a.</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1008"/>
      </w:tblGrid>
      <w:tr w:rsidR="00BD2FEB" w:rsidRPr="00DF24F6" w14:paraId="706B4BDD" w14:textId="77777777" w:rsidTr="00C76316">
        <w:trPr>
          <w:cnfStyle w:val="100000000000" w:firstRow="1" w:lastRow="0" w:firstColumn="0" w:lastColumn="0" w:oddVBand="0" w:evenVBand="0" w:oddHBand="0" w:evenHBand="0" w:firstRowFirstColumn="0" w:firstRowLastColumn="0" w:lastRowFirstColumn="0" w:lastRowLastColumn="0"/>
        </w:trPr>
        <w:tc>
          <w:tcPr>
            <w:tcW w:w="720" w:type="dxa"/>
          </w:tcPr>
          <w:p w14:paraId="2C7A1D72" w14:textId="77777777" w:rsidR="00BD2FEB" w:rsidRPr="00DF24F6" w:rsidRDefault="00BD2FEB" w:rsidP="00C76316">
            <w:pPr>
              <w:pStyle w:val="VCAAtablecondensedheading"/>
              <w:rPr>
                <w:lang w:val="en-AU"/>
              </w:rPr>
            </w:pPr>
            <w:r w:rsidRPr="00DF24F6">
              <w:rPr>
                <w:lang w:val="en-AU"/>
              </w:rPr>
              <w:t>Marks</w:t>
            </w:r>
          </w:p>
        </w:tc>
        <w:tc>
          <w:tcPr>
            <w:tcW w:w="576" w:type="dxa"/>
          </w:tcPr>
          <w:p w14:paraId="63C85FAD" w14:textId="77777777" w:rsidR="00BD2FEB" w:rsidRPr="00DF24F6" w:rsidRDefault="00BD2FEB" w:rsidP="00C76316">
            <w:pPr>
              <w:pStyle w:val="VCAAtablecondensedheading"/>
              <w:rPr>
                <w:lang w:val="en-AU"/>
              </w:rPr>
            </w:pPr>
            <w:r w:rsidRPr="00DF24F6">
              <w:rPr>
                <w:lang w:val="en-AU"/>
              </w:rPr>
              <w:t>0</w:t>
            </w:r>
          </w:p>
        </w:tc>
        <w:tc>
          <w:tcPr>
            <w:tcW w:w="576" w:type="dxa"/>
          </w:tcPr>
          <w:p w14:paraId="190B51B5" w14:textId="77777777" w:rsidR="00BD2FEB" w:rsidRPr="00DF24F6" w:rsidRDefault="00BD2FEB" w:rsidP="00C76316">
            <w:pPr>
              <w:pStyle w:val="VCAAtablecondensedheading"/>
              <w:rPr>
                <w:lang w:val="en-AU"/>
              </w:rPr>
            </w:pPr>
            <w:r w:rsidRPr="00DF24F6">
              <w:rPr>
                <w:lang w:val="en-AU"/>
              </w:rPr>
              <w:t>1</w:t>
            </w:r>
          </w:p>
        </w:tc>
        <w:tc>
          <w:tcPr>
            <w:tcW w:w="576" w:type="dxa"/>
          </w:tcPr>
          <w:p w14:paraId="624A48C5" w14:textId="77777777" w:rsidR="00BD2FEB" w:rsidRPr="00DF24F6" w:rsidRDefault="00BD2FEB" w:rsidP="00C76316">
            <w:pPr>
              <w:pStyle w:val="VCAAtablecondensedheading"/>
              <w:rPr>
                <w:lang w:val="en-AU"/>
              </w:rPr>
            </w:pPr>
            <w:r w:rsidRPr="00DF24F6">
              <w:rPr>
                <w:lang w:val="en-AU"/>
              </w:rPr>
              <w:t>2</w:t>
            </w:r>
          </w:p>
        </w:tc>
        <w:tc>
          <w:tcPr>
            <w:tcW w:w="576" w:type="dxa"/>
          </w:tcPr>
          <w:p w14:paraId="56D69A5C" w14:textId="77777777" w:rsidR="00BD2FEB" w:rsidRPr="00DF24F6" w:rsidRDefault="00BD2FEB" w:rsidP="00C76316">
            <w:pPr>
              <w:pStyle w:val="VCAAtablecondensedheading"/>
              <w:rPr>
                <w:lang w:val="en-AU"/>
              </w:rPr>
            </w:pPr>
            <w:r w:rsidRPr="00DF24F6">
              <w:rPr>
                <w:lang w:val="en-AU"/>
              </w:rPr>
              <w:t>3</w:t>
            </w:r>
          </w:p>
        </w:tc>
        <w:tc>
          <w:tcPr>
            <w:tcW w:w="1008" w:type="dxa"/>
          </w:tcPr>
          <w:p w14:paraId="01ECB1BD" w14:textId="77777777" w:rsidR="00BD2FEB" w:rsidRPr="00DF24F6" w:rsidRDefault="00BD2FEB" w:rsidP="00C76316">
            <w:pPr>
              <w:pStyle w:val="VCAAtablecondensedheading"/>
              <w:rPr>
                <w:lang w:val="en-AU"/>
              </w:rPr>
            </w:pPr>
            <w:r w:rsidRPr="00DF24F6">
              <w:rPr>
                <w:lang w:val="en-AU"/>
              </w:rPr>
              <w:t>Average</w:t>
            </w:r>
          </w:p>
        </w:tc>
      </w:tr>
      <w:tr w:rsidR="00BD2FEB" w:rsidRPr="00492D1A" w14:paraId="3F978303" w14:textId="77777777" w:rsidTr="00C76316">
        <w:tc>
          <w:tcPr>
            <w:tcW w:w="720" w:type="dxa"/>
          </w:tcPr>
          <w:p w14:paraId="5F4A63EF" w14:textId="77777777" w:rsidR="00BD2FEB" w:rsidRPr="00492D1A" w:rsidRDefault="00BD2FEB" w:rsidP="00C76316">
            <w:pPr>
              <w:pStyle w:val="VCAAtablecondensed"/>
              <w:rPr>
                <w:color w:val="auto"/>
              </w:rPr>
            </w:pPr>
            <w:r w:rsidRPr="00492D1A">
              <w:rPr>
                <w:color w:val="auto"/>
              </w:rPr>
              <w:t>%</w:t>
            </w:r>
          </w:p>
        </w:tc>
        <w:tc>
          <w:tcPr>
            <w:tcW w:w="576" w:type="dxa"/>
            <w:vAlign w:val="bottom"/>
          </w:tcPr>
          <w:p w14:paraId="43E8A1F7" w14:textId="77777777" w:rsidR="00BD2FEB" w:rsidRPr="00492D1A" w:rsidRDefault="00BD2FEB" w:rsidP="00C76316">
            <w:pPr>
              <w:pStyle w:val="VCAAtablecondensed"/>
              <w:rPr>
                <w:color w:val="auto"/>
              </w:rPr>
            </w:pPr>
            <w:r w:rsidRPr="00492D1A">
              <w:rPr>
                <w:color w:val="auto"/>
              </w:rPr>
              <w:t>7</w:t>
            </w:r>
          </w:p>
        </w:tc>
        <w:tc>
          <w:tcPr>
            <w:tcW w:w="576" w:type="dxa"/>
            <w:vAlign w:val="bottom"/>
          </w:tcPr>
          <w:p w14:paraId="4E9A47E9" w14:textId="77777777" w:rsidR="00BD2FEB" w:rsidRPr="00492D1A" w:rsidRDefault="00BD2FEB" w:rsidP="00C76316">
            <w:pPr>
              <w:pStyle w:val="VCAAtablecondensed"/>
              <w:rPr>
                <w:color w:val="auto"/>
              </w:rPr>
            </w:pPr>
            <w:r w:rsidRPr="00492D1A">
              <w:rPr>
                <w:color w:val="auto"/>
              </w:rPr>
              <w:t>21</w:t>
            </w:r>
          </w:p>
        </w:tc>
        <w:tc>
          <w:tcPr>
            <w:tcW w:w="576" w:type="dxa"/>
            <w:vAlign w:val="bottom"/>
          </w:tcPr>
          <w:p w14:paraId="0FC5A4EB" w14:textId="77777777" w:rsidR="00BD2FEB" w:rsidRPr="00492D1A" w:rsidRDefault="00BD2FEB" w:rsidP="00C76316">
            <w:pPr>
              <w:pStyle w:val="VCAAtablecondensed"/>
              <w:rPr>
                <w:color w:val="auto"/>
              </w:rPr>
            </w:pPr>
            <w:r w:rsidRPr="00492D1A">
              <w:rPr>
                <w:color w:val="auto"/>
              </w:rPr>
              <w:t>32</w:t>
            </w:r>
          </w:p>
        </w:tc>
        <w:tc>
          <w:tcPr>
            <w:tcW w:w="576" w:type="dxa"/>
            <w:vAlign w:val="bottom"/>
          </w:tcPr>
          <w:p w14:paraId="2C5474BC" w14:textId="77777777" w:rsidR="00BD2FEB" w:rsidRPr="00492D1A" w:rsidRDefault="00BD2FEB" w:rsidP="00C76316">
            <w:pPr>
              <w:pStyle w:val="VCAAtablecondensed"/>
              <w:rPr>
                <w:color w:val="auto"/>
              </w:rPr>
            </w:pPr>
            <w:r w:rsidRPr="00492D1A">
              <w:rPr>
                <w:color w:val="auto"/>
              </w:rPr>
              <w:t>39</w:t>
            </w:r>
          </w:p>
        </w:tc>
        <w:tc>
          <w:tcPr>
            <w:tcW w:w="1008" w:type="dxa"/>
          </w:tcPr>
          <w:p w14:paraId="3F0F0DF7" w14:textId="77777777" w:rsidR="00BD2FEB" w:rsidRPr="00492D1A" w:rsidRDefault="00BD2FEB" w:rsidP="00C76316">
            <w:pPr>
              <w:pStyle w:val="VCAAtablecondensed"/>
              <w:rPr>
                <w:color w:val="auto"/>
              </w:rPr>
            </w:pPr>
            <w:r w:rsidRPr="00492D1A">
              <w:rPr>
                <w:color w:val="auto"/>
              </w:rPr>
              <w:t>2</w:t>
            </w:r>
          </w:p>
        </w:tc>
      </w:tr>
    </w:tbl>
    <w:p w14:paraId="5B4C600D" w14:textId="77777777" w:rsidR="00BD2FEB" w:rsidRPr="00492D1A" w:rsidRDefault="00BD2FEB" w:rsidP="00632752">
      <w:pPr>
        <w:pStyle w:val="BodyText"/>
      </w:pPr>
      <w:r w:rsidRPr="00492D1A">
        <w:t xml:space="preserve">Students were required to reference two non-price factors (one demand and one supply) to explain the movement in the global market for coffee beans shown on the graph. Students handled this question well, with a high proportion of the cohort achieving full marks. </w:t>
      </w:r>
    </w:p>
    <w:p w14:paraId="1C0DB6D4" w14:textId="77777777" w:rsidR="00BD2FEB" w:rsidRPr="00492D1A" w:rsidRDefault="00BD2FEB" w:rsidP="00632752">
      <w:pPr>
        <w:pStyle w:val="BodyText"/>
      </w:pPr>
      <w:r w:rsidRPr="00492D1A">
        <w:t xml:space="preserve">High-scoring responses: </w:t>
      </w:r>
    </w:p>
    <w:p w14:paraId="552BB044" w14:textId="77777777" w:rsidR="00BD2FEB" w:rsidRPr="00492D1A" w:rsidRDefault="00BD2FEB" w:rsidP="00BD2FEB">
      <w:pPr>
        <w:pStyle w:val="Bullet"/>
        <w:ind w:left="426" w:hanging="426"/>
      </w:pPr>
      <w:r w:rsidRPr="00492D1A">
        <w:t>clearly stated the new equilibrium price and quantity; for example, at E</w:t>
      </w:r>
      <w:r w:rsidRPr="00D14E53">
        <w:rPr>
          <w:vertAlign w:val="subscript"/>
        </w:rPr>
        <w:t>2</w:t>
      </w:r>
      <w:r w:rsidRPr="00492D1A">
        <w:t>, equilibrium price increases and equilibrium quantity decreases</w:t>
      </w:r>
    </w:p>
    <w:p w14:paraId="081604F6" w14:textId="77777777" w:rsidR="00BD2FEB" w:rsidRPr="00492D1A" w:rsidRDefault="00BD2FEB" w:rsidP="00BD2FEB">
      <w:pPr>
        <w:pStyle w:val="Bullet"/>
        <w:ind w:left="426" w:hanging="426"/>
      </w:pPr>
      <w:r w:rsidRPr="00492D1A">
        <w:t xml:space="preserve">clearly referenced one relevant non-price supply factor that led to a decrease in supply (a shift in the demand to the left) </w:t>
      </w:r>
    </w:p>
    <w:p w14:paraId="4FC90631" w14:textId="77777777" w:rsidR="00BD2FEB" w:rsidRPr="00492D1A" w:rsidRDefault="00BD2FEB" w:rsidP="00BD2FEB">
      <w:pPr>
        <w:pStyle w:val="Bullet"/>
        <w:ind w:left="426" w:hanging="426"/>
      </w:pPr>
      <w:r w:rsidRPr="00492D1A">
        <w:t xml:space="preserve">clearly referenced one relevant non-price demand factor that led to an increase in demand (a shift in the demand to the right). </w:t>
      </w:r>
    </w:p>
    <w:p w14:paraId="6DFF61CF" w14:textId="77777777" w:rsidR="00BD2FEB" w:rsidRPr="00492D1A" w:rsidRDefault="00BD2FEB" w:rsidP="00632752">
      <w:pPr>
        <w:pStyle w:val="BodyText"/>
      </w:pPr>
      <w:r w:rsidRPr="00492D1A">
        <w:t xml:space="preserve">Common misconceptions included: </w:t>
      </w:r>
    </w:p>
    <w:p w14:paraId="7958447F" w14:textId="77777777" w:rsidR="00BD2FEB" w:rsidRPr="00492D1A" w:rsidRDefault="00BD2FEB" w:rsidP="00BD2FEB">
      <w:pPr>
        <w:pStyle w:val="Bullet"/>
        <w:ind w:left="426" w:hanging="426"/>
      </w:pPr>
      <w:r w:rsidRPr="00492D1A">
        <w:t xml:space="preserve">mistaking this question for a disequilibrium analysis </w:t>
      </w:r>
    </w:p>
    <w:p w14:paraId="4A48B78B" w14:textId="77777777" w:rsidR="00BD2FEB" w:rsidRPr="00492D1A" w:rsidRDefault="00BD2FEB" w:rsidP="00632752">
      <w:pPr>
        <w:pStyle w:val="Indent"/>
      </w:pPr>
      <w:r w:rsidRPr="00492D1A">
        <w:t>Many students wasted valuable time explaining how the market would move from E</w:t>
      </w:r>
      <w:r w:rsidRPr="00D14E53">
        <w:rPr>
          <w:vertAlign w:val="subscript"/>
        </w:rPr>
        <w:t>1</w:t>
      </w:r>
      <w:r w:rsidRPr="00492D1A">
        <w:t xml:space="preserve"> to E</w:t>
      </w:r>
      <w:r w:rsidRPr="00D14E53">
        <w:rPr>
          <w:vertAlign w:val="subscript"/>
        </w:rPr>
        <w:t>2</w:t>
      </w:r>
      <w:r w:rsidRPr="00492D1A">
        <w:t xml:space="preserve">. While much of this analysis demonstrated a depth of understanding, the question did not require this. </w:t>
      </w:r>
    </w:p>
    <w:p w14:paraId="024E0F0E" w14:textId="77777777" w:rsidR="00BD2FEB" w:rsidRPr="00492D1A" w:rsidRDefault="00BD2FEB" w:rsidP="00BD2FEB">
      <w:pPr>
        <w:pStyle w:val="Bullet"/>
        <w:ind w:left="426" w:hanging="426"/>
      </w:pPr>
      <w:r w:rsidRPr="00492D1A">
        <w:lastRenderedPageBreak/>
        <w:t xml:space="preserve">not referring to the equilibrium price and quantity </w:t>
      </w:r>
    </w:p>
    <w:p w14:paraId="07A43E37" w14:textId="77777777" w:rsidR="00BD2FEB" w:rsidRPr="00492D1A" w:rsidRDefault="00BD2FEB" w:rsidP="00632752">
      <w:pPr>
        <w:pStyle w:val="Indent"/>
      </w:pPr>
      <w:r w:rsidRPr="00492D1A">
        <w:t xml:space="preserve">Many students did not clearly state that the equilibrium price had </w:t>
      </w:r>
      <w:proofErr w:type="gramStart"/>
      <w:r w:rsidRPr="00492D1A">
        <w:t>increased</w:t>
      </w:r>
      <w:proofErr w:type="gramEnd"/>
      <w:r w:rsidRPr="00492D1A">
        <w:t xml:space="preserve"> and equilibrium quantity had decreased, despite it being clearly labelled on the demand and supply diagram. </w:t>
      </w:r>
    </w:p>
    <w:p w14:paraId="42F38B51" w14:textId="77777777" w:rsidR="00BD2FEB" w:rsidRPr="00492D1A" w:rsidRDefault="00BD2FEB" w:rsidP="00632752">
      <w:pPr>
        <w:pStyle w:val="Indent"/>
      </w:pPr>
      <w:r w:rsidRPr="00492D1A">
        <w:t xml:space="preserve">Additionally, many students confused ‘quantity supplied’, a single point on the supply curve at a given price level, with ‘equilibrium quantity’, which is the market clearing quantity where demand and supply are equal. </w:t>
      </w:r>
    </w:p>
    <w:p w14:paraId="143469E7" w14:textId="77777777" w:rsidR="00BD2FEB" w:rsidRPr="00492D1A" w:rsidRDefault="00BD2FEB" w:rsidP="00632752">
      <w:pPr>
        <w:pStyle w:val="BodyText"/>
      </w:pPr>
      <w:r w:rsidRPr="00492D1A">
        <w:t>The following is an example of a high-scoring response:</w:t>
      </w:r>
    </w:p>
    <w:p w14:paraId="39CF720C" w14:textId="77777777" w:rsidR="00BD2FEB" w:rsidRPr="00492D1A" w:rsidRDefault="00BD2FEB" w:rsidP="00632752">
      <w:pPr>
        <w:pStyle w:val="Studentsample"/>
      </w:pPr>
      <w:r w:rsidRPr="00492D1A">
        <w:t xml:space="preserve">Unfavourable climatic conditions for coffee growing areas can reduce the output of coffee beans given much of the produce will not grow properly. This causes the decrease in global supply for coffee beans as the producers are less willing and able to produce coffee beans at all price points, represented by the leftward shift of supply curve from S1 to S2. Increasing disposable income globally could have increased the willingness and ability for coffee consumers to buy coffee as a good that is not necessary for survival. This causes coffee producers who use coffee beans to increase their demand for coffee at all price points, shown by the rightward shift of the demand curve for coffee beans from D1 to D2. The culmination of these factors is an increase in equilibrium price (from 100 to 250 USD) and a decrease in equilibrium quantity traded of coffee beans. </w:t>
      </w:r>
    </w:p>
    <w:p w14:paraId="16E0A760" w14:textId="77777777" w:rsidR="00BD2FEB" w:rsidRPr="00DC1E2A" w:rsidRDefault="00BD2FEB" w:rsidP="00BD2FEB">
      <w:pPr>
        <w:pStyle w:val="Heading2"/>
      </w:pPr>
      <w:r w:rsidRPr="00DC1E2A">
        <w:t>Question 2b</w:t>
      </w:r>
      <w:r>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1008"/>
      </w:tblGrid>
      <w:tr w:rsidR="00BD2FEB" w:rsidRPr="00DF24F6" w14:paraId="3C251326" w14:textId="77777777" w:rsidTr="00C76316">
        <w:trPr>
          <w:cnfStyle w:val="100000000000" w:firstRow="1" w:lastRow="0" w:firstColumn="0" w:lastColumn="0" w:oddVBand="0" w:evenVBand="0" w:oddHBand="0" w:evenHBand="0" w:firstRowFirstColumn="0" w:firstRowLastColumn="0" w:lastRowFirstColumn="0" w:lastRowLastColumn="0"/>
        </w:trPr>
        <w:tc>
          <w:tcPr>
            <w:tcW w:w="720" w:type="dxa"/>
          </w:tcPr>
          <w:p w14:paraId="7A7B89D4" w14:textId="77777777" w:rsidR="00BD2FEB" w:rsidRPr="00DF24F6" w:rsidRDefault="00BD2FEB" w:rsidP="00C76316">
            <w:pPr>
              <w:pStyle w:val="VCAAtablecondensedheading"/>
              <w:rPr>
                <w:lang w:val="en-AU"/>
              </w:rPr>
            </w:pPr>
            <w:r w:rsidRPr="00DF24F6">
              <w:rPr>
                <w:lang w:val="en-AU"/>
              </w:rPr>
              <w:t>Marks</w:t>
            </w:r>
          </w:p>
        </w:tc>
        <w:tc>
          <w:tcPr>
            <w:tcW w:w="576" w:type="dxa"/>
          </w:tcPr>
          <w:p w14:paraId="706372EA" w14:textId="77777777" w:rsidR="00BD2FEB" w:rsidRPr="00DF24F6" w:rsidRDefault="00BD2FEB" w:rsidP="00C76316">
            <w:pPr>
              <w:pStyle w:val="VCAAtablecondensedheading"/>
              <w:rPr>
                <w:lang w:val="en-AU"/>
              </w:rPr>
            </w:pPr>
            <w:r w:rsidRPr="00DF24F6">
              <w:rPr>
                <w:lang w:val="en-AU"/>
              </w:rPr>
              <w:t>0</w:t>
            </w:r>
          </w:p>
        </w:tc>
        <w:tc>
          <w:tcPr>
            <w:tcW w:w="576" w:type="dxa"/>
          </w:tcPr>
          <w:p w14:paraId="323C603D" w14:textId="77777777" w:rsidR="00BD2FEB" w:rsidRPr="00DF24F6" w:rsidRDefault="00BD2FEB" w:rsidP="00C76316">
            <w:pPr>
              <w:pStyle w:val="VCAAtablecondensedheading"/>
              <w:rPr>
                <w:lang w:val="en-AU"/>
              </w:rPr>
            </w:pPr>
            <w:r w:rsidRPr="00DF24F6">
              <w:rPr>
                <w:lang w:val="en-AU"/>
              </w:rPr>
              <w:t>1</w:t>
            </w:r>
          </w:p>
        </w:tc>
        <w:tc>
          <w:tcPr>
            <w:tcW w:w="576" w:type="dxa"/>
          </w:tcPr>
          <w:p w14:paraId="5144C6EC" w14:textId="77777777" w:rsidR="00BD2FEB" w:rsidRPr="00DF24F6" w:rsidRDefault="00BD2FEB" w:rsidP="00C76316">
            <w:pPr>
              <w:pStyle w:val="VCAAtablecondensedheading"/>
              <w:rPr>
                <w:lang w:val="en-AU"/>
              </w:rPr>
            </w:pPr>
            <w:r w:rsidRPr="00DF24F6">
              <w:rPr>
                <w:lang w:val="en-AU"/>
              </w:rPr>
              <w:t>2</w:t>
            </w:r>
          </w:p>
        </w:tc>
        <w:tc>
          <w:tcPr>
            <w:tcW w:w="576" w:type="dxa"/>
          </w:tcPr>
          <w:p w14:paraId="56901F81" w14:textId="77777777" w:rsidR="00BD2FEB" w:rsidRPr="00DF24F6" w:rsidRDefault="00BD2FEB" w:rsidP="00C76316">
            <w:pPr>
              <w:pStyle w:val="VCAAtablecondensedheading"/>
              <w:rPr>
                <w:lang w:val="en-AU"/>
              </w:rPr>
            </w:pPr>
            <w:r w:rsidRPr="00DF24F6">
              <w:rPr>
                <w:lang w:val="en-AU"/>
              </w:rPr>
              <w:t>3</w:t>
            </w:r>
          </w:p>
        </w:tc>
        <w:tc>
          <w:tcPr>
            <w:tcW w:w="1008" w:type="dxa"/>
          </w:tcPr>
          <w:p w14:paraId="7215748C" w14:textId="77777777" w:rsidR="00BD2FEB" w:rsidRPr="00DF24F6" w:rsidRDefault="00BD2FEB" w:rsidP="00C76316">
            <w:pPr>
              <w:pStyle w:val="VCAAtablecondensedheading"/>
              <w:rPr>
                <w:lang w:val="en-AU"/>
              </w:rPr>
            </w:pPr>
            <w:r w:rsidRPr="00DF24F6">
              <w:rPr>
                <w:lang w:val="en-AU"/>
              </w:rPr>
              <w:t>Average</w:t>
            </w:r>
          </w:p>
        </w:tc>
      </w:tr>
      <w:tr w:rsidR="00BD2FEB" w:rsidRPr="00492D1A" w14:paraId="476901A0" w14:textId="77777777" w:rsidTr="00C76316">
        <w:tc>
          <w:tcPr>
            <w:tcW w:w="720" w:type="dxa"/>
          </w:tcPr>
          <w:p w14:paraId="755C6F0B" w14:textId="77777777" w:rsidR="00BD2FEB" w:rsidRPr="00492D1A" w:rsidRDefault="00BD2FEB" w:rsidP="00C76316">
            <w:pPr>
              <w:pStyle w:val="VCAAtablecondensed"/>
              <w:rPr>
                <w:color w:val="auto"/>
              </w:rPr>
            </w:pPr>
            <w:r w:rsidRPr="00492D1A">
              <w:rPr>
                <w:color w:val="auto"/>
              </w:rPr>
              <w:t>%</w:t>
            </w:r>
          </w:p>
        </w:tc>
        <w:tc>
          <w:tcPr>
            <w:tcW w:w="576" w:type="dxa"/>
            <w:vAlign w:val="bottom"/>
          </w:tcPr>
          <w:p w14:paraId="761CFBD1" w14:textId="77777777" w:rsidR="00BD2FEB" w:rsidRPr="00492D1A" w:rsidRDefault="00BD2FEB" w:rsidP="00C76316">
            <w:pPr>
              <w:pStyle w:val="VCAAtablecondensed"/>
              <w:rPr>
                <w:color w:val="auto"/>
              </w:rPr>
            </w:pPr>
            <w:r w:rsidRPr="00492D1A">
              <w:rPr>
                <w:color w:val="auto"/>
              </w:rPr>
              <w:t>32</w:t>
            </w:r>
          </w:p>
        </w:tc>
        <w:tc>
          <w:tcPr>
            <w:tcW w:w="576" w:type="dxa"/>
            <w:vAlign w:val="bottom"/>
          </w:tcPr>
          <w:p w14:paraId="50F586D2" w14:textId="77777777" w:rsidR="00BD2FEB" w:rsidRPr="00492D1A" w:rsidRDefault="00BD2FEB" w:rsidP="00C76316">
            <w:pPr>
              <w:pStyle w:val="VCAAtablecondensed"/>
              <w:rPr>
                <w:color w:val="auto"/>
              </w:rPr>
            </w:pPr>
            <w:r w:rsidRPr="00492D1A">
              <w:rPr>
                <w:color w:val="auto"/>
              </w:rPr>
              <w:t>23</w:t>
            </w:r>
          </w:p>
        </w:tc>
        <w:tc>
          <w:tcPr>
            <w:tcW w:w="576" w:type="dxa"/>
            <w:vAlign w:val="bottom"/>
          </w:tcPr>
          <w:p w14:paraId="764216E7" w14:textId="77777777" w:rsidR="00BD2FEB" w:rsidRPr="00492D1A" w:rsidRDefault="00BD2FEB" w:rsidP="00C76316">
            <w:pPr>
              <w:pStyle w:val="VCAAtablecondensed"/>
              <w:rPr>
                <w:color w:val="auto"/>
              </w:rPr>
            </w:pPr>
            <w:r w:rsidRPr="00492D1A">
              <w:rPr>
                <w:color w:val="auto"/>
              </w:rPr>
              <w:t>21</w:t>
            </w:r>
          </w:p>
        </w:tc>
        <w:tc>
          <w:tcPr>
            <w:tcW w:w="576" w:type="dxa"/>
            <w:vAlign w:val="bottom"/>
          </w:tcPr>
          <w:p w14:paraId="60759C58" w14:textId="77777777" w:rsidR="00BD2FEB" w:rsidRPr="00492D1A" w:rsidRDefault="00BD2FEB" w:rsidP="00C76316">
            <w:pPr>
              <w:pStyle w:val="VCAAtablecondensed"/>
              <w:rPr>
                <w:color w:val="auto"/>
              </w:rPr>
            </w:pPr>
            <w:r w:rsidRPr="00492D1A">
              <w:rPr>
                <w:color w:val="auto"/>
              </w:rPr>
              <w:t>23</w:t>
            </w:r>
          </w:p>
        </w:tc>
        <w:tc>
          <w:tcPr>
            <w:tcW w:w="1008" w:type="dxa"/>
          </w:tcPr>
          <w:p w14:paraId="1AFBC2B3" w14:textId="77777777" w:rsidR="00BD2FEB" w:rsidRPr="00492D1A" w:rsidRDefault="00BD2FEB" w:rsidP="00C76316">
            <w:pPr>
              <w:pStyle w:val="VCAAtablecondensed"/>
              <w:rPr>
                <w:color w:val="auto"/>
              </w:rPr>
            </w:pPr>
            <w:r w:rsidRPr="00492D1A">
              <w:rPr>
                <w:color w:val="auto"/>
              </w:rPr>
              <w:t>1.3</w:t>
            </w:r>
          </w:p>
        </w:tc>
      </w:tr>
    </w:tbl>
    <w:p w14:paraId="27D45EFB" w14:textId="77777777" w:rsidR="00BD2FEB" w:rsidRPr="00492D1A" w:rsidRDefault="00BD2FEB" w:rsidP="00632752">
      <w:pPr>
        <w:pStyle w:val="BodyText"/>
      </w:pPr>
      <w:r w:rsidRPr="00492D1A">
        <w:t xml:space="preserve">Students were required to explain why the elasticity of supply might change over time. This question proved challenging for some students. </w:t>
      </w:r>
    </w:p>
    <w:p w14:paraId="194C84F9" w14:textId="77777777" w:rsidR="00BD2FEB" w:rsidRPr="00492D1A" w:rsidRDefault="00BD2FEB" w:rsidP="00632752">
      <w:pPr>
        <w:pStyle w:val="BodyText"/>
      </w:pPr>
      <w:r w:rsidRPr="00492D1A">
        <w:t xml:space="preserve">High-scoring responses: </w:t>
      </w:r>
    </w:p>
    <w:p w14:paraId="27960A5E" w14:textId="77777777" w:rsidR="00BD2FEB" w:rsidRPr="00492D1A" w:rsidRDefault="00BD2FEB" w:rsidP="00BD2FEB">
      <w:pPr>
        <w:pStyle w:val="Bullet"/>
        <w:ind w:left="426" w:hanging="426"/>
      </w:pPr>
      <w:r w:rsidRPr="00492D1A">
        <w:t>demonstrated an understanding of the meaning of the price elasticity of supply (PES)</w:t>
      </w:r>
    </w:p>
    <w:p w14:paraId="42187DAF" w14:textId="77777777" w:rsidR="00BD2FEB" w:rsidRPr="00492D1A" w:rsidRDefault="00BD2FEB" w:rsidP="00632752">
      <w:pPr>
        <w:pStyle w:val="Indent"/>
      </w:pPr>
      <w:r w:rsidRPr="00492D1A">
        <w:t>Such responses quantified PES by referring to the percentage change in the quantity supplied relative to a percentage change in price.</w:t>
      </w:r>
    </w:p>
    <w:p w14:paraId="409A6BA1" w14:textId="77777777" w:rsidR="00BD2FEB" w:rsidRPr="00492D1A" w:rsidRDefault="00BD2FEB" w:rsidP="00BD2FEB">
      <w:pPr>
        <w:pStyle w:val="Bullet"/>
        <w:ind w:left="426" w:hanging="426"/>
      </w:pPr>
      <w:r w:rsidRPr="00492D1A">
        <w:t xml:space="preserve">identified a relevant PES factor (for example, durability, production time or spare capacity) </w:t>
      </w:r>
    </w:p>
    <w:p w14:paraId="7F1FDD25" w14:textId="77777777" w:rsidR="00BD2FEB" w:rsidRPr="00492D1A" w:rsidRDefault="00BD2FEB" w:rsidP="00632752">
      <w:pPr>
        <w:pStyle w:val="Indent"/>
      </w:pPr>
      <w:r w:rsidRPr="00492D1A">
        <w:t xml:space="preserve">Such responses generally referred to how improvements in technology may result in shorter production (growing) periods or improved durability/storability of coffee beans, resulting in a higher price elasticity of supply over time. </w:t>
      </w:r>
    </w:p>
    <w:p w14:paraId="0473D699" w14:textId="77777777" w:rsidR="00BD2FEB" w:rsidRPr="00492D1A" w:rsidRDefault="00BD2FEB" w:rsidP="00BD2FEB">
      <w:pPr>
        <w:pStyle w:val="Bullet"/>
        <w:ind w:left="426" w:hanging="426"/>
      </w:pPr>
      <w:r w:rsidRPr="00492D1A">
        <w:t xml:space="preserve">explained why the elasticity of supply may change </w:t>
      </w:r>
      <w:proofErr w:type="gramStart"/>
      <w:r w:rsidRPr="00492D1A">
        <w:t>as a result of</w:t>
      </w:r>
      <w:proofErr w:type="gramEnd"/>
      <w:r w:rsidRPr="00492D1A">
        <w:t xml:space="preserve"> a factor over time</w:t>
      </w:r>
    </w:p>
    <w:p w14:paraId="6AFC4C53" w14:textId="77777777" w:rsidR="00BD2FEB" w:rsidRPr="00492D1A" w:rsidRDefault="00BD2FEB" w:rsidP="00632752">
      <w:pPr>
        <w:pStyle w:val="Indent"/>
      </w:pPr>
      <w:r w:rsidRPr="00492D1A">
        <w:t>Such responses noted whether elasticity would increase or decrease and explained what this meant in terms of responsiveness (for example, quantity supplied becomes either more or less responsive to a change in price).</w:t>
      </w:r>
    </w:p>
    <w:p w14:paraId="6C08F473" w14:textId="77777777" w:rsidR="00BD2FEB" w:rsidRPr="00492D1A" w:rsidRDefault="00BD2FEB" w:rsidP="00632752">
      <w:pPr>
        <w:pStyle w:val="BodyText"/>
      </w:pPr>
      <w:r w:rsidRPr="00492D1A">
        <w:t xml:space="preserve">Common misconceptions included: </w:t>
      </w:r>
    </w:p>
    <w:p w14:paraId="2E96D9FD" w14:textId="77777777" w:rsidR="00BD2FEB" w:rsidRPr="00492D1A" w:rsidRDefault="00BD2FEB" w:rsidP="00BD2FEB">
      <w:pPr>
        <w:pStyle w:val="Bullet"/>
        <w:ind w:left="426" w:hanging="426"/>
      </w:pPr>
      <w:r w:rsidRPr="00492D1A">
        <w:t xml:space="preserve">answering from a PED perspective or confusing PES with a non-price supply factor </w:t>
      </w:r>
    </w:p>
    <w:p w14:paraId="6C357C46" w14:textId="77777777" w:rsidR="00BD2FEB" w:rsidRPr="00492D1A" w:rsidRDefault="00BD2FEB" w:rsidP="00632752">
      <w:pPr>
        <w:pStyle w:val="Indent"/>
      </w:pPr>
      <w:r w:rsidRPr="00492D1A">
        <w:t xml:space="preserve">Many students incorrectly interpreted this as a PED question or wrote about non-price supply factors. This indicated either a lack of understanding of elasticity or a failure to read the question carefully. </w:t>
      </w:r>
    </w:p>
    <w:p w14:paraId="5AED8090" w14:textId="77777777" w:rsidR="00BD2FEB" w:rsidRPr="00492D1A" w:rsidRDefault="00BD2FEB" w:rsidP="00BD2FEB">
      <w:pPr>
        <w:pStyle w:val="Bullet"/>
        <w:ind w:left="426" w:hanging="426"/>
      </w:pPr>
      <w:r w:rsidRPr="00492D1A">
        <w:t>providing an explanation of the law of supply instead of PES</w:t>
      </w:r>
    </w:p>
    <w:p w14:paraId="646A0D52" w14:textId="77777777" w:rsidR="00BD2FEB" w:rsidRPr="00492D1A" w:rsidRDefault="00BD2FEB" w:rsidP="00632752">
      <w:pPr>
        <w:pStyle w:val="Indent"/>
      </w:pPr>
      <w:r w:rsidRPr="00492D1A">
        <w:t>Some students wrote about the direct relationship between price and quantity supplied but did not show any understanding of the degree to which the quantity supplied may change in response to a change in price.</w:t>
      </w:r>
    </w:p>
    <w:p w14:paraId="538DEA0A" w14:textId="77777777" w:rsidR="00BD2FEB" w:rsidRPr="00492D1A" w:rsidRDefault="00BD2FEB" w:rsidP="00BD2FEB">
      <w:pPr>
        <w:pStyle w:val="Bullet"/>
        <w:ind w:left="426" w:hanging="426"/>
      </w:pPr>
      <w:r w:rsidRPr="00492D1A">
        <w:lastRenderedPageBreak/>
        <w:t xml:space="preserve">not describing how elasticity would change over time </w:t>
      </w:r>
    </w:p>
    <w:p w14:paraId="06586704" w14:textId="77777777" w:rsidR="00BD2FEB" w:rsidRPr="00492D1A" w:rsidRDefault="00BD2FEB" w:rsidP="00632752">
      <w:pPr>
        <w:pStyle w:val="Indent"/>
      </w:pPr>
      <w:r w:rsidRPr="00492D1A">
        <w:t>Some students referred to a factor that would impact the elasticity of supply but did not explain how this factor changes elasticity. For example, responses could have referred to how farmers may adapt production methods or invest in new technology, which would decrease production times and increase elasticity over time.</w:t>
      </w:r>
    </w:p>
    <w:p w14:paraId="0874AEB7" w14:textId="77777777" w:rsidR="00BD2FEB" w:rsidRPr="00492D1A" w:rsidRDefault="00BD2FEB" w:rsidP="00632752">
      <w:pPr>
        <w:pStyle w:val="BodyText"/>
      </w:pPr>
      <w:r w:rsidRPr="00492D1A">
        <w:t>The following is an example of a high-scoring response:</w:t>
      </w:r>
    </w:p>
    <w:p w14:paraId="7F5F6709" w14:textId="77777777" w:rsidR="00BD2FEB" w:rsidRPr="00492D1A" w:rsidRDefault="00BD2FEB" w:rsidP="00632752">
      <w:pPr>
        <w:pStyle w:val="Studentsample"/>
      </w:pPr>
      <w:r w:rsidRPr="00492D1A">
        <w:t xml:space="preserve">Price elasticity of supply refers to the level of responsiveness among firms in supplying coffee beans relative to price changes. Coffee beans will have a relatively inelastic supply i.e. increase in price of 100% will only lead to 5% more of coffee beans produced. This is due to its long time of production where it typically takes a year for coffee beans to fully grow. However, over time, as new growing methods are introduced this will likely decrease the production period of coffee beans, meaning firms can quickly increase production levels if the price of coffee rises, making firms more responsive to price changes thus increasing the price elasticity of supply for coffee beans. </w:t>
      </w:r>
    </w:p>
    <w:p w14:paraId="3CB75260" w14:textId="77777777" w:rsidR="00BD2FEB" w:rsidRDefault="00BD2FEB" w:rsidP="00BD2FEB">
      <w:pPr>
        <w:pStyle w:val="Heading2"/>
      </w:pPr>
      <w:r w:rsidRPr="00DC1E2A">
        <w:t>Question 3a.</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BD2FEB" w:rsidRPr="00DF24F6" w14:paraId="335EFF87" w14:textId="77777777" w:rsidTr="00C76316">
        <w:trPr>
          <w:cnfStyle w:val="100000000000" w:firstRow="1" w:lastRow="0" w:firstColumn="0" w:lastColumn="0" w:oddVBand="0" w:evenVBand="0" w:oddHBand="0" w:evenHBand="0" w:firstRowFirstColumn="0" w:firstRowLastColumn="0" w:lastRowFirstColumn="0" w:lastRowLastColumn="0"/>
        </w:trPr>
        <w:tc>
          <w:tcPr>
            <w:tcW w:w="720" w:type="dxa"/>
          </w:tcPr>
          <w:p w14:paraId="5FDFF913" w14:textId="77777777" w:rsidR="00BD2FEB" w:rsidRPr="00DF24F6" w:rsidRDefault="00BD2FEB" w:rsidP="00C76316">
            <w:pPr>
              <w:pStyle w:val="VCAAtablecondensedheading"/>
              <w:rPr>
                <w:lang w:val="en-AU"/>
              </w:rPr>
            </w:pPr>
            <w:r w:rsidRPr="00DF24F6">
              <w:rPr>
                <w:lang w:val="en-AU"/>
              </w:rPr>
              <w:t>Marks</w:t>
            </w:r>
          </w:p>
        </w:tc>
        <w:tc>
          <w:tcPr>
            <w:tcW w:w="576" w:type="dxa"/>
          </w:tcPr>
          <w:p w14:paraId="2E6343B1" w14:textId="77777777" w:rsidR="00BD2FEB" w:rsidRPr="00DF24F6" w:rsidRDefault="00BD2FEB" w:rsidP="00C76316">
            <w:pPr>
              <w:pStyle w:val="VCAAtablecondensedheading"/>
              <w:rPr>
                <w:lang w:val="en-AU"/>
              </w:rPr>
            </w:pPr>
            <w:r w:rsidRPr="00DF24F6">
              <w:rPr>
                <w:lang w:val="en-AU"/>
              </w:rPr>
              <w:t>0</w:t>
            </w:r>
          </w:p>
        </w:tc>
        <w:tc>
          <w:tcPr>
            <w:tcW w:w="576" w:type="dxa"/>
          </w:tcPr>
          <w:p w14:paraId="3128A575" w14:textId="77777777" w:rsidR="00BD2FEB" w:rsidRPr="00DF24F6" w:rsidRDefault="00BD2FEB" w:rsidP="00C76316">
            <w:pPr>
              <w:pStyle w:val="VCAAtablecondensedheading"/>
              <w:rPr>
                <w:lang w:val="en-AU"/>
              </w:rPr>
            </w:pPr>
            <w:r w:rsidRPr="00DF24F6">
              <w:rPr>
                <w:lang w:val="en-AU"/>
              </w:rPr>
              <w:t>1</w:t>
            </w:r>
          </w:p>
        </w:tc>
        <w:tc>
          <w:tcPr>
            <w:tcW w:w="576" w:type="dxa"/>
          </w:tcPr>
          <w:p w14:paraId="7F605044" w14:textId="77777777" w:rsidR="00BD2FEB" w:rsidRPr="00DF24F6" w:rsidRDefault="00BD2FEB" w:rsidP="00C76316">
            <w:pPr>
              <w:pStyle w:val="VCAAtablecondensedheading"/>
              <w:rPr>
                <w:lang w:val="en-AU"/>
              </w:rPr>
            </w:pPr>
            <w:r w:rsidRPr="00DF24F6">
              <w:rPr>
                <w:lang w:val="en-AU"/>
              </w:rPr>
              <w:t>2</w:t>
            </w:r>
          </w:p>
        </w:tc>
        <w:tc>
          <w:tcPr>
            <w:tcW w:w="1008" w:type="dxa"/>
          </w:tcPr>
          <w:p w14:paraId="2CF44DF2" w14:textId="77777777" w:rsidR="00BD2FEB" w:rsidRPr="00DF24F6" w:rsidRDefault="00BD2FEB" w:rsidP="00C76316">
            <w:pPr>
              <w:pStyle w:val="VCAAtablecondensedheading"/>
              <w:rPr>
                <w:lang w:val="en-AU"/>
              </w:rPr>
            </w:pPr>
            <w:r w:rsidRPr="00DF24F6">
              <w:rPr>
                <w:lang w:val="en-AU"/>
              </w:rPr>
              <w:t>Average</w:t>
            </w:r>
          </w:p>
        </w:tc>
      </w:tr>
      <w:tr w:rsidR="00BD2FEB" w:rsidRPr="00492D1A" w14:paraId="05C04116" w14:textId="77777777" w:rsidTr="00C76316">
        <w:tc>
          <w:tcPr>
            <w:tcW w:w="720" w:type="dxa"/>
          </w:tcPr>
          <w:p w14:paraId="5E7DA3E0" w14:textId="77777777" w:rsidR="00BD2FEB" w:rsidRPr="00492D1A" w:rsidRDefault="00BD2FEB" w:rsidP="00C76316">
            <w:pPr>
              <w:pStyle w:val="VCAAtablecondensed"/>
              <w:rPr>
                <w:color w:val="auto"/>
              </w:rPr>
            </w:pPr>
            <w:r w:rsidRPr="00492D1A">
              <w:rPr>
                <w:color w:val="auto"/>
              </w:rPr>
              <w:t>%</w:t>
            </w:r>
          </w:p>
        </w:tc>
        <w:tc>
          <w:tcPr>
            <w:tcW w:w="576" w:type="dxa"/>
            <w:vAlign w:val="bottom"/>
          </w:tcPr>
          <w:p w14:paraId="1504AD4E" w14:textId="77777777" w:rsidR="00BD2FEB" w:rsidRPr="00492D1A" w:rsidRDefault="00BD2FEB" w:rsidP="00C76316">
            <w:pPr>
              <w:pStyle w:val="VCAAtablecondensed"/>
              <w:rPr>
                <w:color w:val="auto"/>
              </w:rPr>
            </w:pPr>
            <w:r w:rsidRPr="00492D1A">
              <w:rPr>
                <w:color w:val="auto"/>
              </w:rPr>
              <w:t>11</w:t>
            </w:r>
          </w:p>
        </w:tc>
        <w:tc>
          <w:tcPr>
            <w:tcW w:w="576" w:type="dxa"/>
            <w:vAlign w:val="bottom"/>
          </w:tcPr>
          <w:p w14:paraId="6F795682" w14:textId="77777777" w:rsidR="00BD2FEB" w:rsidRPr="00492D1A" w:rsidRDefault="00BD2FEB" w:rsidP="00C76316">
            <w:pPr>
              <w:pStyle w:val="VCAAtablecondensed"/>
              <w:rPr>
                <w:color w:val="auto"/>
              </w:rPr>
            </w:pPr>
            <w:r w:rsidRPr="00492D1A">
              <w:rPr>
                <w:color w:val="auto"/>
              </w:rPr>
              <w:t>31</w:t>
            </w:r>
          </w:p>
        </w:tc>
        <w:tc>
          <w:tcPr>
            <w:tcW w:w="576" w:type="dxa"/>
            <w:vAlign w:val="bottom"/>
          </w:tcPr>
          <w:p w14:paraId="1CF8BCE1" w14:textId="77777777" w:rsidR="00BD2FEB" w:rsidRPr="00492D1A" w:rsidRDefault="00BD2FEB" w:rsidP="00C76316">
            <w:pPr>
              <w:pStyle w:val="VCAAtablecondensed"/>
              <w:rPr>
                <w:color w:val="auto"/>
              </w:rPr>
            </w:pPr>
            <w:r w:rsidRPr="00492D1A">
              <w:rPr>
                <w:color w:val="auto"/>
              </w:rPr>
              <w:t>58</w:t>
            </w:r>
          </w:p>
        </w:tc>
        <w:tc>
          <w:tcPr>
            <w:tcW w:w="1008" w:type="dxa"/>
          </w:tcPr>
          <w:p w14:paraId="0D72BCC3" w14:textId="77777777" w:rsidR="00BD2FEB" w:rsidRPr="00492D1A" w:rsidRDefault="00BD2FEB" w:rsidP="00C76316">
            <w:pPr>
              <w:pStyle w:val="VCAAtablecondensed"/>
              <w:rPr>
                <w:color w:val="auto"/>
              </w:rPr>
            </w:pPr>
            <w:r w:rsidRPr="00492D1A">
              <w:rPr>
                <w:color w:val="auto"/>
              </w:rPr>
              <w:t>1.5</w:t>
            </w:r>
          </w:p>
        </w:tc>
      </w:tr>
    </w:tbl>
    <w:p w14:paraId="16D135D6" w14:textId="77777777" w:rsidR="00BD2FEB" w:rsidRPr="00492D1A" w:rsidRDefault="00BD2FEB" w:rsidP="00632752">
      <w:pPr>
        <w:pStyle w:val="BodyText"/>
      </w:pPr>
      <w:r w:rsidRPr="00492D1A">
        <w:t>Students were required to state what is meant by strong and sustainable economic growth. While this question was answered well by many students, some neglected to demonstrate the meaning of both ‘strong’ and ‘sustainable’</w:t>
      </w:r>
      <w:r w:rsidRPr="00492D1A">
        <w:rPr>
          <w:i/>
          <w:iCs/>
        </w:rPr>
        <w:t xml:space="preserve"> </w:t>
      </w:r>
      <w:r w:rsidRPr="00492D1A">
        <w:t>economic growth</w:t>
      </w:r>
      <w:r w:rsidRPr="00492D1A">
        <w:rPr>
          <w:i/>
          <w:iCs/>
        </w:rPr>
        <w:t>.</w:t>
      </w:r>
    </w:p>
    <w:p w14:paraId="730B0F5B" w14:textId="77777777" w:rsidR="00BD2FEB" w:rsidRPr="00492D1A" w:rsidRDefault="00BD2FEB" w:rsidP="00632752">
      <w:pPr>
        <w:pStyle w:val="BodyText"/>
      </w:pPr>
      <w:r w:rsidRPr="00492D1A">
        <w:t xml:space="preserve">High-scoring responses: </w:t>
      </w:r>
    </w:p>
    <w:p w14:paraId="0A59143E" w14:textId="77777777" w:rsidR="00BD2FEB" w:rsidRPr="00492D1A" w:rsidRDefault="00BD2FEB" w:rsidP="00BD2FEB">
      <w:pPr>
        <w:pStyle w:val="Bullet"/>
        <w:ind w:left="426" w:hanging="426"/>
      </w:pPr>
      <w:r w:rsidRPr="00492D1A">
        <w:t xml:space="preserve">demonstrated an understanding of ‘strong’ economic growth </w:t>
      </w:r>
    </w:p>
    <w:p w14:paraId="166A3D82" w14:textId="77777777" w:rsidR="00BD2FEB" w:rsidRPr="00492D1A" w:rsidRDefault="00BD2FEB" w:rsidP="00632752">
      <w:pPr>
        <w:pStyle w:val="Indent"/>
      </w:pPr>
      <w:r w:rsidRPr="00492D1A">
        <w:t xml:space="preserve">For example, such responses referred to a rate of economic growth that is sufficient to generate employment opportunities. </w:t>
      </w:r>
    </w:p>
    <w:p w14:paraId="04C6536F" w14:textId="77777777" w:rsidR="00BD2FEB" w:rsidRPr="00492D1A" w:rsidRDefault="00BD2FEB" w:rsidP="00BD2FEB">
      <w:pPr>
        <w:pStyle w:val="Bullet"/>
        <w:ind w:left="426" w:hanging="426"/>
      </w:pPr>
      <w:r w:rsidRPr="00492D1A">
        <w:t xml:space="preserve">demonstrated an understanding of ‘sustainable’ economic growth </w:t>
      </w:r>
    </w:p>
    <w:p w14:paraId="477B8D6F" w14:textId="77777777" w:rsidR="00BD2FEB" w:rsidRPr="00492D1A" w:rsidRDefault="00BD2FEB" w:rsidP="00632752">
      <w:pPr>
        <w:pStyle w:val="Indent"/>
      </w:pPr>
      <w:r w:rsidRPr="00492D1A">
        <w:t xml:space="preserve">For example, such responses referred to a level of economic growth that could be maintained over time without creating excessive inflationary pressures, external instability or environmental degradation. </w:t>
      </w:r>
    </w:p>
    <w:p w14:paraId="69EDB96F" w14:textId="77777777" w:rsidR="00BD2FEB" w:rsidRPr="00492D1A" w:rsidRDefault="00BD2FEB" w:rsidP="00632752">
      <w:pPr>
        <w:pStyle w:val="BodyText"/>
      </w:pPr>
      <w:r w:rsidRPr="00492D1A">
        <w:t xml:space="preserve">Common misconceptions included: </w:t>
      </w:r>
    </w:p>
    <w:p w14:paraId="5FEFB68E" w14:textId="77777777" w:rsidR="00BD2FEB" w:rsidRPr="00492D1A" w:rsidRDefault="00BD2FEB" w:rsidP="00BD2FEB">
      <w:pPr>
        <w:pStyle w:val="Bullet"/>
        <w:ind w:left="426" w:hanging="426"/>
      </w:pPr>
      <w:r w:rsidRPr="00492D1A">
        <w:t>only stating the target range for growth</w:t>
      </w:r>
    </w:p>
    <w:p w14:paraId="0A3B609F" w14:textId="77777777" w:rsidR="00BD2FEB" w:rsidRPr="00492D1A" w:rsidRDefault="00BD2FEB" w:rsidP="00632752">
      <w:pPr>
        <w:pStyle w:val="Indent"/>
      </w:pPr>
      <w:r w:rsidRPr="00492D1A">
        <w:t>Many students simply stated that the goal of strong and sustainable growth is to achieve a real gross domestic product (GDP) growth rate of 3 to 3.5 per cent. While this is often cited as an unofficial target, it does not explain what ‘strong’ or ‘sustainable’ mean and therefore does not answer the question.</w:t>
      </w:r>
    </w:p>
    <w:p w14:paraId="22F670FB" w14:textId="77777777" w:rsidR="00BD2FEB" w:rsidRPr="00492D1A" w:rsidRDefault="00BD2FEB" w:rsidP="00632752">
      <w:pPr>
        <w:pStyle w:val="BodyText"/>
      </w:pPr>
      <w:r w:rsidRPr="00492D1A">
        <w:t>The following is an example of a high-scoring response:</w:t>
      </w:r>
    </w:p>
    <w:p w14:paraId="63591005" w14:textId="77777777" w:rsidR="00BD2FEB" w:rsidRPr="00492D1A" w:rsidRDefault="00BD2FEB" w:rsidP="00632752">
      <w:pPr>
        <w:pStyle w:val="Studentsample"/>
      </w:pPr>
      <w:r w:rsidRPr="00492D1A">
        <w:t>The goal for strong and sustainable economic growth is to have ‘strong’ growth – to promote strong employment growth (and thus raise living standards) which is achieved by having the fastest rate of increase in the production of goods and services (to raise derived demand for labour), but to also have ‘sustainable’ growth; levels of growth that do not cause inflationary, external or environmental pressures. The unofficial target is an annual raise in real GDP of 3–3.5%.</w:t>
      </w:r>
    </w:p>
    <w:p w14:paraId="2C1550DF" w14:textId="77777777" w:rsidR="00632752" w:rsidRDefault="00632752">
      <w:pPr>
        <w:spacing w:line="276" w:lineRule="auto"/>
        <w:rPr>
          <w:rFonts w:ascii="Arial" w:hAnsi="Arial" w:cs="Arial"/>
          <w:color w:val="0F7EB4"/>
          <w:sz w:val="40"/>
          <w:szCs w:val="28"/>
          <w:lang w:val="en-AU"/>
        </w:rPr>
      </w:pPr>
      <w:r>
        <w:br w:type="page"/>
      </w:r>
    </w:p>
    <w:p w14:paraId="46B48F43" w14:textId="2ED13CC6" w:rsidR="00BD2FEB" w:rsidRPr="00AF2A4F" w:rsidRDefault="00BD2FEB" w:rsidP="00BD2FEB">
      <w:pPr>
        <w:pStyle w:val="Heading2"/>
      </w:pPr>
      <w:r w:rsidRPr="00AF2A4F">
        <w:lastRenderedPageBreak/>
        <w:t>Question 3b.</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1008"/>
      </w:tblGrid>
      <w:tr w:rsidR="00BD2FEB" w:rsidRPr="00DF24F6" w14:paraId="0264E5E8" w14:textId="77777777" w:rsidTr="00C76316">
        <w:trPr>
          <w:cnfStyle w:val="100000000000" w:firstRow="1" w:lastRow="0" w:firstColumn="0" w:lastColumn="0" w:oddVBand="0" w:evenVBand="0" w:oddHBand="0" w:evenHBand="0" w:firstRowFirstColumn="0" w:firstRowLastColumn="0" w:lastRowFirstColumn="0" w:lastRowLastColumn="0"/>
        </w:trPr>
        <w:tc>
          <w:tcPr>
            <w:tcW w:w="720" w:type="dxa"/>
          </w:tcPr>
          <w:p w14:paraId="17E8CF9D" w14:textId="77777777" w:rsidR="00BD2FEB" w:rsidRPr="00DF24F6" w:rsidRDefault="00BD2FEB" w:rsidP="00C76316">
            <w:pPr>
              <w:pStyle w:val="VCAAtablecondensedheading"/>
              <w:rPr>
                <w:lang w:val="en-AU"/>
              </w:rPr>
            </w:pPr>
            <w:r w:rsidRPr="00DF24F6">
              <w:rPr>
                <w:lang w:val="en-AU"/>
              </w:rPr>
              <w:t>Marks</w:t>
            </w:r>
          </w:p>
        </w:tc>
        <w:tc>
          <w:tcPr>
            <w:tcW w:w="576" w:type="dxa"/>
          </w:tcPr>
          <w:p w14:paraId="59717E72" w14:textId="77777777" w:rsidR="00BD2FEB" w:rsidRPr="00DF24F6" w:rsidRDefault="00BD2FEB" w:rsidP="00C76316">
            <w:pPr>
              <w:pStyle w:val="VCAAtablecondensedheading"/>
              <w:rPr>
                <w:lang w:val="en-AU"/>
              </w:rPr>
            </w:pPr>
            <w:r w:rsidRPr="00DF24F6">
              <w:rPr>
                <w:lang w:val="en-AU"/>
              </w:rPr>
              <w:t>0</w:t>
            </w:r>
          </w:p>
        </w:tc>
        <w:tc>
          <w:tcPr>
            <w:tcW w:w="576" w:type="dxa"/>
          </w:tcPr>
          <w:p w14:paraId="720CAF08" w14:textId="77777777" w:rsidR="00BD2FEB" w:rsidRPr="00DF24F6" w:rsidRDefault="00BD2FEB" w:rsidP="00C76316">
            <w:pPr>
              <w:pStyle w:val="VCAAtablecondensedheading"/>
              <w:rPr>
                <w:lang w:val="en-AU"/>
              </w:rPr>
            </w:pPr>
            <w:r w:rsidRPr="00DF24F6">
              <w:rPr>
                <w:lang w:val="en-AU"/>
              </w:rPr>
              <w:t>1</w:t>
            </w:r>
          </w:p>
        </w:tc>
        <w:tc>
          <w:tcPr>
            <w:tcW w:w="576" w:type="dxa"/>
          </w:tcPr>
          <w:p w14:paraId="6BA3BB04" w14:textId="77777777" w:rsidR="00BD2FEB" w:rsidRPr="00DF24F6" w:rsidRDefault="00BD2FEB" w:rsidP="00C76316">
            <w:pPr>
              <w:pStyle w:val="VCAAtablecondensedheading"/>
              <w:rPr>
                <w:lang w:val="en-AU"/>
              </w:rPr>
            </w:pPr>
            <w:r w:rsidRPr="00DF24F6">
              <w:rPr>
                <w:lang w:val="en-AU"/>
              </w:rPr>
              <w:t>2</w:t>
            </w:r>
          </w:p>
        </w:tc>
        <w:tc>
          <w:tcPr>
            <w:tcW w:w="576" w:type="dxa"/>
          </w:tcPr>
          <w:p w14:paraId="034A8510" w14:textId="77777777" w:rsidR="00BD2FEB" w:rsidRPr="00DF24F6" w:rsidRDefault="00BD2FEB" w:rsidP="00C76316">
            <w:pPr>
              <w:pStyle w:val="VCAAtablecondensedheading"/>
              <w:rPr>
                <w:lang w:val="en-AU"/>
              </w:rPr>
            </w:pPr>
            <w:r w:rsidRPr="00DF24F6">
              <w:rPr>
                <w:lang w:val="en-AU"/>
              </w:rPr>
              <w:t>3</w:t>
            </w:r>
          </w:p>
        </w:tc>
        <w:tc>
          <w:tcPr>
            <w:tcW w:w="1008" w:type="dxa"/>
          </w:tcPr>
          <w:p w14:paraId="5CDF6CFC" w14:textId="77777777" w:rsidR="00BD2FEB" w:rsidRPr="00DF24F6" w:rsidRDefault="00BD2FEB" w:rsidP="00C76316">
            <w:pPr>
              <w:pStyle w:val="VCAAtablecondensedheading"/>
              <w:rPr>
                <w:lang w:val="en-AU"/>
              </w:rPr>
            </w:pPr>
            <w:r w:rsidRPr="00DF24F6">
              <w:rPr>
                <w:lang w:val="en-AU"/>
              </w:rPr>
              <w:t>Average</w:t>
            </w:r>
          </w:p>
        </w:tc>
      </w:tr>
      <w:tr w:rsidR="00BD2FEB" w:rsidRPr="00492D1A" w14:paraId="3BCA1389" w14:textId="77777777" w:rsidTr="00C76316">
        <w:tc>
          <w:tcPr>
            <w:tcW w:w="720" w:type="dxa"/>
          </w:tcPr>
          <w:p w14:paraId="73D49E0A" w14:textId="77777777" w:rsidR="00BD2FEB" w:rsidRPr="00492D1A" w:rsidRDefault="00BD2FEB" w:rsidP="00C76316">
            <w:pPr>
              <w:pStyle w:val="VCAAtablecondensed"/>
              <w:rPr>
                <w:color w:val="auto"/>
              </w:rPr>
            </w:pPr>
            <w:r w:rsidRPr="00492D1A">
              <w:rPr>
                <w:color w:val="auto"/>
              </w:rPr>
              <w:t>%</w:t>
            </w:r>
          </w:p>
        </w:tc>
        <w:tc>
          <w:tcPr>
            <w:tcW w:w="576" w:type="dxa"/>
            <w:vAlign w:val="bottom"/>
          </w:tcPr>
          <w:p w14:paraId="3EBFDEA5" w14:textId="77777777" w:rsidR="00BD2FEB" w:rsidRPr="00492D1A" w:rsidRDefault="00BD2FEB" w:rsidP="00C76316">
            <w:pPr>
              <w:pStyle w:val="VCAAtablecondensed"/>
              <w:rPr>
                <w:color w:val="auto"/>
              </w:rPr>
            </w:pPr>
            <w:r w:rsidRPr="00492D1A">
              <w:rPr>
                <w:color w:val="auto"/>
              </w:rPr>
              <w:t>10</w:t>
            </w:r>
          </w:p>
        </w:tc>
        <w:tc>
          <w:tcPr>
            <w:tcW w:w="576" w:type="dxa"/>
            <w:vAlign w:val="bottom"/>
          </w:tcPr>
          <w:p w14:paraId="61CD37D5" w14:textId="77777777" w:rsidR="00BD2FEB" w:rsidRPr="00492D1A" w:rsidRDefault="00BD2FEB" w:rsidP="00C76316">
            <w:pPr>
              <w:pStyle w:val="VCAAtablecondensed"/>
              <w:rPr>
                <w:color w:val="auto"/>
              </w:rPr>
            </w:pPr>
            <w:r w:rsidRPr="00492D1A">
              <w:rPr>
                <w:color w:val="auto"/>
              </w:rPr>
              <w:t>30</w:t>
            </w:r>
          </w:p>
        </w:tc>
        <w:tc>
          <w:tcPr>
            <w:tcW w:w="576" w:type="dxa"/>
            <w:vAlign w:val="bottom"/>
          </w:tcPr>
          <w:p w14:paraId="18E3C2B1" w14:textId="77777777" w:rsidR="00BD2FEB" w:rsidRPr="00492D1A" w:rsidRDefault="00BD2FEB" w:rsidP="00C76316">
            <w:pPr>
              <w:pStyle w:val="VCAAtablecondensed"/>
              <w:rPr>
                <w:color w:val="auto"/>
              </w:rPr>
            </w:pPr>
            <w:r w:rsidRPr="00492D1A">
              <w:rPr>
                <w:color w:val="auto"/>
              </w:rPr>
              <w:t>41</w:t>
            </w:r>
          </w:p>
        </w:tc>
        <w:tc>
          <w:tcPr>
            <w:tcW w:w="576" w:type="dxa"/>
            <w:vAlign w:val="bottom"/>
          </w:tcPr>
          <w:p w14:paraId="74B0D1BF" w14:textId="77777777" w:rsidR="00BD2FEB" w:rsidRPr="00492D1A" w:rsidRDefault="00BD2FEB" w:rsidP="00C76316">
            <w:pPr>
              <w:pStyle w:val="VCAAtablecondensed"/>
              <w:rPr>
                <w:color w:val="auto"/>
              </w:rPr>
            </w:pPr>
            <w:r w:rsidRPr="00492D1A">
              <w:rPr>
                <w:color w:val="auto"/>
              </w:rPr>
              <w:t>19</w:t>
            </w:r>
          </w:p>
        </w:tc>
        <w:tc>
          <w:tcPr>
            <w:tcW w:w="1008" w:type="dxa"/>
          </w:tcPr>
          <w:p w14:paraId="3E6B773C" w14:textId="77777777" w:rsidR="00BD2FEB" w:rsidRPr="00492D1A" w:rsidRDefault="00BD2FEB" w:rsidP="00C76316">
            <w:pPr>
              <w:pStyle w:val="VCAAtablecondensed"/>
              <w:rPr>
                <w:color w:val="auto"/>
              </w:rPr>
            </w:pPr>
            <w:r w:rsidRPr="00492D1A">
              <w:rPr>
                <w:color w:val="auto"/>
              </w:rPr>
              <w:t>1.7</w:t>
            </w:r>
          </w:p>
        </w:tc>
      </w:tr>
    </w:tbl>
    <w:p w14:paraId="32A6290B" w14:textId="77777777" w:rsidR="00BD2FEB" w:rsidRPr="00492D1A" w:rsidRDefault="00BD2FEB" w:rsidP="00632752">
      <w:pPr>
        <w:pStyle w:val="BodyText"/>
      </w:pPr>
      <w:r w:rsidRPr="00492D1A">
        <w:t>Students were required to explain why imports are removed from the aggregate demand (AD) equation when calculating AD. Many students struggled with this question due to a lack of understanding of the calculation or definition of AD.</w:t>
      </w:r>
    </w:p>
    <w:p w14:paraId="2B815E78" w14:textId="77777777" w:rsidR="00BD2FEB" w:rsidRPr="00492D1A" w:rsidRDefault="00BD2FEB" w:rsidP="00632752">
      <w:pPr>
        <w:pStyle w:val="BodyText"/>
      </w:pPr>
      <w:r w:rsidRPr="00492D1A">
        <w:t xml:space="preserve">High-scoring responses: </w:t>
      </w:r>
    </w:p>
    <w:p w14:paraId="1D11E269" w14:textId="77777777" w:rsidR="00BD2FEB" w:rsidRPr="00492D1A" w:rsidRDefault="00BD2FEB" w:rsidP="00BD2FEB">
      <w:pPr>
        <w:pStyle w:val="Bullet"/>
        <w:ind w:left="426" w:hanging="426"/>
      </w:pPr>
      <w:r w:rsidRPr="00492D1A">
        <w:t>demonstrated an understanding of AD</w:t>
      </w:r>
    </w:p>
    <w:p w14:paraId="52278E31" w14:textId="77777777" w:rsidR="00BD2FEB" w:rsidRPr="00492D1A" w:rsidRDefault="00BD2FEB" w:rsidP="00632752">
      <w:pPr>
        <w:pStyle w:val="Indent"/>
      </w:pPr>
      <w:r w:rsidRPr="00492D1A">
        <w:t xml:space="preserve">For example, total spending on Australian made goods and services over </w:t>
      </w:r>
      <w:proofErr w:type="gramStart"/>
      <w:r w:rsidRPr="00492D1A">
        <w:t>a period of time</w:t>
      </w:r>
      <w:proofErr w:type="gramEnd"/>
      <w:r w:rsidRPr="00492D1A">
        <w:t xml:space="preserve">. </w:t>
      </w:r>
    </w:p>
    <w:p w14:paraId="5286C28B" w14:textId="77777777" w:rsidR="00BD2FEB" w:rsidRPr="00492D1A" w:rsidRDefault="00BD2FEB" w:rsidP="00632752">
      <w:pPr>
        <w:pStyle w:val="Indent"/>
      </w:pPr>
      <w:r w:rsidRPr="00492D1A">
        <w:t>Given the prompt, it was also helpful for students to state that imports (M) are a leakage from the five-sector circular flow model and thus do not count towards aggregate demand.</w:t>
      </w:r>
    </w:p>
    <w:p w14:paraId="16E2390C" w14:textId="77777777" w:rsidR="00BD2FEB" w:rsidRPr="00492D1A" w:rsidRDefault="00BD2FEB" w:rsidP="00BD2FEB">
      <w:pPr>
        <w:pStyle w:val="Bullet"/>
        <w:ind w:left="426" w:hanging="426"/>
      </w:pPr>
      <w:r w:rsidRPr="00492D1A">
        <w:t>explained that import spending is already counted in other components of the AD formula</w:t>
      </w:r>
    </w:p>
    <w:p w14:paraId="7FB34012" w14:textId="77777777" w:rsidR="00BD2FEB" w:rsidRPr="00492D1A" w:rsidRDefault="00BD2FEB" w:rsidP="00632752">
      <w:pPr>
        <w:pStyle w:val="Indent"/>
      </w:pPr>
      <w:r w:rsidRPr="00492D1A">
        <w:t>Such responses noted that spending on imports (M) is included in the other components of AD such as consumption (C), investment (I) and government (G) spending. Therefore, imports must be subtracted from these components. For example, if an Australian household purchases a foreign-made car it will initially be counted as C spending. Hence, it needs to be extracted from C to accurately determine the level of AD. Again, this is related to the definition of AD, which measures spending on Australian-made goods and services only. This avoids overestimating the level of AD and by extension its impact on the level of economic activity.</w:t>
      </w:r>
    </w:p>
    <w:p w14:paraId="1AADF405" w14:textId="77777777" w:rsidR="00BD2FEB" w:rsidRPr="00492D1A" w:rsidRDefault="00BD2FEB" w:rsidP="00632752">
      <w:pPr>
        <w:pStyle w:val="BodyText"/>
      </w:pPr>
      <w:r w:rsidRPr="00492D1A">
        <w:t xml:space="preserve">Common misconceptions included: </w:t>
      </w:r>
    </w:p>
    <w:p w14:paraId="1E771280" w14:textId="77777777" w:rsidR="00BD2FEB" w:rsidRPr="00492D1A" w:rsidRDefault="00BD2FEB" w:rsidP="00BD2FEB">
      <w:pPr>
        <w:pStyle w:val="Bullet"/>
        <w:ind w:left="426" w:hanging="426"/>
      </w:pPr>
      <w:r w:rsidRPr="00492D1A">
        <w:t xml:space="preserve">not demonstrating a correct understanding of AD </w:t>
      </w:r>
    </w:p>
    <w:p w14:paraId="590D7232" w14:textId="77777777" w:rsidR="00BD2FEB" w:rsidRPr="00492D1A" w:rsidRDefault="00BD2FEB" w:rsidP="00632752">
      <w:pPr>
        <w:pStyle w:val="Indent"/>
      </w:pPr>
      <w:r w:rsidRPr="00492D1A">
        <w:t>Many students did not highlight that AD measures spending on Australian-made goods and services only.</w:t>
      </w:r>
    </w:p>
    <w:p w14:paraId="73E2BCC1" w14:textId="77777777" w:rsidR="00BD2FEB" w:rsidRPr="00492D1A" w:rsidRDefault="00BD2FEB" w:rsidP="00BD2FEB">
      <w:pPr>
        <w:pStyle w:val="Bullet"/>
        <w:ind w:left="426" w:hanging="426"/>
      </w:pPr>
      <w:r w:rsidRPr="00492D1A">
        <w:t>misinterpreting the question</w:t>
      </w:r>
    </w:p>
    <w:p w14:paraId="5C703B16" w14:textId="77777777" w:rsidR="00BD2FEB" w:rsidRPr="00492D1A" w:rsidRDefault="00BD2FEB" w:rsidP="00632752">
      <w:pPr>
        <w:pStyle w:val="Indent"/>
      </w:pPr>
      <w:r w:rsidRPr="00492D1A">
        <w:t xml:space="preserve">Many students explained that imports are subtracted because the spending leaves our shores, unlike savings and taxes which stay in the banking and government sectors. While this is true in the context of the circular flow model, it does not answer the question of why import spending is removed from the AD formula. </w:t>
      </w:r>
    </w:p>
    <w:p w14:paraId="5897A850" w14:textId="77777777" w:rsidR="00BD2FEB" w:rsidRPr="00492D1A" w:rsidRDefault="00BD2FEB" w:rsidP="00632752">
      <w:pPr>
        <w:pStyle w:val="BodyText"/>
      </w:pPr>
      <w:r w:rsidRPr="00492D1A">
        <w:t>The following is an example of a high-scoring response:</w:t>
      </w:r>
    </w:p>
    <w:p w14:paraId="4D20DF6D" w14:textId="77777777" w:rsidR="00BD2FEB" w:rsidRPr="00492D1A" w:rsidRDefault="00BD2FEB" w:rsidP="00632752">
      <w:pPr>
        <w:pStyle w:val="Studentsample"/>
      </w:pPr>
      <w:r w:rsidRPr="00492D1A">
        <w:t xml:space="preserve">The total value of AD represents the total demand for Australian goods and services, both from domestic demand and foreign demand. Since imports are not goods/services produced in Australia, the demand for imports should not be considered/added as being part of Australia’s AD. Therefore, to take this into account, the consumption (C) component includes domestic consumption of both domestic and imported goods/services, but the imported goods/services (M) is then subtracted from the equation resulting in imports having no overall impact/contribution to AD since it doesn’t count as aggregate demand for Australian goods and services. </w:t>
      </w:r>
    </w:p>
    <w:p w14:paraId="4BD1FCDD" w14:textId="77777777" w:rsidR="00632752" w:rsidRDefault="00632752">
      <w:pPr>
        <w:spacing w:line="276" w:lineRule="auto"/>
        <w:rPr>
          <w:rFonts w:ascii="Arial" w:hAnsi="Arial" w:cs="Arial"/>
          <w:color w:val="0F7EB4"/>
          <w:sz w:val="40"/>
          <w:szCs w:val="28"/>
          <w:lang w:val="en-AU"/>
        </w:rPr>
      </w:pPr>
      <w:r>
        <w:br w:type="page"/>
      </w:r>
    </w:p>
    <w:p w14:paraId="54943DCA" w14:textId="68E24730" w:rsidR="00BD2FEB" w:rsidRPr="00E728AB" w:rsidRDefault="00BD2FEB" w:rsidP="00BD2FEB">
      <w:pPr>
        <w:pStyle w:val="Heading2"/>
      </w:pPr>
      <w:r w:rsidRPr="00E728AB">
        <w:lastRenderedPageBreak/>
        <w:t>Question 3c.</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1008"/>
      </w:tblGrid>
      <w:tr w:rsidR="00BD2FEB" w:rsidRPr="00DF24F6" w14:paraId="36DF0EEF" w14:textId="77777777" w:rsidTr="00C76316">
        <w:trPr>
          <w:cnfStyle w:val="100000000000" w:firstRow="1" w:lastRow="0" w:firstColumn="0" w:lastColumn="0" w:oddVBand="0" w:evenVBand="0" w:oddHBand="0" w:evenHBand="0" w:firstRowFirstColumn="0" w:firstRowLastColumn="0" w:lastRowFirstColumn="0" w:lastRowLastColumn="0"/>
        </w:trPr>
        <w:tc>
          <w:tcPr>
            <w:tcW w:w="720" w:type="dxa"/>
          </w:tcPr>
          <w:p w14:paraId="561347D9" w14:textId="77777777" w:rsidR="00BD2FEB" w:rsidRPr="00DF24F6" w:rsidRDefault="00BD2FEB" w:rsidP="00C76316">
            <w:pPr>
              <w:pStyle w:val="VCAAtablecondensedheading"/>
              <w:rPr>
                <w:lang w:val="en-AU"/>
              </w:rPr>
            </w:pPr>
            <w:r w:rsidRPr="00DF24F6">
              <w:rPr>
                <w:lang w:val="en-AU"/>
              </w:rPr>
              <w:t>Marks</w:t>
            </w:r>
          </w:p>
        </w:tc>
        <w:tc>
          <w:tcPr>
            <w:tcW w:w="576" w:type="dxa"/>
          </w:tcPr>
          <w:p w14:paraId="3CB82507" w14:textId="77777777" w:rsidR="00BD2FEB" w:rsidRPr="00DF24F6" w:rsidRDefault="00BD2FEB" w:rsidP="00C76316">
            <w:pPr>
              <w:pStyle w:val="VCAAtablecondensedheading"/>
              <w:rPr>
                <w:lang w:val="en-AU"/>
              </w:rPr>
            </w:pPr>
            <w:r w:rsidRPr="00DF24F6">
              <w:rPr>
                <w:lang w:val="en-AU"/>
              </w:rPr>
              <w:t>0</w:t>
            </w:r>
          </w:p>
        </w:tc>
        <w:tc>
          <w:tcPr>
            <w:tcW w:w="576" w:type="dxa"/>
          </w:tcPr>
          <w:p w14:paraId="7F71452C" w14:textId="77777777" w:rsidR="00BD2FEB" w:rsidRPr="00DF24F6" w:rsidRDefault="00BD2FEB" w:rsidP="00C76316">
            <w:pPr>
              <w:pStyle w:val="VCAAtablecondensedheading"/>
              <w:rPr>
                <w:lang w:val="en-AU"/>
              </w:rPr>
            </w:pPr>
            <w:r w:rsidRPr="00DF24F6">
              <w:rPr>
                <w:lang w:val="en-AU"/>
              </w:rPr>
              <w:t>1</w:t>
            </w:r>
          </w:p>
        </w:tc>
        <w:tc>
          <w:tcPr>
            <w:tcW w:w="576" w:type="dxa"/>
          </w:tcPr>
          <w:p w14:paraId="37779BB3" w14:textId="77777777" w:rsidR="00BD2FEB" w:rsidRPr="00DF24F6" w:rsidRDefault="00BD2FEB" w:rsidP="00C76316">
            <w:pPr>
              <w:pStyle w:val="VCAAtablecondensedheading"/>
              <w:rPr>
                <w:lang w:val="en-AU"/>
              </w:rPr>
            </w:pPr>
            <w:r w:rsidRPr="00DF24F6">
              <w:rPr>
                <w:lang w:val="en-AU"/>
              </w:rPr>
              <w:t>2</w:t>
            </w:r>
          </w:p>
        </w:tc>
        <w:tc>
          <w:tcPr>
            <w:tcW w:w="576" w:type="dxa"/>
          </w:tcPr>
          <w:p w14:paraId="029CFF78" w14:textId="77777777" w:rsidR="00BD2FEB" w:rsidRPr="00DF24F6" w:rsidRDefault="00BD2FEB" w:rsidP="00C76316">
            <w:pPr>
              <w:pStyle w:val="VCAAtablecondensedheading"/>
              <w:rPr>
                <w:lang w:val="en-AU"/>
              </w:rPr>
            </w:pPr>
            <w:r w:rsidRPr="00DF24F6">
              <w:rPr>
                <w:lang w:val="en-AU"/>
              </w:rPr>
              <w:t>3</w:t>
            </w:r>
          </w:p>
        </w:tc>
        <w:tc>
          <w:tcPr>
            <w:tcW w:w="1008" w:type="dxa"/>
          </w:tcPr>
          <w:p w14:paraId="5C013F1C" w14:textId="77777777" w:rsidR="00BD2FEB" w:rsidRPr="00DF24F6" w:rsidRDefault="00BD2FEB" w:rsidP="00C76316">
            <w:pPr>
              <w:pStyle w:val="VCAAtablecondensedheading"/>
              <w:rPr>
                <w:lang w:val="en-AU"/>
              </w:rPr>
            </w:pPr>
            <w:r w:rsidRPr="00DF24F6">
              <w:rPr>
                <w:lang w:val="en-AU"/>
              </w:rPr>
              <w:t>Average</w:t>
            </w:r>
          </w:p>
        </w:tc>
      </w:tr>
      <w:tr w:rsidR="00BD2FEB" w:rsidRPr="00492D1A" w14:paraId="2473E650" w14:textId="77777777" w:rsidTr="00C76316">
        <w:tc>
          <w:tcPr>
            <w:tcW w:w="720" w:type="dxa"/>
          </w:tcPr>
          <w:p w14:paraId="264CB7AC" w14:textId="77777777" w:rsidR="00BD2FEB" w:rsidRPr="00492D1A" w:rsidRDefault="00BD2FEB" w:rsidP="00C76316">
            <w:pPr>
              <w:pStyle w:val="VCAAtablecondensed"/>
              <w:rPr>
                <w:color w:val="auto"/>
              </w:rPr>
            </w:pPr>
            <w:r w:rsidRPr="00492D1A">
              <w:rPr>
                <w:color w:val="auto"/>
              </w:rPr>
              <w:t>%</w:t>
            </w:r>
          </w:p>
        </w:tc>
        <w:tc>
          <w:tcPr>
            <w:tcW w:w="576" w:type="dxa"/>
            <w:vAlign w:val="bottom"/>
          </w:tcPr>
          <w:p w14:paraId="682F1AF2" w14:textId="77777777" w:rsidR="00BD2FEB" w:rsidRPr="00492D1A" w:rsidRDefault="00BD2FEB" w:rsidP="00C76316">
            <w:pPr>
              <w:pStyle w:val="VCAAtablecondensed"/>
              <w:rPr>
                <w:color w:val="auto"/>
              </w:rPr>
            </w:pPr>
            <w:r w:rsidRPr="00492D1A">
              <w:rPr>
                <w:color w:val="auto"/>
              </w:rPr>
              <w:t>6</w:t>
            </w:r>
          </w:p>
        </w:tc>
        <w:tc>
          <w:tcPr>
            <w:tcW w:w="576" w:type="dxa"/>
            <w:vAlign w:val="bottom"/>
          </w:tcPr>
          <w:p w14:paraId="7229B178" w14:textId="77777777" w:rsidR="00BD2FEB" w:rsidRPr="00492D1A" w:rsidRDefault="00BD2FEB" w:rsidP="00C76316">
            <w:pPr>
              <w:pStyle w:val="VCAAtablecondensed"/>
              <w:rPr>
                <w:color w:val="auto"/>
              </w:rPr>
            </w:pPr>
            <w:r w:rsidRPr="00492D1A">
              <w:rPr>
                <w:color w:val="auto"/>
              </w:rPr>
              <w:t>14</w:t>
            </w:r>
          </w:p>
        </w:tc>
        <w:tc>
          <w:tcPr>
            <w:tcW w:w="576" w:type="dxa"/>
            <w:vAlign w:val="bottom"/>
          </w:tcPr>
          <w:p w14:paraId="448A3697" w14:textId="77777777" w:rsidR="00BD2FEB" w:rsidRPr="00492D1A" w:rsidRDefault="00BD2FEB" w:rsidP="00C76316">
            <w:pPr>
              <w:pStyle w:val="VCAAtablecondensed"/>
              <w:rPr>
                <w:color w:val="auto"/>
              </w:rPr>
            </w:pPr>
            <w:r w:rsidRPr="00492D1A">
              <w:rPr>
                <w:color w:val="auto"/>
              </w:rPr>
              <w:t>34</w:t>
            </w:r>
          </w:p>
        </w:tc>
        <w:tc>
          <w:tcPr>
            <w:tcW w:w="576" w:type="dxa"/>
            <w:vAlign w:val="bottom"/>
          </w:tcPr>
          <w:p w14:paraId="055D0B36" w14:textId="77777777" w:rsidR="00BD2FEB" w:rsidRPr="00492D1A" w:rsidRDefault="00BD2FEB" w:rsidP="00C76316">
            <w:pPr>
              <w:pStyle w:val="VCAAtablecondensed"/>
              <w:rPr>
                <w:color w:val="auto"/>
              </w:rPr>
            </w:pPr>
            <w:r w:rsidRPr="00492D1A">
              <w:rPr>
                <w:color w:val="auto"/>
              </w:rPr>
              <w:t>46</w:t>
            </w:r>
          </w:p>
        </w:tc>
        <w:tc>
          <w:tcPr>
            <w:tcW w:w="1008" w:type="dxa"/>
          </w:tcPr>
          <w:p w14:paraId="5D83CD9D" w14:textId="77777777" w:rsidR="00BD2FEB" w:rsidRPr="00492D1A" w:rsidRDefault="00BD2FEB" w:rsidP="00C76316">
            <w:pPr>
              <w:pStyle w:val="VCAAtablecondensed"/>
              <w:rPr>
                <w:color w:val="auto"/>
              </w:rPr>
            </w:pPr>
            <w:r w:rsidRPr="00492D1A">
              <w:rPr>
                <w:color w:val="auto"/>
              </w:rPr>
              <w:t>2.2</w:t>
            </w:r>
          </w:p>
        </w:tc>
      </w:tr>
    </w:tbl>
    <w:p w14:paraId="65FCF398" w14:textId="77777777" w:rsidR="00BD2FEB" w:rsidRPr="00492D1A" w:rsidRDefault="00BD2FEB" w:rsidP="00632752">
      <w:pPr>
        <w:pStyle w:val="BodyText"/>
      </w:pPr>
      <w:r w:rsidRPr="00492D1A">
        <w:t>Students were required to explain how severe climate conditions may impact the achievement of low and stable inflation, with reference to cost inflation. It was handled well by most students.</w:t>
      </w:r>
    </w:p>
    <w:p w14:paraId="3419EC55" w14:textId="77777777" w:rsidR="00BD2FEB" w:rsidRPr="00492D1A" w:rsidRDefault="00BD2FEB" w:rsidP="00632752">
      <w:pPr>
        <w:pStyle w:val="BodyText"/>
      </w:pPr>
      <w:r w:rsidRPr="00492D1A">
        <w:t xml:space="preserve">High-scoring responses: </w:t>
      </w:r>
    </w:p>
    <w:p w14:paraId="618C3D36" w14:textId="77777777" w:rsidR="00BD2FEB" w:rsidRPr="00492D1A" w:rsidRDefault="00BD2FEB" w:rsidP="00BD2FEB">
      <w:pPr>
        <w:pStyle w:val="Bullet"/>
        <w:ind w:left="426" w:hanging="426"/>
      </w:pPr>
      <w:r w:rsidRPr="00492D1A">
        <w:t>demonstrated an understanding of how adverse climatic events negatively affect suppliers</w:t>
      </w:r>
    </w:p>
    <w:p w14:paraId="5C1533A1" w14:textId="77777777" w:rsidR="00BD2FEB" w:rsidRPr="00492D1A" w:rsidRDefault="00BD2FEB" w:rsidP="00632752">
      <w:pPr>
        <w:pStyle w:val="Indent"/>
      </w:pPr>
      <w:r w:rsidRPr="00492D1A">
        <w:t xml:space="preserve">Stronger responses highlighted how adverse climatic events would impact suppliers, for example, via bottlenecks in supply chains, damage to crops or livestock, or the reduced productivity of the factors of production. </w:t>
      </w:r>
    </w:p>
    <w:p w14:paraId="346AA0B9" w14:textId="77777777" w:rsidR="00BD2FEB" w:rsidRPr="00492D1A" w:rsidRDefault="00BD2FEB" w:rsidP="00BD2FEB">
      <w:pPr>
        <w:pStyle w:val="Bullet"/>
        <w:ind w:left="426" w:hanging="426"/>
      </w:pPr>
      <w:r w:rsidRPr="00492D1A">
        <w:t xml:space="preserve">demonstrated an understanding of cost inflation </w:t>
      </w:r>
    </w:p>
    <w:p w14:paraId="79A4AEFF" w14:textId="77777777" w:rsidR="00BD2FEB" w:rsidRPr="00492D1A" w:rsidRDefault="00BD2FEB" w:rsidP="00632752">
      <w:pPr>
        <w:pStyle w:val="Indent"/>
      </w:pPr>
      <w:r w:rsidRPr="00492D1A">
        <w:t>Students are reminded that cost inflation is a macroeconomic concept. When referring to cost inflation, it is important to focus on how adverse weather conditions increase the costs of production for firms/industries across the economy. That is, firms/industries are forced to raise prices to protect profit margins and/or are less willing and able to supply goods and services because of poor supply conditions. Either way, upward pressure is exerted on the general price level.</w:t>
      </w:r>
    </w:p>
    <w:p w14:paraId="3DDA6C04" w14:textId="77777777" w:rsidR="00BD2FEB" w:rsidRPr="00492D1A" w:rsidRDefault="00BD2FEB" w:rsidP="00BD2FEB">
      <w:pPr>
        <w:pStyle w:val="Bullet"/>
        <w:ind w:left="426" w:hanging="426"/>
      </w:pPr>
      <w:r w:rsidRPr="00492D1A">
        <w:t>demonstrated an understanding of the negative impacts on the achievement of low and stable inflation</w:t>
      </w:r>
    </w:p>
    <w:p w14:paraId="7F6EA732" w14:textId="77777777" w:rsidR="00BD2FEB" w:rsidRPr="00492D1A" w:rsidRDefault="00BD2FEB" w:rsidP="00632752">
      <w:pPr>
        <w:pStyle w:val="Indent"/>
      </w:pPr>
      <w:r w:rsidRPr="00492D1A">
        <w:t xml:space="preserve">Stronger responses clearly linked higher production costs and/or decreased levels of aggregate supply (AS) to an upward pressure on prices, making the achievement of low and stable inflation less likely. </w:t>
      </w:r>
    </w:p>
    <w:p w14:paraId="53112FE2" w14:textId="77777777" w:rsidR="00BD2FEB" w:rsidRPr="00492D1A" w:rsidRDefault="00BD2FEB" w:rsidP="00632752">
      <w:pPr>
        <w:pStyle w:val="BodyText"/>
      </w:pPr>
      <w:r w:rsidRPr="00492D1A">
        <w:t xml:space="preserve">Common misconceptions included: </w:t>
      </w:r>
    </w:p>
    <w:p w14:paraId="5566E1B8" w14:textId="77777777" w:rsidR="00BD2FEB" w:rsidRPr="00492D1A" w:rsidRDefault="00BD2FEB" w:rsidP="00BD2FEB">
      <w:pPr>
        <w:pStyle w:val="Bullet"/>
        <w:ind w:left="426" w:hanging="426"/>
      </w:pPr>
      <w:r w:rsidRPr="00492D1A">
        <w:t>not adequately demonstrating the link between adverse weather conditions and AS</w:t>
      </w:r>
    </w:p>
    <w:p w14:paraId="66EE29E8" w14:textId="77777777" w:rsidR="00BD2FEB" w:rsidRPr="00492D1A" w:rsidRDefault="00BD2FEB" w:rsidP="00632752">
      <w:pPr>
        <w:pStyle w:val="Indent"/>
      </w:pPr>
      <w:r w:rsidRPr="00492D1A">
        <w:t>Many students did not demonstrate a clear link between adverse weather conditions, the willingness and ability to firms to supply goods and services, and the level of AS.</w:t>
      </w:r>
    </w:p>
    <w:p w14:paraId="59CA8FDB" w14:textId="77777777" w:rsidR="00BD2FEB" w:rsidRPr="00492D1A" w:rsidRDefault="00BD2FEB" w:rsidP="00632752">
      <w:pPr>
        <w:pStyle w:val="BodyText"/>
      </w:pPr>
      <w:r w:rsidRPr="00492D1A">
        <w:t>The following is an example of a high-scoring response:</w:t>
      </w:r>
    </w:p>
    <w:p w14:paraId="4AFDB7F3" w14:textId="77777777" w:rsidR="00BD2FEB" w:rsidRPr="00492D1A" w:rsidRDefault="00BD2FEB" w:rsidP="00632752">
      <w:pPr>
        <w:pStyle w:val="Studentsample"/>
      </w:pPr>
      <w:r w:rsidRPr="00492D1A">
        <w:t xml:space="preserve">The goal of low and stable inflation (L&amp;SI) is to achieve a rise in the general price level of 2–3% per year on average over time as measured by changes in the CPI. The cyclones and floods would have destroyed and damaged land and capital resources. Thus, the quality and quantity of factors of production fall. Thus, as the quality of these resources fall, per unit production costs rise. Thus, firms’ overall costs of production rise, making firms less willing and able to produce, decreasing aggregate supply. Firms pass on higher costs of production as higher prices to consumers to maintain profit margins, increasing cost inflationary pressures given inflation has been high, with underlying inflation still on the upper end of the goal at 2.7%, despite headline being at 2.1%, this is highly likely to have put upwards pressure on the inflation rate, making it harder for Australia to lower inflation to within the goal, hindering the achievement of L&amp;SI. </w:t>
      </w:r>
    </w:p>
    <w:p w14:paraId="62683B4F" w14:textId="77777777" w:rsidR="00632752" w:rsidRDefault="00632752">
      <w:pPr>
        <w:spacing w:line="276" w:lineRule="auto"/>
        <w:rPr>
          <w:rFonts w:ascii="Arial" w:hAnsi="Arial" w:cs="Arial"/>
          <w:color w:val="0F7EB4"/>
          <w:sz w:val="40"/>
          <w:szCs w:val="28"/>
          <w:lang w:val="en-AU"/>
        </w:rPr>
      </w:pPr>
      <w:r>
        <w:br w:type="page"/>
      </w:r>
    </w:p>
    <w:p w14:paraId="2B7B062A" w14:textId="51DE90DC" w:rsidR="00BD2FEB" w:rsidRDefault="00BD2FEB" w:rsidP="00BD2FEB">
      <w:pPr>
        <w:pStyle w:val="Heading2"/>
      </w:pPr>
      <w:r w:rsidRPr="00E728AB">
        <w:lastRenderedPageBreak/>
        <w:t xml:space="preserve">Question 3d. </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576"/>
        <w:gridCol w:w="576"/>
        <w:gridCol w:w="1008"/>
      </w:tblGrid>
      <w:tr w:rsidR="00BD2FEB" w:rsidRPr="00DF24F6" w14:paraId="5FB41F3A" w14:textId="77777777" w:rsidTr="00C76316">
        <w:trPr>
          <w:cnfStyle w:val="100000000000" w:firstRow="1" w:lastRow="0" w:firstColumn="0" w:lastColumn="0" w:oddVBand="0" w:evenVBand="0" w:oddHBand="0" w:evenHBand="0" w:firstRowFirstColumn="0" w:firstRowLastColumn="0" w:lastRowFirstColumn="0" w:lastRowLastColumn="0"/>
        </w:trPr>
        <w:tc>
          <w:tcPr>
            <w:tcW w:w="720" w:type="dxa"/>
          </w:tcPr>
          <w:p w14:paraId="29A848E9" w14:textId="77777777" w:rsidR="00BD2FEB" w:rsidRPr="00DF24F6" w:rsidRDefault="00BD2FEB" w:rsidP="00C76316">
            <w:pPr>
              <w:pStyle w:val="VCAAtablecondensedheading"/>
              <w:rPr>
                <w:lang w:val="en-AU"/>
              </w:rPr>
            </w:pPr>
            <w:r w:rsidRPr="00DF24F6">
              <w:rPr>
                <w:lang w:val="en-AU"/>
              </w:rPr>
              <w:t>Marks</w:t>
            </w:r>
          </w:p>
        </w:tc>
        <w:tc>
          <w:tcPr>
            <w:tcW w:w="576" w:type="dxa"/>
          </w:tcPr>
          <w:p w14:paraId="3801C958" w14:textId="77777777" w:rsidR="00BD2FEB" w:rsidRPr="00DF24F6" w:rsidRDefault="00BD2FEB" w:rsidP="00C76316">
            <w:pPr>
              <w:pStyle w:val="VCAAtablecondensedheading"/>
              <w:rPr>
                <w:lang w:val="en-AU"/>
              </w:rPr>
            </w:pPr>
            <w:r w:rsidRPr="00DF24F6">
              <w:rPr>
                <w:lang w:val="en-AU"/>
              </w:rPr>
              <w:t>0</w:t>
            </w:r>
          </w:p>
        </w:tc>
        <w:tc>
          <w:tcPr>
            <w:tcW w:w="576" w:type="dxa"/>
          </w:tcPr>
          <w:p w14:paraId="3795FF60" w14:textId="77777777" w:rsidR="00BD2FEB" w:rsidRPr="00DF24F6" w:rsidRDefault="00BD2FEB" w:rsidP="00C76316">
            <w:pPr>
              <w:pStyle w:val="VCAAtablecondensedheading"/>
              <w:rPr>
                <w:lang w:val="en-AU"/>
              </w:rPr>
            </w:pPr>
            <w:r w:rsidRPr="00DF24F6">
              <w:rPr>
                <w:lang w:val="en-AU"/>
              </w:rPr>
              <w:t>1</w:t>
            </w:r>
          </w:p>
        </w:tc>
        <w:tc>
          <w:tcPr>
            <w:tcW w:w="576" w:type="dxa"/>
          </w:tcPr>
          <w:p w14:paraId="1072C784" w14:textId="77777777" w:rsidR="00BD2FEB" w:rsidRPr="00DF24F6" w:rsidRDefault="00BD2FEB" w:rsidP="00C76316">
            <w:pPr>
              <w:pStyle w:val="VCAAtablecondensedheading"/>
              <w:rPr>
                <w:lang w:val="en-AU"/>
              </w:rPr>
            </w:pPr>
            <w:r w:rsidRPr="00DF24F6">
              <w:rPr>
                <w:lang w:val="en-AU"/>
              </w:rPr>
              <w:t>2</w:t>
            </w:r>
          </w:p>
        </w:tc>
        <w:tc>
          <w:tcPr>
            <w:tcW w:w="576" w:type="dxa"/>
          </w:tcPr>
          <w:p w14:paraId="1E5CCAED" w14:textId="77777777" w:rsidR="00BD2FEB" w:rsidRPr="00DF24F6" w:rsidRDefault="00BD2FEB" w:rsidP="00C76316">
            <w:pPr>
              <w:pStyle w:val="VCAAtablecondensedheading"/>
              <w:rPr>
                <w:lang w:val="en-AU"/>
              </w:rPr>
            </w:pPr>
            <w:r w:rsidRPr="00DF24F6">
              <w:rPr>
                <w:lang w:val="en-AU"/>
              </w:rPr>
              <w:t>3</w:t>
            </w:r>
          </w:p>
        </w:tc>
        <w:tc>
          <w:tcPr>
            <w:tcW w:w="576" w:type="dxa"/>
          </w:tcPr>
          <w:p w14:paraId="68E1B3DF" w14:textId="77777777" w:rsidR="00BD2FEB" w:rsidRPr="00DF24F6" w:rsidRDefault="00BD2FEB" w:rsidP="00C76316">
            <w:pPr>
              <w:pStyle w:val="VCAAtablecondensedheading"/>
              <w:rPr>
                <w:lang w:val="en-AU"/>
              </w:rPr>
            </w:pPr>
            <w:r w:rsidRPr="00DF24F6">
              <w:rPr>
                <w:lang w:val="en-AU"/>
              </w:rPr>
              <w:t>4</w:t>
            </w:r>
          </w:p>
        </w:tc>
        <w:tc>
          <w:tcPr>
            <w:tcW w:w="576" w:type="dxa"/>
          </w:tcPr>
          <w:p w14:paraId="35BE60AF" w14:textId="77777777" w:rsidR="00BD2FEB" w:rsidRPr="00DF24F6" w:rsidRDefault="00BD2FEB" w:rsidP="00C76316">
            <w:pPr>
              <w:pStyle w:val="VCAAtablecondensedheading"/>
              <w:rPr>
                <w:lang w:val="en-AU"/>
              </w:rPr>
            </w:pPr>
            <w:r w:rsidRPr="00DF24F6">
              <w:rPr>
                <w:lang w:val="en-AU"/>
              </w:rPr>
              <w:t>5</w:t>
            </w:r>
          </w:p>
        </w:tc>
        <w:tc>
          <w:tcPr>
            <w:tcW w:w="576" w:type="dxa"/>
          </w:tcPr>
          <w:p w14:paraId="638FD7EA" w14:textId="77777777" w:rsidR="00BD2FEB" w:rsidRPr="00DF24F6" w:rsidRDefault="00BD2FEB" w:rsidP="00C76316">
            <w:pPr>
              <w:pStyle w:val="VCAAtablecondensedheading"/>
              <w:rPr>
                <w:lang w:val="en-AU"/>
              </w:rPr>
            </w:pPr>
            <w:r w:rsidRPr="00DF24F6">
              <w:rPr>
                <w:lang w:val="en-AU"/>
              </w:rPr>
              <w:t>6</w:t>
            </w:r>
          </w:p>
        </w:tc>
        <w:tc>
          <w:tcPr>
            <w:tcW w:w="1008" w:type="dxa"/>
          </w:tcPr>
          <w:p w14:paraId="205B0AA5" w14:textId="77777777" w:rsidR="00BD2FEB" w:rsidRPr="00DF24F6" w:rsidRDefault="00BD2FEB" w:rsidP="00C76316">
            <w:pPr>
              <w:pStyle w:val="VCAAtablecondensedheading"/>
              <w:rPr>
                <w:lang w:val="en-AU"/>
              </w:rPr>
            </w:pPr>
            <w:r w:rsidRPr="00DF24F6">
              <w:rPr>
                <w:lang w:val="en-AU"/>
              </w:rPr>
              <w:t>Average</w:t>
            </w:r>
          </w:p>
        </w:tc>
      </w:tr>
      <w:tr w:rsidR="00BD2FEB" w:rsidRPr="00492D1A" w14:paraId="7C004AD5" w14:textId="77777777" w:rsidTr="00C76316">
        <w:tc>
          <w:tcPr>
            <w:tcW w:w="720" w:type="dxa"/>
          </w:tcPr>
          <w:p w14:paraId="1C1ED242" w14:textId="77777777" w:rsidR="00BD2FEB" w:rsidRPr="00492D1A" w:rsidRDefault="00BD2FEB" w:rsidP="00C76316">
            <w:pPr>
              <w:pStyle w:val="VCAAtablecondensed"/>
              <w:rPr>
                <w:color w:val="auto"/>
              </w:rPr>
            </w:pPr>
            <w:r w:rsidRPr="00492D1A">
              <w:rPr>
                <w:color w:val="auto"/>
              </w:rPr>
              <w:t>%</w:t>
            </w:r>
          </w:p>
        </w:tc>
        <w:tc>
          <w:tcPr>
            <w:tcW w:w="576" w:type="dxa"/>
            <w:vAlign w:val="bottom"/>
          </w:tcPr>
          <w:p w14:paraId="6574EDD0" w14:textId="77777777" w:rsidR="00BD2FEB" w:rsidRPr="00492D1A" w:rsidRDefault="00BD2FEB" w:rsidP="00C76316">
            <w:pPr>
              <w:pStyle w:val="VCAAtablecondensed"/>
              <w:rPr>
                <w:color w:val="auto"/>
              </w:rPr>
            </w:pPr>
            <w:r w:rsidRPr="00492D1A">
              <w:rPr>
                <w:color w:val="auto"/>
              </w:rPr>
              <w:t>7</w:t>
            </w:r>
          </w:p>
        </w:tc>
        <w:tc>
          <w:tcPr>
            <w:tcW w:w="576" w:type="dxa"/>
            <w:vAlign w:val="bottom"/>
          </w:tcPr>
          <w:p w14:paraId="51D43B79" w14:textId="77777777" w:rsidR="00BD2FEB" w:rsidRPr="00492D1A" w:rsidRDefault="00BD2FEB" w:rsidP="00C76316">
            <w:pPr>
              <w:pStyle w:val="VCAAtablecondensed"/>
              <w:rPr>
                <w:color w:val="auto"/>
              </w:rPr>
            </w:pPr>
            <w:r w:rsidRPr="00492D1A">
              <w:rPr>
                <w:color w:val="auto"/>
              </w:rPr>
              <w:t>9</w:t>
            </w:r>
          </w:p>
        </w:tc>
        <w:tc>
          <w:tcPr>
            <w:tcW w:w="576" w:type="dxa"/>
            <w:vAlign w:val="bottom"/>
          </w:tcPr>
          <w:p w14:paraId="55FA74E9" w14:textId="77777777" w:rsidR="00BD2FEB" w:rsidRPr="00492D1A" w:rsidRDefault="00BD2FEB" w:rsidP="00C76316">
            <w:pPr>
              <w:pStyle w:val="VCAAtablecondensed"/>
              <w:rPr>
                <w:color w:val="auto"/>
              </w:rPr>
            </w:pPr>
            <w:r w:rsidRPr="00492D1A">
              <w:rPr>
                <w:color w:val="auto"/>
              </w:rPr>
              <w:t>15</w:t>
            </w:r>
          </w:p>
        </w:tc>
        <w:tc>
          <w:tcPr>
            <w:tcW w:w="576" w:type="dxa"/>
          </w:tcPr>
          <w:p w14:paraId="0463F454" w14:textId="77777777" w:rsidR="00BD2FEB" w:rsidRPr="00492D1A" w:rsidRDefault="00BD2FEB" w:rsidP="00C76316">
            <w:pPr>
              <w:pStyle w:val="VCAAtablecondensed"/>
              <w:rPr>
                <w:color w:val="auto"/>
              </w:rPr>
            </w:pPr>
            <w:r w:rsidRPr="00492D1A">
              <w:rPr>
                <w:color w:val="auto"/>
              </w:rPr>
              <w:t>22</w:t>
            </w:r>
          </w:p>
        </w:tc>
        <w:tc>
          <w:tcPr>
            <w:tcW w:w="576" w:type="dxa"/>
          </w:tcPr>
          <w:p w14:paraId="09A0DA4A" w14:textId="77777777" w:rsidR="00BD2FEB" w:rsidRPr="00492D1A" w:rsidRDefault="00BD2FEB" w:rsidP="00C76316">
            <w:pPr>
              <w:pStyle w:val="VCAAtablecondensed"/>
              <w:rPr>
                <w:color w:val="auto"/>
              </w:rPr>
            </w:pPr>
            <w:r w:rsidRPr="00492D1A">
              <w:rPr>
                <w:color w:val="auto"/>
              </w:rPr>
              <w:t>22</w:t>
            </w:r>
          </w:p>
        </w:tc>
        <w:tc>
          <w:tcPr>
            <w:tcW w:w="576" w:type="dxa"/>
          </w:tcPr>
          <w:p w14:paraId="7AE2FCF4" w14:textId="77777777" w:rsidR="00BD2FEB" w:rsidRPr="00492D1A" w:rsidRDefault="00BD2FEB" w:rsidP="00C76316">
            <w:pPr>
              <w:pStyle w:val="VCAAtablecondensed"/>
              <w:rPr>
                <w:color w:val="auto"/>
              </w:rPr>
            </w:pPr>
            <w:r w:rsidRPr="00492D1A">
              <w:rPr>
                <w:color w:val="auto"/>
              </w:rPr>
              <w:t>14</w:t>
            </w:r>
          </w:p>
        </w:tc>
        <w:tc>
          <w:tcPr>
            <w:tcW w:w="576" w:type="dxa"/>
            <w:vAlign w:val="bottom"/>
          </w:tcPr>
          <w:p w14:paraId="710F260E" w14:textId="77777777" w:rsidR="00BD2FEB" w:rsidRPr="00492D1A" w:rsidRDefault="00BD2FEB" w:rsidP="00C76316">
            <w:pPr>
              <w:pStyle w:val="VCAAtablecondensed"/>
              <w:rPr>
                <w:color w:val="auto"/>
              </w:rPr>
            </w:pPr>
            <w:r w:rsidRPr="00492D1A">
              <w:rPr>
                <w:color w:val="auto"/>
              </w:rPr>
              <w:t>11</w:t>
            </w:r>
          </w:p>
        </w:tc>
        <w:tc>
          <w:tcPr>
            <w:tcW w:w="1008" w:type="dxa"/>
          </w:tcPr>
          <w:p w14:paraId="6D33EC62" w14:textId="77777777" w:rsidR="00BD2FEB" w:rsidRPr="00492D1A" w:rsidRDefault="00BD2FEB" w:rsidP="00C76316">
            <w:pPr>
              <w:pStyle w:val="VCAAtablecondensed"/>
              <w:rPr>
                <w:color w:val="auto"/>
              </w:rPr>
            </w:pPr>
            <w:r w:rsidRPr="00492D1A">
              <w:rPr>
                <w:color w:val="auto"/>
              </w:rPr>
              <w:t>3.3</w:t>
            </w:r>
          </w:p>
        </w:tc>
      </w:tr>
    </w:tbl>
    <w:p w14:paraId="58CB96D6" w14:textId="77777777" w:rsidR="00BD2FEB" w:rsidRPr="00492D1A" w:rsidRDefault="00BD2FEB" w:rsidP="00632752">
      <w:pPr>
        <w:pStyle w:val="BodyText"/>
      </w:pPr>
      <w:r w:rsidRPr="00492D1A">
        <w:t xml:space="preserve">Students were required to apply current macroeconomic data to evaluate whether Australia has achieved full employment over the past 2 years and to explain the resulting effects on living standards. Most struggled do all these things properly and achieve full marks. </w:t>
      </w:r>
    </w:p>
    <w:p w14:paraId="15668070" w14:textId="77777777" w:rsidR="00BD2FEB" w:rsidRPr="00492D1A" w:rsidRDefault="00BD2FEB" w:rsidP="00632752">
      <w:pPr>
        <w:pStyle w:val="BodyText"/>
      </w:pPr>
      <w:r w:rsidRPr="00492D1A">
        <w:t xml:space="preserve">High-scoring responses: </w:t>
      </w:r>
    </w:p>
    <w:p w14:paraId="185A035C" w14:textId="77777777" w:rsidR="00BD2FEB" w:rsidRPr="00492D1A" w:rsidRDefault="00BD2FEB" w:rsidP="00BD2FEB">
      <w:pPr>
        <w:pStyle w:val="Bullet"/>
        <w:ind w:left="426" w:hanging="426"/>
      </w:pPr>
      <w:r w:rsidRPr="00492D1A">
        <w:t>demonstrated an understanding of the macroeconomic goal of full employment</w:t>
      </w:r>
    </w:p>
    <w:p w14:paraId="503F9C84" w14:textId="77777777" w:rsidR="00BD2FEB" w:rsidRPr="00492D1A" w:rsidRDefault="00BD2FEB" w:rsidP="00BD2FEB">
      <w:pPr>
        <w:pStyle w:val="Bullet"/>
        <w:ind w:left="426" w:hanging="426"/>
      </w:pPr>
      <w:r w:rsidRPr="00492D1A">
        <w:t xml:space="preserve">used statistics to show an understanding of the movement in the unemployment rate over the past 2 years </w:t>
      </w:r>
    </w:p>
    <w:p w14:paraId="3364415B" w14:textId="77777777" w:rsidR="00BD2FEB" w:rsidRPr="00492D1A" w:rsidRDefault="00BD2FEB" w:rsidP="00BD2FEB">
      <w:pPr>
        <w:pStyle w:val="Bullet"/>
        <w:ind w:left="426" w:hanging="426"/>
      </w:pPr>
      <w:r w:rsidRPr="00492D1A">
        <w:t>made a clear argument for why the goal was or was not achieved and explained the impact on living standards.</w:t>
      </w:r>
    </w:p>
    <w:p w14:paraId="282C0BE3" w14:textId="77777777" w:rsidR="00BD2FEB" w:rsidRPr="00492D1A" w:rsidRDefault="00BD2FEB" w:rsidP="00632752">
      <w:pPr>
        <w:pStyle w:val="BodyText"/>
        <w:rPr>
          <w:b/>
          <w:bCs/>
        </w:rPr>
      </w:pPr>
      <w:r w:rsidRPr="00492D1A">
        <w:t xml:space="preserve">The strongest arguments that the goal </w:t>
      </w:r>
      <w:r w:rsidRPr="00492D1A">
        <w:rPr>
          <w:rStyle w:val="EmphasisBold"/>
        </w:rPr>
        <w:t xml:space="preserve">was not </w:t>
      </w:r>
      <w:r w:rsidRPr="00492D1A">
        <w:t>achieved:</w:t>
      </w:r>
      <w:r w:rsidRPr="00492D1A">
        <w:rPr>
          <w:b/>
          <w:bCs/>
        </w:rPr>
        <w:t xml:space="preserve"> </w:t>
      </w:r>
    </w:p>
    <w:p w14:paraId="3CD0D669" w14:textId="77777777" w:rsidR="00BD2FEB" w:rsidRPr="00492D1A" w:rsidRDefault="00BD2FEB" w:rsidP="00BD2FEB">
      <w:pPr>
        <w:pStyle w:val="Bullet"/>
        <w:ind w:left="426" w:hanging="426"/>
      </w:pPr>
      <w:r w:rsidRPr="00492D1A">
        <w:t xml:space="preserve">demonstrated an understanding of the nuance of the goal of full employment, for example, unemployment below target is good in one sense in that people have jobs but it may create inflationary pressures that reduce purchasing power and therefore reduce living standards </w:t>
      </w:r>
    </w:p>
    <w:p w14:paraId="32BE56E8" w14:textId="77777777" w:rsidR="00BD2FEB" w:rsidRPr="00492D1A" w:rsidRDefault="00BD2FEB" w:rsidP="00BD2FEB">
      <w:pPr>
        <w:pStyle w:val="Bullet"/>
        <w:ind w:left="426" w:hanging="426"/>
      </w:pPr>
      <w:r w:rsidRPr="00492D1A">
        <w:t xml:space="preserve">highlighted that unemployment has not been ‘inclusive’ as per Treasury’s definition of full employment </w:t>
      </w:r>
    </w:p>
    <w:p w14:paraId="4B18D72D" w14:textId="77777777" w:rsidR="00BD2FEB" w:rsidRPr="00492D1A" w:rsidRDefault="00BD2FEB" w:rsidP="00BD2FEB">
      <w:pPr>
        <w:pStyle w:val="Bullet"/>
        <w:ind w:left="426" w:hanging="426"/>
      </w:pPr>
      <w:r w:rsidRPr="00492D1A">
        <w:t xml:space="preserve">drew attention to underutilisation, underemployment or spare capacity in the labour market, arguing that the unemployment rate alone may mask some labour market weakness. </w:t>
      </w:r>
    </w:p>
    <w:p w14:paraId="1303AB79" w14:textId="77777777" w:rsidR="00BD2FEB" w:rsidRPr="00492D1A" w:rsidRDefault="00BD2FEB" w:rsidP="00632752">
      <w:pPr>
        <w:pStyle w:val="BodyText"/>
      </w:pPr>
      <w:r w:rsidRPr="00492D1A">
        <w:t xml:space="preserve">The strongest arguments that the goal </w:t>
      </w:r>
      <w:r w:rsidRPr="00492D1A">
        <w:rPr>
          <w:rStyle w:val="EmphasisBold"/>
        </w:rPr>
        <w:t xml:space="preserve">was </w:t>
      </w:r>
      <w:r w:rsidRPr="00492D1A">
        <w:t xml:space="preserve">achieved: </w:t>
      </w:r>
    </w:p>
    <w:p w14:paraId="0ED5F76F" w14:textId="77777777" w:rsidR="00BD2FEB" w:rsidRPr="00492D1A" w:rsidRDefault="00BD2FEB" w:rsidP="00BD2FEB">
      <w:pPr>
        <w:pStyle w:val="Bullet"/>
        <w:ind w:left="426" w:hanging="426"/>
      </w:pPr>
      <w:r w:rsidRPr="00492D1A">
        <w:t>stated that unemployment has increased over 2025 and as of September 2025 it was at 4.5 per cent. Thus, it was around the Non-Accelerating Inflation Rate of Unemployment (NAIRU) of 4.25 per cent (+/- 0.25 per cent) or the broader 4 to 4.5 per cent range. This suggested the goal of full employment was being achieved, particularly given that inflation had moved closer to and/or was in the target range.</w:t>
      </w:r>
    </w:p>
    <w:p w14:paraId="418212D3" w14:textId="77777777" w:rsidR="00BD2FEB" w:rsidRPr="00492D1A" w:rsidRDefault="00BD2FEB" w:rsidP="00BD2FEB">
      <w:pPr>
        <w:pStyle w:val="Bullet"/>
        <w:ind w:left="426" w:hanging="426"/>
      </w:pPr>
      <w:r w:rsidRPr="00492D1A">
        <w:t xml:space="preserve">explained that the Australian economy has been able to absorb many of the new entrants (reflected in a stronger labour force participation rate) into the labour market. That is, despite the modest increase in the unemployment rate, labour market conditions are still viewed as strong by the Reserve Bank of Australia (RBA) </w:t>
      </w:r>
    </w:p>
    <w:p w14:paraId="3618F6A7" w14:textId="77777777" w:rsidR="00BD2FEB" w:rsidRPr="00492D1A" w:rsidRDefault="00BD2FEB" w:rsidP="00BD2FEB">
      <w:pPr>
        <w:pStyle w:val="Bullet"/>
        <w:ind w:left="426" w:hanging="426"/>
      </w:pPr>
      <w:r w:rsidRPr="00492D1A">
        <w:t>noted that inflation has trended downwards towards target over the past 2 years, indicating that the economy was likely to be operating near the NAIRU, consistent with full employment.</w:t>
      </w:r>
    </w:p>
    <w:p w14:paraId="76BB41E0" w14:textId="77777777" w:rsidR="00BD2FEB" w:rsidRPr="00492D1A" w:rsidRDefault="00BD2FEB" w:rsidP="00632752">
      <w:pPr>
        <w:pStyle w:val="BodyText"/>
      </w:pPr>
      <w:r w:rsidRPr="00492D1A">
        <w:t xml:space="preserve">Common misconceptions included: </w:t>
      </w:r>
    </w:p>
    <w:p w14:paraId="08DB2D15" w14:textId="77777777" w:rsidR="00BD2FEB" w:rsidRPr="00492D1A" w:rsidRDefault="00BD2FEB" w:rsidP="00BD2FEB">
      <w:pPr>
        <w:pStyle w:val="Bullet"/>
        <w:ind w:left="426" w:hanging="426"/>
      </w:pPr>
      <w:r w:rsidRPr="00492D1A">
        <w:t xml:space="preserve">not understanding the goal of full employment </w:t>
      </w:r>
    </w:p>
    <w:p w14:paraId="5B5D3819" w14:textId="77777777" w:rsidR="00BD2FEB" w:rsidRPr="00492D1A" w:rsidRDefault="00BD2FEB" w:rsidP="00632752">
      <w:pPr>
        <w:pStyle w:val="Indent"/>
      </w:pPr>
      <w:r w:rsidRPr="00492D1A">
        <w:t>Many students argued that because unemployment was within the NAIRU range (around 4 to 4.5 per cent) full employment must have been achieved and that because it fell below this range in 2023, it had not been achieved. This reflects an incomplete understanding of both the goal of full employment and the role of the NAIRU. Unemployment below 4 per cent is only concerning to the extent that it generates excessive wages’ growth, skills shortages and inflationary pressure. To this end, some students made a good argument that an unemployment rate in the mid- to high-3s during 2023 contributed to the unacceptably high inflation rate as measured by the Consumer Price Index (CPI), resulting in the goal not being achieved in the sense that the unemployment rate was incompatible with the goal of low inflation at this time. That is, overachieving full employment caused unacceptable inflationary pressures.</w:t>
      </w:r>
    </w:p>
    <w:p w14:paraId="223DFD23" w14:textId="77777777" w:rsidR="00BD2FEB" w:rsidRPr="00492D1A" w:rsidRDefault="00BD2FEB" w:rsidP="00632752">
      <w:pPr>
        <w:pStyle w:val="Indent"/>
      </w:pPr>
      <w:r w:rsidRPr="00492D1A">
        <w:t xml:space="preserve">Additionally, many students did not explain why unemployment above or below NAIRU could be considered positive or negative. Students should have referred to the consequences of not achieving </w:t>
      </w:r>
      <w:r w:rsidRPr="00492D1A">
        <w:lastRenderedPageBreak/>
        <w:t xml:space="preserve">full employment, covered in </w:t>
      </w:r>
      <w:r w:rsidRPr="00D14E53">
        <w:t>Unit 3</w:t>
      </w:r>
      <w:r w:rsidRPr="00492D1A">
        <w:t>,</w:t>
      </w:r>
      <w:r w:rsidRPr="00D14E53">
        <w:t xml:space="preserve"> A</w:t>
      </w:r>
      <w:r w:rsidRPr="00492D1A">
        <w:t xml:space="preserve">rea of </w:t>
      </w:r>
      <w:r w:rsidRPr="00D14E53">
        <w:t>S</w:t>
      </w:r>
      <w:r w:rsidRPr="00492D1A">
        <w:t xml:space="preserve">tudy 2, to strengthen their understanding of this relationship. </w:t>
      </w:r>
    </w:p>
    <w:p w14:paraId="3F24EA54" w14:textId="77777777" w:rsidR="00BD2FEB" w:rsidRPr="00492D1A" w:rsidRDefault="00BD2FEB" w:rsidP="00632752">
      <w:pPr>
        <w:pStyle w:val="BodyText"/>
      </w:pPr>
      <w:r w:rsidRPr="00492D1A">
        <w:t>The following is an example of a high-scoring response:</w:t>
      </w:r>
    </w:p>
    <w:p w14:paraId="063E5E5A" w14:textId="77777777" w:rsidR="00BD2FEB" w:rsidRPr="00492D1A" w:rsidRDefault="00BD2FEB" w:rsidP="00632752">
      <w:pPr>
        <w:pStyle w:val="Studentsample"/>
      </w:pPr>
      <w:r w:rsidRPr="00492D1A">
        <w:t xml:space="preserve">The goal of Full Employment (FE) is to achieve the level of unemployment where cyclical unemployment is eliminated, and the unemployment rate is as low as possible without falling below the non-accelerating inflation rate of unemployment (NAIRU), estimated to be 4–4.5%. The unemployment rate has risen from 3.6% in March 2023 to 4.5% in September 2025. Over the last 2 years, Australia has managed to increase unemployment from below NAIRU estimates in 2023 to within the NAIRU range in 2024 and 2025, indicating Australia has achieved the goal. However, in 2023 unemployment remained below NAIRU. Furthermore, the fact that wages growth has been slow indicates that Australia may </w:t>
      </w:r>
      <w:proofErr w:type="gramStart"/>
      <w:r w:rsidRPr="00492D1A">
        <w:t>actually be</w:t>
      </w:r>
      <w:proofErr w:type="gramEnd"/>
      <w:r w:rsidRPr="00492D1A">
        <w:t xml:space="preserve"> operating above NAIRU, despite being within the estimated range. Ultimately, Australia failed to achieve FE in 2023 with unemployment being too low, and inflation being too high reflecting this at 7%. However, Australia has maintained unemployment within NAIRU for 2024 and 2025, and thus, Australia is currently achieving the goal of FE. However, Australia must be careful with unemployment expected to continue rising. As FE is being achieved, this indicated a good level of employment </w:t>
      </w:r>
      <w:proofErr w:type="gramStart"/>
      <w:r w:rsidRPr="00492D1A">
        <w:t>and also</w:t>
      </w:r>
      <w:proofErr w:type="gramEnd"/>
      <w:r w:rsidRPr="00492D1A">
        <w:t xml:space="preserve"> negates the consequences of loss of GDP, tax revenue or excessive inflation. Thus, given employment is sufficient, and the minimum wage is greater than welfare benefits, average disposable incomes are high, improving access to goods and services (material living standards). Furthermore, less people are prone to the stigma of being unemployed, improving quality of life and non-material living standards. </w:t>
      </w:r>
    </w:p>
    <w:p w14:paraId="7742BC7A" w14:textId="77777777" w:rsidR="00BD2FEB" w:rsidRPr="00E728AB" w:rsidRDefault="00BD2FEB" w:rsidP="00BD2FEB">
      <w:pPr>
        <w:pStyle w:val="Heading2"/>
      </w:pPr>
      <w:r w:rsidRPr="00E728AB">
        <w:t>Question 4a.</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BD2FEB" w:rsidRPr="00DF24F6" w14:paraId="0ABFF748" w14:textId="77777777" w:rsidTr="00C76316">
        <w:trPr>
          <w:cnfStyle w:val="100000000000" w:firstRow="1" w:lastRow="0" w:firstColumn="0" w:lastColumn="0" w:oddVBand="0" w:evenVBand="0" w:oddHBand="0" w:evenHBand="0" w:firstRowFirstColumn="0" w:firstRowLastColumn="0" w:lastRowFirstColumn="0" w:lastRowLastColumn="0"/>
        </w:trPr>
        <w:tc>
          <w:tcPr>
            <w:tcW w:w="720" w:type="dxa"/>
          </w:tcPr>
          <w:p w14:paraId="564598F1" w14:textId="77777777" w:rsidR="00BD2FEB" w:rsidRPr="00DF24F6" w:rsidRDefault="00BD2FEB" w:rsidP="00C76316">
            <w:pPr>
              <w:pStyle w:val="VCAAtablecondensedheading"/>
              <w:rPr>
                <w:lang w:val="en-AU"/>
              </w:rPr>
            </w:pPr>
            <w:r w:rsidRPr="00DF24F6">
              <w:rPr>
                <w:lang w:val="en-AU"/>
              </w:rPr>
              <w:t>Marks</w:t>
            </w:r>
          </w:p>
        </w:tc>
        <w:tc>
          <w:tcPr>
            <w:tcW w:w="576" w:type="dxa"/>
          </w:tcPr>
          <w:p w14:paraId="470942DF" w14:textId="77777777" w:rsidR="00BD2FEB" w:rsidRPr="00DF24F6" w:rsidRDefault="00BD2FEB" w:rsidP="00C76316">
            <w:pPr>
              <w:pStyle w:val="VCAAtablecondensedheading"/>
              <w:rPr>
                <w:lang w:val="en-AU"/>
              </w:rPr>
            </w:pPr>
            <w:r w:rsidRPr="00DF24F6">
              <w:rPr>
                <w:lang w:val="en-AU"/>
              </w:rPr>
              <w:t>0</w:t>
            </w:r>
          </w:p>
        </w:tc>
        <w:tc>
          <w:tcPr>
            <w:tcW w:w="576" w:type="dxa"/>
          </w:tcPr>
          <w:p w14:paraId="49573F60" w14:textId="77777777" w:rsidR="00BD2FEB" w:rsidRPr="00DF24F6" w:rsidRDefault="00BD2FEB" w:rsidP="00C76316">
            <w:pPr>
              <w:pStyle w:val="VCAAtablecondensedheading"/>
              <w:rPr>
                <w:lang w:val="en-AU"/>
              </w:rPr>
            </w:pPr>
            <w:r w:rsidRPr="00DF24F6">
              <w:rPr>
                <w:lang w:val="en-AU"/>
              </w:rPr>
              <w:t>1</w:t>
            </w:r>
          </w:p>
        </w:tc>
        <w:tc>
          <w:tcPr>
            <w:tcW w:w="576" w:type="dxa"/>
          </w:tcPr>
          <w:p w14:paraId="332721F7" w14:textId="77777777" w:rsidR="00BD2FEB" w:rsidRPr="00DF24F6" w:rsidRDefault="00BD2FEB" w:rsidP="00C76316">
            <w:pPr>
              <w:pStyle w:val="VCAAtablecondensedheading"/>
              <w:rPr>
                <w:lang w:val="en-AU"/>
              </w:rPr>
            </w:pPr>
            <w:r w:rsidRPr="00DF24F6">
              <w:rPr>
                <w:lang w:val="en-AU"/>
              </w:rPr>
              <w:t>2</w:t>
            </w:r>
          </w:p>
        </w:tc>
        <w:tc>
          <w:tcPr>
            <w:tcW w:w="1008" w:type="dxa"/>
          </w:tcPr>
          <w:p w14:paraId="7F4EBD45" w14:textId="77777777" w:rsidR="00BD2FEB" w:rsidRPr="00DF24F6" w:rsidRDefault="00BD2FEB" w:rsidP="00C76316">
            <w:pPr>
              <w:pStyle w:val="VCAAtablecondensedheading"/>
              <w:rPr>
                <w:lang w:val="en-AU"/>
              </w:rPr>
            </w:pPr>
            <w:r w:rsidRPr="00DF24F6">
              <w:rPr>
                <w:lang w:val="en-AU"/>
              </w:rPr>
              <w:t>Average</w:t>
            </w:r>
          </w:p>
        </w:tc>
      </w:tr>
      <w:tr w:rsidR="00BD2FEB" w:rsidRPr="00492D1A" w14:paraId="576598A0" w14:textId="77777777" w:rsidTr="00C76316">
        <w:tc>
          <w:tcPr>
            <w:tcW w:w="720" w:type="dxa"/>
          </w:tcPr>
          <w:p w14:paraId="017E3856" w14:textId="77777777" w:rsidR="00BD2FEB" w:rsidRPr="00492D1A" w:rsidRDefault="00BD2FEB" w:rsidP="00C76316">
            <w:pPr>
              <w:pStyle w:val="VCAAtablecondensed"/>
              <w:rPr>
                <w:color w:val="auto"/>
              </w:rPr>
            </w:pPr>
            <w:r w:rsidRPr="00492D1A">
              <w:rPr>
                <w:color w:val="auto"/>
              </w:rPr>
              <w:t>%</w:t>
            </w:r>
          </w:p>
        </w:tc>
        <w:tc>
          <w:tcPr>
            <w:tcW w:w="576" w:type="dxa"/>
            <w:vAlign w:val="bottom"/>
          </w:tcPr>
          <w:p w14:paraId="6243F10A" w14:textId="77777777" w:rsidR="00BD2FEB" w:rsidRPr="00492D1A" w:rsidRDefault="00BD2FEB" w:rsidP="00C76316">
            <w:pPr>
              <w:pStyle w:val="VCAAtablecondensed"/>
              <w:rPr>
                <w:color w:val="auto"/>
              </w:rPr>
            </w:pPr>
            <w:r w:rsidRPr="00492D1A">
              <w:rPr>
                <w:color w:val="auto"/>
              </w:rPr>
              <w:t>20</w:t>
            </w:r>
          </w:p>
        </w:tc>
        <w:tc>
          <w:tcPr>
            <w:tcW w:w="576" w:type="dxa"/>
            <w:vAlign w:val="bottom"/>
          </w:tcPr>
          <w:p w14:paraId="6382F681" w14:textId="77777777" w:rsidR="00BD2FEB" w:rsidRPr="00492D1A" w:rsidRDefault="00BD2FEB" w:rsidP="00C76316">
            <w:pPr>
              <w:pStyle w:val="VCAAtablecondensed"/>
              <w:rPr>
                <w:color w:val="auto"/>
              </w:rPr>
            </w:pPr>
            <w:r w:rsidRPr="00492D1A">
              <w:rPr>
                <w:color w:val="auto"/>
              </w:rPr>
              <w:t>29</w:t>
            </w:r>
          </w:p>
        </w:tc>
        <w:tc>
          <w:tcPr>
            <w:tcW w:w="576" w:type="dxa"/>
            <w:vAlign w:val="bottom"/>
          </w:tcPr>
          <w:p w14:paraId="3237B16B" w14:textId="77777777" w:rsidR="00BD2FEB" w:rsidRPr="00492D1A" w:rsidRDefault="00BD2FEB" w:rsidP="00C76316">
            <w:pPr>
              <w:pStyle w:val="VCAAtablecondensed"/>
              <w:rPr>
                <w:color w:val="auto"/>
              </w:rPr>
            </w:pPr>
            <w:r w:rsidRPr="00492D1A">
              <w:rPr>
                <w:color w:val="auto"/>
              </w:rPr>
              <w:t>50</w:t>
            </w:r>
          </w:p>
        </w:tc>
        <w:tc>
          <w:tcPr>
            <w:tcW w:w="1008" w:type="dxa"/>
          </w:tcPr>
          <w:p w14:paraId="1D9E27B2" w14:textId="77777777" w:rsidR="00BD2FEB" w:rsidRPr="00492D1A" w:rsidRDefault="00BD2FEB" w:rsidP="00C76316">
            <w:pPr>
              <w:pStyle w:val="VCAAtablecondensed"/>
              <w:rPr>
                <w:color w:val="auto"/>
              </w:rPr>
            </w:pPr>
            <w:r w:rsidRPr="00492D1A">
              <w:rPr>
                <w:color w:val="auto"/>
              </w:rPr>
              <w:t>1.3</w:t>
            </w:r>
          </w:p>
        </w:tc>
      </w:tr>
    </w:tbl>
    <w:p w14:paraId="3A8920BC" w14:textId="77777777" w:rsidR="00BD2FEB" w:rsidRPr="00492D1A" w:rsidRDefault="00BD2FEB" w:rsidP="00632752">
      <w:pPr>
        <w:pStyle w:val="BodyText"/>
      </w:pPr>
      <w:r w:rsidRPr="00492D1A">
        <w:t>Students needed to demonstrate an understanding of the ‘terms of trade’ (TOT). Most were able to do so; however, many responses were not clear enough to achieve full marks.</w:t>
      </w:r>
    </w:p>
    <w:p w14:paraId="39B99667" w14:textId="77777777" w:rsidR="00BD2FEB" w:rsidRPr="00492D1A" w:rsidRDefault="00BD2FEB" w:rsidP="00632752">
      <w:pPr>
        <w:pStyle w:val="BodyText"/>
      </w:pPr>
      <w:r w:rsidRPr="00492D1A">
        <w:t xml:space="preserve">High-scoring responses: </w:t>
      </w:r>
    </w:p>
    <w:p w14:paraId="1FCBB98C" w14:textId="77777777" w:rsidR="00BD2FEB" w:rsidRPr="00492D1A" w:rsidRDefault="00BD2FEB" w:rsidP="00BD2FEB">
      <w:pPr>
        <w:pStyle w:val="Bullet"/>
        <w:ind w:left="426" w:hanging="426"/>
      </w:pPr>
      <w:r w:rsidRPr="00492D1A">
        <w:t>clearly and precisely stated the definition of the TOT</w:t>
      </w:r>
    </w:p>
    <w:p w14:paraId="6599F850" w14:textId="77777777" w:rsidR="00BD2FEB" w:rsidRPr="00492D1A" w:rsidRDefault="00BD2FEB" w:rsidP="00632752">
      <w:pPr>
        <w:pStyle w:val="Indent"/>
      </w:pPr>
      <w:r w:rsidRPr="00492D1A">
        <w:t>The strongest responses included an understanding that the TOT is a ratio of export prices received compared to import prices paid, expressed as an index.</w:t>
      </w:r>
    </w:p>
    <w:p w14:paraId="5ED807B4" w14:textId="77777777" w:rsidR="00BD2FEB" w:rsidRPr="00492D1A" w:rsidRDefault="00BD2FEB" w:rsidP="00632752">
      <w:pPr>
        <w:pStyle w:val="BodyText"/>
      </w:pPr>
      <w:r w:rsidRPr="00492D1A">
        <w:t xml:space="preserve">Common misconceptions included: </w:t>
      </w:r>
    </w:p>
    <w:p w14:paraId="20AC5AC9" w14:textId="77777777" w:rsidR="00BD2FEB" w:rsidRPr="00492D1A" w:rsidRDefault="00BD2FEB" w:rsidP="00BD2FEB">
      <w:pPr>
        <w:pStyle w:val="Bullet"/>
        <w:ind w:left="426" w:hanging="426"/>
      </w:pPr>
      <w:r w:rsidRPr="00492D1A">
        <w:t xml:space="preserve">stating the TOT measures value </w:t>
      </w:r>
    </w:p>
    <w:p w14:paraId="0F23950F" w14:textId="77777777" w:rsidR="00BD2FEB" w:rsidRPr="00492D1A" w:rsidRDefault="00BD2FEB" w:rsidP="00632752">
      <w:pPr>
        <w:pStyle w:val="Indent"/>
      </w:pPr>
      <w:r w:rsidRPr="00492D1A">
        <w:t>Students misinterpreted the TOT as a measure of the value (price x quantity) of exports compared to the value of imports.</w:t>
      </w:r>
    </w:p>
    <w:p w14:paraId="631A113A" w14:textId="77777777" w:rsidR="00BD2FEB" w:rsidRPr="00492D1A" w:rsidRDefault="00BD2FEB" w:rsidP="00BD2FEB">
      <w:pPr>
        <w:pStyle w:val="Bullet"/>
        <w:ind w:left="426" w:hanging="426"/>
      </w:pPr>
      <w:r w:rsidRPr="00492D1A">
        <w:t xml:space="preserve">confusing the TOT with net exports </w:t>
      </w:r>
    </w:p>
    <w:p w14:paraId="7A13C16C" w14:textId="77777777" w:rsidR="00BD2FEB" w:rsidRPr="00492D1A" w:rsidRDefault="00BD2FEB" w:rsidP="00632752">
      <w:pPr>
        <w:pStyle w:val="Indent"/>
      </w:pPr>
      <w:r w:rsidRPr="00492D1A">
        <w:t xml:space="preserve">Other students misinterpreted the TOT as the measure of net exports, for example (X – M). </w:t>
      </w:r>
    </w:p>
    <w:p w14:paraId="62F046E4" w14:textId="77777777" w:rsidR="00BD2FEB" w:rsidRPr="00492D1A" w:rsidRDefault="00BD2FEB" w:rsidP="00632752">
      <w:pPr>
        <w:pStyle w:val="BodyText"/>
      </w:pPr>
      <w:r w:rsidRPr="00492D1A">
        <w:t>The following is an example of a high-scoring response:</w:t>
      </w:r>
    </w:p>
    <w:p w14:paraId="36DC8001" w14:textId="77777777" w:rsidR="00BD2FEB" w:rsidRPr="00492D1A" w:rsidRDefault="00BD2FEB" w:rsidP="00632752">
      <w:pPr>
        <w:pStyle w:val="Studentsample"/>
      </w:pPr>
      <w:r w:rsidRPr="00492D1A">
        <w:t>Terms of trade (</w:t>
      </w:r>
      <w:proofErr w:type="spellStart"/>
      <w:r w:rsidRPr="00492D1A">
        <w:t>ToT</w:t>
      </w:r>
      <w:proofErr w:type="spellEnd"/>
      <w:r w:rsidRPr="00492D1A">
        <w:t xml:space="preserve">) refers to the prices received for Australian exports relative to the prices paid for imports. The </w:t>
      </w:r>
      <w:proofErr w:type="spellStart"/>
      <w:r w:rsidRPr="00492D1A">
        <w:t>ToT</w:t>
      </w:r>
      <w:proofErr w:type="spellEnd"/>
      <w:r w:rsidRPr="00492D1A">
        <w:t xml:space="preserve"> index is calculated by:</w:t>
      </w:r>
    </w:p>
    <w:p w14:paraId="442784C6" w14:textId="77777777" w:rsidR="00BD2FEB" w:rsidRPr="00492D1A" w:rsidRDefault="00955AF7" w:rsidP="00BD2FEB">
      <w:pPr>
        <w:tabs>
          <w:tab w:val="left" w:pos="5760"/>
        </w:tabs>
        <w:ind w:left="426"/>
        <w:rPr>
          <w:rFonts w:eastAsia="Aptos"/>
        </w:rPr>
      </w:pPr>
      <m:oMath>
        <m:f>
          <m:fPr>
            <m:ctrlPr>
              <w:rPr>
                <w:rFonts w:ascii="Cambria Math" w:eastAsia="Aptos" w:hAnsi="Cambria Math"/>
                <w:i/>
              </w:rPr>
            </m:ctrlPr>
          </m:fPr>
          <m:num>
            <m:r>
              <m:rPr>
                <m:sty m:val="p"/>
              </m:rPr>
              <w:rPr>
                <w:rFonts w:ascii="Cambria Math" w:eastAsia="Aptos" w:hAnsi="Cambria Math"/>
              </w:rPr>
              <m:t>Export price index</m:t>
            </m:r>
          </m:num>
          <m:den>
            <m:r>
              <m:rPr>
                <m:sty m:val="p"/>
              </m:rPr>
              <w:rPr>
                <w:rFonts w:ascii="Cambria Math" w:eastAsia="Aptos" w:hAnsi="Cambria Math"/>
              </w:rPr>
              <m:t xml:space="preserve">Import price index </m:t>
            </m:r>
          </m:den>
        </m:f>
      </m:oMath>
      <w:r w:rsidR="00BD2FEB" w:rsidRPr="00492D1A">
        <w:rPr>
          <w:rFonts w:eastAsia="Aptos"/>
        </w:rPr>
        <w:t xml:space="preserve"> x 100</w:t>
      </w:r>
    </w:p>
    <w:p w14:paraId="5DCC12B2" w14:textId="77777777" w:rsidR="00632752" w:rsidRDefault="00632752">
      <w:pPr>
        <w:spacing w:line="276" w:lineRule="auto"/>
        <w:rPr>
          <w:rFonts w:ascii="Arial" w:hAnsi="Arial" w:cs="Arial"/>
          <w:color w:val="0F7EB4"/>
          <w:sz w:val="40"/>
          <w:szCs w:val="28"/>
          <w:lang w:val="en-AU"/>
        </w:rPr>
      </w:pPr>
      <w:r>
        <w:br w:type="page"/>
      </w:r>
    </w:p>
    <w:p w14:paraId="3B1D74AD" w14:textId="53B83B69" w:rsidR="00BD2FEB" w:rsidRDefault="00BD2FEB" w:rsidP="00BD2FEB">
      <w:pPr>
        <w:pStyle w:val="Heading2"/>
      </w:pPr>
      <w:r w:rsidRPr="00BF30E1">
        <w:lastRenderedPageBreak/>
        <w:t>Question 4b.</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BD2FEB" w:rsidRPr="00DF24F6" w14:paraId="1B77C276" w14:textId="77777777" w:rsidTr="00C76316">
        <w:trPr>
          <w:cnfStyle w:val="100000000000" w:firstRow="1" w:lastRow="0" w:firstColumn="0" w:lastColumn="0" w:oddVBand="0" w:evenVBand="0" w:oddHBand="0" w:evenHBand="0" w:firstRowFirstColumn="0" w:firstRowLastColumn="0" w:lastRowFirstColumn="0" w:lastRowLastColumn="0"/>
        </w:trPr>
        <w:tc>
          <w:tcPr>
            <w:tcW w:w="720" w:type="dxa"/>
          </w:tcPr>
          <w:p w14:paraId="1AE87D1A" w14:textId="77777777" w:rsidR="00BD2FEB" w:rsidRPr="00DF24F6" w:rsidRDefault="00BD2FEB" w:rsidP="00C76316">
            <w:pPr>
              <w:pStyle w:val="VCAAtablecondensedheading"/>
              <w:rPr>
                <w:lang w:val="en-AU"/>
              </w:rPr>
            </w:pPr>
            <w:r w:rsidRPr="00DF24F6">
              <w:rPr>
                <w:lang w:val="en-AU"/>
              </w:rPr>
              <w:t>Marks</w:t>
            </w:r>
          </w:p>
        </w:tc>
        <w:tc>
          <w:tcPr>
            <w:tcW w:w="576" w:type="dxa"/>
          </w:tcPr>
          <w:p w14:paraId="64142177" w14:textId="77777777" w:rsidR="00BD2FEB" w:rsidRPr="00DF24F6" w:rsidRDefault="00BD2FEB" w:rsidP="00C76316">
            <w:pPr>
              <w:pStyle w:val="VCAAtablecondensedheading"/>
              <w:rPr>
                <w:lang w:val="en-AU"/>
              </w:rPr>
            </w:pPr>
            <w:r w:rsidRPr="00DF24F6">
              <w:rPr>
                <w:lang w:val="en-AU"/>
              </w:rPr>
              <w:t>0</w:t>
            </w:r>
          </w:p>
        </w:tc>
        <w:tc>
          <w:tcPr>
            <w:tcW w:w="576" w:type="dxa"/>
          </w:tcPr>
          <w:p w14:paraId="7354B5F5" w14:textId="77777777" w:rsidR="00BD2FEB" w:rsidRPr="00DF24F6" w:rsidRDefault="00BD2FEB" w:rsidP="00C76316">
            <w:pPr>
              <w:pStyle w:val="VCAAtablecondensedheading"/>
              <w:rPr>
                <w:lang w:val="en-AU"/>
              </w:rPr>
            </w:pPr>
            <w:r w:rsidRPr="00DF24F6">
              <w:rPr>
                <w:lang w:val="en-AU"/>
              </w:rPr>
              <w:t>1</w:t>
            </w:r>
          </w:p>
        </w:tc>
        <w:tc>
          <w:tcPr>
            <w:tcW w:w="576" w:type="dxa"/>
          </w:tcPr>
          <w:p w14:paraId="13D56F25" w14:textId="77777777" w:rsidR="00BD2FEB" w:rsidRPr="00DF24F6" w:rsidRDefault="00BD2FEB" w:rsidP="00C76316">
            <w:pPr>
              <w:pStyle w:val="VCAAtablecondensedheading"/>
              <w:rPr>
                <w:lang w:val="en-AU"/>
              </w:rPr>
            </w:pPr>
            <w:r w:rsidRPr="00DF24F6">
              <w:rPr>
                <w:lang w:val="en-AU"/>
              </w:rPr>
              <w:t>2</w:t>
            </w:r>
          </w:p>
        </w:tc>
        <w:tc>
          <w:tcPr>
            <w:tcW w:w="1008" w:type="dxa"/>
          </w:tcPr>
          <w:p w14:paraId="7E158AB8" w14:textId="77777777" w:rsidR="00BD2FEB" w:rsidRPr="00DF24F6" w:rsidRDefault="00BD2FEB" w:rsidP="00C76316">
            <w:pPr>
              <w:pStyle w:val="VCAAtablecondensedheading"/>
              <w:rPr>
                <w:lang w:val="en-AU"/>
              </w:rPr>
            </w:pPr>
            <w:r w:rsidRPr="00DF24F6">
              <w:rPr>
                <w:lang w:val="en-AU"/>
              </w:rPr>
              <w:t>Average</w:t>
            </w:r>
          </w:p>
        </w:tc>
      </w:tr>
      <w:tr w:rsidR="00BD2FEB" w:rsidRPr="00492D1A" w14:paraId="5D2857E0" w14:textId="77777777" w:rsidTr="00C76316">
        <w:tc>
          <w:tcPr>
            <w:tcW w:w="720" w:type="dxa"/>
          </w:tcPr>
          <w:p w14:paraId="5C6BE808" w14:textId="77777777" w:rsidR="00BD2FEB" w:rsidRPr="00492D1A" w:rsidRDefault="00BD2FEB" w:rsidP="00C76316">
            <w:pPr>
              <w:pStyle w:val="VCAAtablecondensed"/>
              <w:rPr>
                <w:color w:val="auto"/>
              </w:rPr>
            </w:pPr>
            <w:r w:rsidRPr="00492D1A">
              <w:rPr>
                <w:color w:val="auto"/>
              </w:rPr>
              <w:t>%</w:t>
            </w:r>
          </w:p>
        </w:tc>
        <w:tc>
          <w:tcPr>
            <w:tcW w:w="576" w:type="dxa"/>
            <w:vAlign w:val="bottom"/>
          </w:tcPr>
          <w:p w14:paraId="32B15978" w14:textId="77777777" w:rsidR="00BD2FEB" w:rsidRPr="00492D1A" w:rsidRDefault="00BD2FEB" w:rsidP="00C76316">
            <w:pPr>
              <w:pStyle w:val="VCAAtablecondensed"/>
              <w:rPr>
                <w:color w:val="auto"/>
              </w:rPr>
            </w:pPr>
            <w:r w:rsidRPr="00492D1A">
              <w:rPr>
                <w:color w:val="auto"/>
              </w:rPr>
              <w:t>42</w:t>
            </w:r>
          </w:p>
        </w:tc>
        <w:tc>
          <w:tcPr>
            <w:tcW w:w="576" w:type="dxa"/>
            <w:vAlign w:val="bottom"/>
          </w:tcPr>
          <w:p w14:paraId="58C20CE9" w14:textId="77777777" w:rsidR="00BD2FEB" w:rsidRPr="00492D1A" w:rsidRDefault="00BD2FEB" w:rsidP="00C76316">
            <w:pPr>
              <w:pStyle w:val="VCAAtablecondensed"/>
              <w:rPr>
                <w:color w:val="auto"/>
              </w:rPr>
            </w:pPr>
            <w:r w:rsidRPr="00492D1A">
              <w:rPr>
                <w:color w:val="auto"/>
              </w:rPr>
              <w:t>20</w:t>
            </w:r>
          </w:p>
        </w:tc>
        <w:tc>
          <w:tcPr>
            <w:tcW w:w="576" w:type="dxa"/>
            <w:vAlign w:val="bottom"/>
          </w:tcPr>
          <w:p w14:paraId="277628F4" w14:textId="77777777" w:rsidR="00BD2FEB" w:rsidRPr="00492D1A" w:rsidRDefault="00BD2FEB" w:rsidP="00C76316">
            <w:pPr>
              <w:pStyle w:val="VCAAtablecondensed"/>
              <w:rPr>
                <w:color w:val="auto"/>
              </w:rPr>
            </w:pPr>
            <w:r w:rsidRPr="00492D1A">
              <w:rPr>
                <w:color w:val="auto"/>
              </w:rPr>
              <w:t>38</w:t>
            </w:r>
          </w:p>
        </w:tc>
        <w:tc>
          <w:tcPr>
            <w:tcW w:w="1008" w:type="dxa"/>
          </w:tcPr>
          <w:p w14:paraId="7B0DD81A" w14:textId="77777777" w:rsidR="00BD2FEB" w:rsidRPr="00492D1A" w:rsidRDefault="00BD2FEB" w:rsidP="00C76316">
            <w:pPr>
              <w:pStyle w:val="VCAAtablecondensed"/>
              <w:rPr>
                <w:color w:val="auto"/>
              </w:rPr>
            </w:pPr>
            <w:r w:rsidRPr="00492D1A">
              <w:rPr>
                <w:color w:val="auto"/>
              </w:rPr>
              <w:t>1</w:t>
            </w:r>
          </w:p>
        </w:tc>
      </w:tr>
    </w:tbl>
    <w:p w14:paraId="0C2A2F1E" w14:textId="77777777" w:rsidR="00BD2FEB" w:rsidRPr="00492D1A" w:rsidRDefault="00BD2FEB" w:rsidP="00632752">
      <w:pPr>
        <w:pStyle w:val="BodyText"/>
      </w:pPr>
      <w:r w:rsidRPr="00492D1A">
        <w:t>Students were required to identify one factor that might account for the change in the TOT for the specified period. Many students struggled to achieve marks on this question due to a misunderstanding of the meaning of TOT.</w:t>
      </w:r>
    </w:p>
    <w:p w14:paraId="495E5B07" w14:textId="77777777" w:rsidR="00BD2FEB" w:rsidRPr="00492D1A" w:rsidRDefault="00BD2FEB" w:rsidP="00632752">
      <w:pPr>
        <w:pStyle w:val="BodyText"/>
      </w:pPr>
      <w:r w:rsidRPr="00492D1A">
        <w:t xml:space="preserve">High-scoring responses: </w:t>
      </w:r>
    </w:p>
    <w:p w14:paraId="43D7002C" w14:textId="77777777" w:rsidR="00BD2FEB" w:rsidRPr="00492D1A" w:rsidRDefault="00BD2FEB" w:rsidP="00BD2FEB">
      <w:pPr>
        <w:pStyle w:val="Bullet"/>
        <w:ind w:left="426" w:hanging="426"/>
      </w:pPr>
      <w:r w:rsidRPr="00492D1A">
        <w:t xml:space="preserve">highlighted a relevant factor reflecting the trend </w:t>
      </w:r>
    </w:p>
    <w:p w14:paraId="2A2E6FA7" w14:textId="77777777" w:rsidR="00BD2FEB" w:rsidRPr="00492D1A" w:rsidRDefault="00BD2FEB" w:rsidP="00632752">
      <w:pPr>
        <w:pStyle w:val="Indent"/>
      </w:pPr>
      <w:r w:rsidRPr="00492D1A">
        <w:t xml:space="preserve">For example, students argued that an increase in commodity prices (raising the export price index relative to the import price index) </w:t>
      </w:r>
      <w:r w:rsidRPr="00492D1A">
        <w:rPr>
          <w:rStyle w:val="EmphasisBold"/>
        </w:rPr>
        <w:t>or</w:t>
      </w:r>
      <w:r w:rsidRPr="00492D1A">
        <w:rPr>
          <w:b/>
          <w:bCs/>
        </w:rPr>
        <w:t xml:space="preserve"> </w:t>
      </w:r>
      <w:r w:rsidRPr="00492D1A">
        <w:t>a fall in overseas production costs among our major trading partners (lowering the import price index relative to the export price index) would lead to an increase in the TOT.</w:t>
      </w:r>
    </w:p>
    <w:p w14:paraId="527E2113" w14:textId="77777777" w:rsidR="00BD2FEB" w:rsidRPr="00492D1A" w:rsidRDefault="00BD2FEB" w:rsidP="00632752">
      <w:pPr>
        <w:pStyle w:val="Indent"/>
      </w:pPr>
      <w:r w:rsidRPr="00492D1A">
        <w:t xml:space="preserve">Responses that achieved full marks clearly explained how the chosen factor would cause the TOT to rise, either by an increase in the export price index or a decrease in the import price index. </w:t>
      </w:r>
    </w:p>
    <w:p w14:paraId="4BC7B3B6" w14:textId="77777777" w:rsidR="00BD2FEB" w:rsidRPr="00492D1A" w:rsidRDefault="00BD2FEB" w:rsidP="00632752">
      <w:pPr>
        <w:pStyle w:val="BodyText"/>
      </w:pPr>
      <w:r w:rsidRPr="00492D1A">
        <w:t xml:space="preserve">Common misconceptions included: </w:t>
      </w:r>
    </w:p>
    <w:p w14:paraId="474636D7" w14:textId="77777777" w:rsidR="00BD2FEB" w:rsidRPr="00492D1A" w:rsidRDefault="00BD2FEB" w:rsidP="00BD2FEB">
      <w:pPr>
        <w:pStyle w:val="Bullet"/>
        <w:ind w:left="426" w:hanging="426"/>
        <w:rPr>
          <w:b/>
          <w:bCs/>
        </w:rPr>
      </w:pPr>
      <w:r w:rsidRPr="00492D1A">
        <w:t xml:space="preserve">not demonstrating an understanding that the TOT is a measure of </w:t>
      </w:r>
      <w:r w:rsidRPr="00492D1A">
        <w:rPr>
          <w:rStyle w:val="Emphasis"/>
          <w:color w:val="auto"/>
        </w:rPr>
        <w:t>relative prices</w:t>
      </w:r>
      <w:r w:rsidRPr="00492D1A">
        <w:rPr>
          <w:i/>
        </w:rPr>
        <w:t xml:space="preserve"> </w:t>
      </w:r>
      <w:r w:rsidRPr="00492D1A">
        <w:t xml:space="preserve">comparing the export price index to the import price index </w:t>
      </w:r>
    </w:p>
    <w:p w14:paraId="6BB2BB42" w14:textId="77777777" w:rsidR="00BD2FEB" w:rsidRPr="00492D1A" w:rsidRDefault="00BD2FEB" w:rsidP="00BD2FEB">
      <w:pPr>
        <w:pStyle w:val="Bullet"/>
        <w:ind w:left="426" w:hanging="426"/>
        <w:rPr>
          <w:b/>
          <w:bCs/>
        </w:rPr>
      </w:pPr>
      <w:r w:rsidRPr="00492D1A">
        <w:t>incorrectly attempting to use the exchange rate as a factor impacting the TOT</w:t>
      </w:r>
    </w:p>
    <w:p w14:paraId="42C6B50F" w14:textId="77777777" w:rsidR="00BD2FEB" w:rsidRPr="00492D1A" w:rsidRDefault="00BD2FEB" w:rsidP="00632752">
      <w:pPr>
        <w:pStyle w:val="Indent"/>
        <w:rPr>
          <w:rFonts w:ascii="Aptos" w:eastAsia="Times New Roman" w:hAnsi="Aptos" w:cs="Times New Roman"/>
        </w:rPr>
      </w:pPr>
      <w:r w:rsidRPr="00492D1A">
        <w:t>Some students cited movements in the exchange rate as the factor explaining the change in the TOT. The exchange rate does not affect the TOT if both export prices and import prices are denominated in AUD. However, in Australia many of our commodity exports are sold in global markets in USD; hence, a change in the exchange rate will impact the prices received for exports in AUD and therefore the export price index and TOT. This is a sophisticated argument and beyond the scope of the Study Design and was rarely seen among student responses.</w:t>
      </w:r>
    </w:p>
    <w:p w14:paraId="5C1CD172" w14:textId="77777777" w:rsidR="00BD2FEB" w:rsidRPr="00492D1A" w:rsidRDefault="00BD2FEB" w:rsidP="00632752">
      <w:pPr>
        <w:pStyle w:val="Indent"/>
      </w:pPr>
      <w:r w:rsidRPr="00492D1A">
        <w:t xml:space="preserve">It is recommended that students avoid using the exchange rate as a factor that influences the TOT. </w:t>
      </w:r>
    </w:p>
    <w:p w14:paraId="589BE9D0" w14:textId="77777777" w:rsidR="00BD2FEB" w:rsidRPr="00492D1A" w:rsidRDefault="00BD2FEB" w:rsidP="00632752">
      <w:pPr>
        <w:pStyle w:val="BodyText"/>
      </w:pPr>
      <w:r w:rsidRPr="00492D1A">
        <w:t>The following is an example of a high-scoring response:</w:t>
      </w:r>
    </w:p>
    <w:p w14:paraId="7065C3E0" w14:textId="77777777" w:rsidR="00BD2FEB" w:rsidRPr="00492D1A" w:rsidRDefault="00BD2FEB" w:rsidP="00632752">
      <w:pPr>
        <w:pStyle w:val="Studentsample"/>
      </w:pPr>
      <w:r w:rsidRPr="00492D1A">
        <w:t>The increase in TOT from 89.4 in September 2024 to 91.0 in December 2024 may have been due to rising commodity prices over this time. As Australia’s exports are heavily concentrated in commodities (such as iron ore, lithium, etc.), an increase in prices of these goods would ultimately have improved Australia’s TOT during this time through increasing the prices received for exports, relative to the prices domestic consumers paid for imports.</w:t>
      </w:r>
    </w:p>
    <w:p w14:paraId="3C7606D9" w14:textId="77777777" w:rsidR="00632752" w:rsidRDefault="00632752">
      <w:pPr>
        <w:spacing w:line="276" w:lineRule="auto"/>
        <w:rPr>
          <w:rFonts w:ascii="Arial" w:hAnsi="Arial" w:cs="Arial"/>
          <w:color w:val="0F7EB4"/>
          <w:sz w:val="40"/>
          <w:szCs w:val="28"/>
          <w:lang w:val="en-AU"/>
        </w:rPr>
      </w:pPr>
      <w:r>
        <w:br w:type="page"/>
      </w:r>
    </w:p>
    <w:p w14:paraId="124F4848" w14:textId="271A7137" w:rsidR="00BD2FEB" w:rsidRDefault="00BD2FEB" w:rsidP="00BD2FEB">
      <w:pPr>
        <w:pStyle w:val="Heading2"/>
      </w:pPr>
      <w:r w:rsidRPr="00BF30E1">
        <w:lastRenderedPageBreak/>
        <w:t>Question 4c.</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1008"/>
      </w:tblGrid>
      <w:tr w:rsidR="00BD2FEB" w:rsidRPr="00DF24F6" w14:paraId="009FC6DC" w14:textId="77777777" w:rsidTr="00C76316">
        <w:trPr>
          <w:cnfStyle w:val="100000000000" w:firstRow="1" w:lastRow="0" w:firstColumn="0" w:lastColumn="0" w:oddVBand="0" w:evenVBand="0" w:oddHBand="0" w:evenHBand="0" w:firstRowFirstColumn="0" w:firstRowLastColumn="0" w:lastRowFirstColumn="0" w:lastRowLastColumn="0"/>
        </w:trPr>
        <w:tc>
          <w:tcPr>
            <w:tcW w:w="720" w:type="dxa"/>
          </w:tcPr>
          <w:p w14:paraId="06949EBE" w14:textId="77777777" w:rsidR="00BD2FEB" w:rsidRPr="00DF24F6" w:rsidRDefault="00BD2FEB" w:rsidP="00C76316">
            <w:pPr>
              <w:pStyle w:val="VCAAtablecondensedheading"/>
              <w:rPr>
                <w:lang w:val="en-AU"/>
              </w:rPr>
            </w:pPr>
            <w:r w:rsidRPr="00DF24F6">
              <w:rPr>
                <w:lang w:val="en-AU"/>
              </w:rPr>
              <w:t>Marks</w:t>
            </w:r>
          </w:p>
        </w:tc>
        <w:tc>
          <w:tcPr>
            <w:tcW w:w="576" w:type="dxa"/>
          </w:tcPr>
          <w:p w14:paraId="0E9A956D" w14:textId="77777777" w:rsidR="00BD2FEB" w:rsidRPr="00DF24F6" w:rsidRDefault="00BD2FEB" w:rsidP="00C76316">
            <w:pPr>
              <w:pStyle w:val="VCAAtablecondensedheading"/>
              <w:rPr>
                <w:lang w:val="en-AU"/>
              </w:rPr>
            </w:pPr>
            <w:r w:rsidRPr="00DF24F6">
              <w:rPr>
                <w:lang w:val="en-AU"/>
              </w:rPr>
              <w:t>0</w:t>
            </w:r>
          </w:p>
        </w:tc>
        <w:tc>
          <w:tcPr>
            <w:tcW w:w="576" w:type="dxa"/>
          </w:tcPr>
          <w:p w14:paraId="5B632520" w14:textId="77777777" w:rsidR="00BD2FEB" w:rsidRPr="00DF24F6" w:rsidRDefault="00BD2FEB" w:rsidP="00C76316">
            <w:pPr>
              <w:pStyle w:val="VCAAtablecondensedheading"/>
              <w:rPr>
                <w:lang w:val="en-AU"/>
              </w:rPr>
            </w:pPr>
            <w:r w:rsidRPr="00DF24F6">
              <w:rPr>
                <w:lang w:val="en-AU"/>
              </w:rPr>
              <w:t>1</w:t>
            </w:r>
          </w:p>
        </w:tc>
        <w:tc>
          <w:tcPr>
            <w:tcW w:w="576" w:type="dxa"/>
          </w:tcPr>
          <w:p w14:paraId="0594351D" w14:textId="77777777" w:rsidR="00BD2FEB" w:rsidRPr="00DF24F6" w:rsidRDefault="00BD2FEB" w:rsidP="00C76316">
            <w:pPr>
              <w:pStyle w:val="VCAAtablecondensedheading"/>
              <w:rPr>
                <w:lang w:val="en-AU"/>
              </w:rPr>
            </w:pPr>
            <w:r w:rsidRPr="00DF24F6">
              <w:rPr>
                <w:lang w:val="en-AU"/>
              </w:rPr>
              <w:t>2</w:t>
            </w:r>
          </w:p>
        </w:tc>
        <w:tc>
          <w:tcPr>
            <w:tcW w:w="576" w:type="dxa"/>
          </w:tcPr>
          <w:p w14:paraId="21C65003" w14:textId="77777777" w:rsidR="00BD2FEB" w:rsidRPr="00DF24F6" w:rsidRDefault="00BD2FEB" w:rsidP="00C76316">
            <w:pPr>
              <w:pStyle w:val="VCAAtablecondensedheading"/>
              <w:rPr>
                <w:lang w:val="en-AU"/>
              </w:rPr>
            </w:pPr>
            <w:r w:rsidRPr="00DF24F6">
              <w:rPr>
                <w:lang w:val="en-AU"/>
              </w:rPr>
              <w:t>3</w:t>
            </w:r>
          </w:p>
        </w:tc>
        <w:tc>
          <w:tcPr>
            <w:tcW w:w="1008" w:type="dxa"/>
          </w:tcPr>
          <w:p w14:paraId="4FF83897" w14:textId="77777777" w:rsidR="00BD2FEB" w:rsidRPr="00DF24F6" w:rsidRDefault="00BD2FEB" w:rsidP="00C76316">
            <w:pPr>
              <w:pStyle w:val="VCAAtablecondensedheading"/>
              <w:rPr>
                <w:lang w:val="en-AU"/>
              </w:rPr>
            </w:pPr>
            <w:r w:rsidRPr="00DF24F6">
              <w:rPr>
                <w:lang w:val="en-AU"/>
              </w:rPr>
              <w:t>Average</w:t>
            </w:r>
          </w:p>
        </w:tc>
      </w:tr>
      <w:tr w:rsidR="00BD2FEB" w:rsidRPr="00492D1A" w14:paraId="7B7BF565" w14:textId="77777777" w:rsidTr="00C76316">
        <w:tc>
          <w:tcPr>
            <w:tcW w:w="720" w:type="dxa"/>
          </w:tcPr>
          <w:p w14:paraId="0C9C9CC6" w14:textId="77777777" w:rsidR="00BD2FEB" w:rsidRPr="00492D1A" w:rsidRDefault="00BD2FEB" w:rsidP="00C76316">
            <w:pPr>
              <w:pStyle w:val="VCAAtablecondensed"/>
              <w:rPr>
                <w:color w:val="auto"/>
              </w:rPr>
            </w:pPr>
            <w:r w:rsidRPr="00492D1A">
              <w:rPr>
                <w:color w:val="auto"/>
              </w:rPr>
              <w:t>%</w:t>
            </w:r>
          </w:p>
        </w:tc>
        <w:tc>
          <w:tcPr>
            <w:tcW w:w="576" w:type="dxa"/>
            <w:vAlign w:val="bottom"/>
          </w:tcPr>
          <w:p w14:paraId="6F3709E8" w14:textId="77777777" w:rsidR="00BD2FEB" w:rsidRPr="00492D1A" w:rsidRDefault="00BD2FEB" w:rsidP="00C76316">
            <w:pPr>
              <w:pStyle w:val="VCAAtablecondensed"/>
              <w:rPr>
                <w:color w:val="auto"/>
              </w:rPr>
            </w:pPr>
            <w:r w:rsidRPr="00492D1A">
              <w:rPr>
                <w:color w:val="auto"/>
              </w:rPr>
              <w:t>35</w:t>
            </w:r>
          </w:p>
        </w:tc>
        <w:tc>
          <w:tcPr>
            <w:tcW w:w="576" w:type="dxa"/>
            <w:vAlign w:val="bottom"/>
          </w:tcPr>
          <w:p w14:paraId="2D83F48B" w14:textId="77777777" w:rsidR="00BD2FEB" w:rsidRPr="00492D1A" w:rsidRDefault="00BD2FEB" w:rsidP="00C76316">
            <w:pPr>
              <w:pStyle w:val="VCAAtablecondensed"/>
              <w:rPr>
                <w:color w:val="auto"/>
              </w:rPr>
            </w:pPr>
            <w:r w:rsidRPr="00492D1A">
              <w:rPr>
                <w:color w:val="auto"/>
              </w:rPr>
              <w:t>21</w:t>
            </w:r>
          </w:p>
        </w:tc>
        <w:tc>
          <w:tcPr>
            <w:tcW w:w="576" w:type="dxa"/>
            <w:vAlign w:val="bottom"/>
          </w:tcPr>
          <w:p w14:paraId="3A493FE7" w14:textId="77777777" w:rsidR="00BD2FEB" w:rsidRPr="00492D1A" w:rsidRDefault="00BD2FEB" w:rsidP="00C76316">
            <w:pPr>
              <w:pStyle w:val="VCAAtablecondensed"/>
              <w:rPr>
                <w:color w:val="auto"/>
              </w:rPr>
            </w:pPr>
            <w:r w:rsidRPr="00492D1A">
              <w:rPr>
                <w:color w:val="auto"/>
              </w:rPr>
              <w:t>20</w:t>
            </w:r>
          </w:p>
        </w:tc>
        <w:tc>
          <w:tcPr>
            <w:tcW w:w="576" w:type="dxa"/>
            <w:vAlign w:val="bottom"/>
          </w:tcPr>
          <w:p w14:paraId="27255EBB" w14:textId="77777777" w:rsidR="00BD2FEB" w:rsidRPr="00492D1A" w:rsidRDefault="00BD2FEB" w:rsidP="00C76316">
            <w:pPr>
              <w:pStyle w:val="VCAAtablecondensed"/>
              <w:rPr>
                <w:color w:val="auto"/>
              </w:rPr>
            </w:pPr>
            <w:r w:rsidRPr="00492D1A">
              <w:rPr>
                <w:color w:val="auto"/>
              </w:rPr>
              <w:t>24</w:t>
            </w:r>
          </w:p>
        </w:tc>
        <w:tc>
          <w:tcPr>
            <w:tcW w:w="1008" w:type="dxa"/>
          </w:tcPr>
          <w:p w14:paraId="5FAFEF4B" w14:textId="77777777" w:rsidR="00BD2FEB" w:rsidRPr="00492D1A" w:rsidRDefault="00BD2FEB" w:rsidP="00C76316">
            <w:pPr>
              <w:pStyle w:val="VCAAtablecondensed"/>
              <w:rPr>
                <w:color w:val="auto"/>
              </w:rPr>
            </w:pPr>
            <w:r w:rsidRPr="00492D1A">
              <w:rPr>
                <w:color w:val="auto"/>
              </w:rPr>
              <w:t>1.3</w:t>
            </w:r>
          </w:p>
        </w:tc>
      </w:tr>
    </w:tbl>
    <w:p w14:paraId="3CE2C7B9" w14:textId="77777777" w:rsidR="00BD2FEB" w:rsidRPr="00492D1A" w:rsidRDefault="00BD2FEB" w:rsidP="00632752">
      <w:pPr>
        <w:pStyle w:val="BodyText"/>
      </w:pPr>
      <w:r w:rsidRPr="00492D1A">
        <w:t>Students were required to explain how a movement in the TOT influences AD, AS or the price of imported consumer goods, and to link this effect to the achievement of low and stable inflation. Students who did not have a clear understanding of the TOT struggled to achieve marks for this question. Overall, it was handled poorly.</w:t>
      </w:r>
    </w:p>
    <w:p w14:paraId="6314DECB" w14:textId="78F6118D" w:rsidR="00BD2FEB" w:rsidRPr="00492D1A" w:rsidRDefault="00BD2FEB" w:rsidP="00632752">
      <w:pPr>
        <w:pStyle w:val="BodyText"/>
      </w:pPr>
      <w:r w:rsidRPr="00492D1A">
        <w:t xml:space="preserve">High-scoring responses: </w:t>
      </w:r>
    </w:p>
    <w:p w14:paraId="32B402BD" w14:textId="77777777" w:rsidR="00BD2FEB" w:rsidRPr="00492D1A" w:rsidRDefault="00BD2FEB" w:rsidP="00BD2FEB">
      <w:pPr>
        <w:pStyle w:val="Bullet"/>
        <w:ind w:left="426" w:hanging="426"/>
      </w:pPr>
      <w:r w:rsidRPr="00492D1A">
        <w:t xml:space="preserve">demonstrated an understanding of how the change in the TOT affects AD, AS </w:t>
      </w:r>
      <w:r w:rsidRPr="00492D1A">
        <w:rPr>
          <w:rStyle w:val="EmphasisBold"/>
          <w:color w:val="auto"/>
        </w:rPr>
        <w:t>or</w:t>
      </w:r>
      <w:r w:rsidRPr="00492D1A">
        <w:t xml:space="preserve"> imported goods </w:t>
      </w:r>
      <w:r w:rsidRPr="00492D1A">
        <w:rPr>
          <w:rStyle w:val="EmphasisBold"/>
          <w:color w:val="auto"/>
        </w:rPr>
        <w:t xml:space="preserve">or </w:t>
      </w:r>
      <w:r w:rsidRPr="00492D1A">
        <w:t xml:space="preserve">services recorded in the CPI </w:t>
      </w:r>
    </w:p>
    <w:p w14:paraId="3ED9E334" w14:textId="77777777" w:rsidR="00BD2FEB" w:rsidRPr="00492D1A" w:rsidRDefault="00BD2FEB" w:rsidP="00BD2FEB">
      <w:pPr>
        <w:pStyle w:val="Bullet"/>
        <w:ind w:left="426" w:hanging="426"/>
      </w:pPr>
      <w:r w:rsidRPr="00492D1A">
        <w:t>argued one of the following</w:t>
      </w:r>
    </w:p>
    <w:p w14:paraId="47EE13DD" w14:textId="77777777" w:rsidR="00BD2FEB" w:rsidRPr="00632752" w:rsidRDefault="00BD2FEB" w:rsidP="00632752">
      <w:pPr>
        <w:pStyle w:val="Bulletlevel2"/>
      </w:pPr>
      <w:r w:rsidRPr="00632752">
        <w:t xml:space="preserve">An increase in the TOT (caused by an increase in the export price index) would lead, all things being </w:t>
      </w:r>
      <w:proofErr w:type="gramStart"/>
      <w:r w:rsidRPr="00632752">
        <w:t>equal,</w:t>
      </w:r>
      <w:proofErr w:type="gramEnd"/>
      <w:r w:rsidRPr="00632752">
        <w:t xml:space="preserve"> to an increase in national income and AD as Australian exporters receive higher profits for the same quantity of exports sold. This places upward pressure on demand inflation.</w:t>
      </w:r>
    </w:p>
    <w:p w14:paraId="137CD430" w14:textId="77777777" w:rsidR="00BD2FEB" w:rsidRPr="00492D1A" w:rsidRDefault="00BD2FEB" w:rsidP="00632752">
      <w:pPr>
        <w:pStyle w:val="Bulletlevel2"/>
      </w:pPr>
      <w:r w:rsidRPr="00492D1A">
        <w:t xml:space="preserve">An increase in the TOT (caused by a decrease in the import price index) would make imported goods and services cheaper. This would reduce the price of imported consumer goods in the CPI and may therefore lower the rate of inflation. </w:t>
      </w:r>
    </w:p>
    <w:p w14:paraId="36E4F32E" w14:textId="77777777" w:rsidR="00BD2FEB" w:rsidRPr="00492D1A" w:rsidRDefault="00BD2FEB" w:rsidP="00632752">
      <w:pPr>
        <w:pStyle w:val="Bulletlevel2"/>
      </w:pPr>
      <w:r w:rsidRPr="00492D1A">
        <w:t xml:space="preserve">An increase in the TOT (caused by a decrease in the import price index) would make imported capital and equipment cheaper for Australian businesses. This would reduce the costs of production for those businesses that rely on imported capital and therefore reduce cost inflationary pressures. </w:t>
      </w:r>
    </w:p>
    <w:p w14:paraId="0851F8F7" w14:textId="77777777" w:rsidR="00BD2FEB" w:rsidRPr="00492D1A" w:rsidRDefault="00BD2FEB" w:rsidP="00BD2FEB">
      <w:pPr>
        <w:pStyle w:val="Bullet"/>
        <w:ind w:left="426" w:hanging="426"/>
      </w:pPr>
      <w:r w:rsidRPr="00492D1A">
        <w:t>demonstrated the impact of the above on the achievement of the goal of low and stable inflation</w:t>
      </w:r>
    </w:p>
    <w:p w14:paraId="4BC8D99F" w14:textId="77777777" w:rsidR="00BD2FEB" w:rsidRPr="00492D1A" w:rsidRDefault="00BD2FEB" w:rsidP="00632752">
      <w:pPr>
        <w:pStyle w:val="BodyText"/>
      </w:pPr>
      <w:r w:rsidRPr="00492D1A">
        <w:t xml:space="preserve">Common misconceptions included: </w:t>
      </w:r>
    </w:p>
    <w:p w14:paraId="735183F2" w14:textId="77777777" w:rsidR="00BD2FEB" w:rsidRPr="00492D1A" w:rsidRDefault="00BD2FEB" w:rsidP="00BD2FEB">
      <w:pPr>
        <w:pStyle w:val="Bullet"/>
        <w:ind w:left="426" w:hanging="426"/>
        <w:rPr>
          <w:b/>
          <w:bCs/>
        </w:rPr>
      </w:pPr>
      <w:r w:rsidRPr="00492D1A">
        <w:t xml:space="preserve">lacking depth in understanding the TOT </w:t>
      </w:r>
    </w:p>
    <w:p w14:paraId="193FDD4B" w14:textId="77777777" w:rsidR="00BD2FEB" w:rsidRPr="00492D1A" w:rsidRDefault="00BD2FEB" w:rsidP="00632752">
      <w:pPr>
        <w:pStyle w:val="Indent"/>
      </w:pPr>
      <w:r w:rsidRPr="00492D1A">
        <w:t>In this question, it was clear that despite being able to recall the definition of the TOT, many students did not properly understand its measurement or meaning. When the TOT rises, Australia receives higher prices for exports relative to prices paid for imports. This could be inflationary if capacity constraints are present.</w:t>
      </w:r>
    </w:p>
    <w:p w14:paraId="42193BD2" w14:textId="77777777" w:rsidR="00BD2FEB" w:rsidRPr="00492D1A" w:rsidRDefault="00BD2FEB" w:rsidP="00BD2FEB">
      <w:pPr>
        <w:pStyle w:val="Bullet"/>
        <w:ind w:left="426" w:hanging="426"/>
      </w:pPr>
      <w:r w:rsidRPr="00492D1A">
        <w:t>attempting to link the change in the TOT to the value of the AUD and therefore inflation</w:t>
      </w:r>
    </w:p>
    <w:p w14:paraId="5D18BC42" w14:textId="77777777" w:rsidR="00BD2FEB" w:rsidRPr="00492D1A" w:rsidRDefault="00BD2FEB" w:rsidP="00632752">
      <w:pPr>
        <w:pStyle w:val="Indent"/>
      </w:pPr>
      <w:r w:rsidRPr="00492D1A">
        <w:t xml:space="preserve">Again, students attempted to answer a question on TOT by referring to the exchange rate, as in question 4b. It is recommended that students do not refer to the exchange rate when answering questions on TOT unless specifically instructed to. </w:t>
      </w:r>
    </w:p>
    <w:p w14:paraId="18FB0912" w14:textId="77777777" w:rsidR="00BD2FEB" w:rsidRPr="00492D1A" w:rsidRDefault="00BD2FEB" w:rsidP="00632752">
      <w:pPr>
        <w:pStyle w:val="Indent"/>
      </w:pPr>
      <w:r w:rsidRPr="00492D1A">
        <w:t xml:space="preserve">As some students correctly stated, an increase in the TOT does mean that we receive higher prices for our exports, which would lead to an increase in demand for AUD (holding quantity constant) and an appreciation. However, this question specifically required students to explain the impacts of a higher TOT on inflation, not an appreciation of the AUD. </w:t>
      </w:r>
    </w:p>
    <w:p w14:paraId="7197A9E3" w14:textId="77777777" w:rsidR="00BD2FEB" w:rsidRPr="00492D1A" w:rsidRDefault="00BD2FEB" w:rsidP="00632752">
      <w:pPr>
        <w:pStyle w:val="BodyText"/>
      </w:pPr>
      <w:r w:rsidRPr="00492D1A">
        <w:t>The following is an example of a high-scoring response:</w:t>
      </w:r>
    </w:p>
    <w:p w14:paraId="625D6C10" w14:textId="77777777" w:rsidR="00BD2FEB" w:rsidRPr="00492D1A" w:rsidRDefault="00BD2FEB" w:rsidP="00632752">
      <w:pPr>
        <w:pStyle w:val="Studentsample"/>
      </w:pPr>
      <w:r w:rsidRPr="00492D1A">
        <w:t xml:space="preserve">If rising commodity prices explains the rise in our terms of trade, then mining companies receive higher prices for any given volume of commodities exported (as demand is inelastic), increasing company profits and therefore making them more confident that future investment projects will meet the required hurdle rate of return, increasing investment. Also, higher company profits will lead to higher incomes (wages, dividends), increasing consumption. As a result, there is a rise in AD, making shortages more likely to occur and thus increasing demand-inflation, increasing the inflation rate. This may risk pushing inflation </w:t>
      </w:r>
      <w:r w:rsidRPr="00492D1A">
        <w:lastRenderedPageBreak/>
        <w:t xml:space="preserve">out of the 2–3% range, with concerns already of a projected rise in the inflation rate (confirmed by the recent announcement of 3.2% headline inflation for September 2025). </w:t>
      </w:r>
    </w:p>
    <w:p w14:paraId="11E0986C" w14:textId="5318BEF7" w:rsidR="00BD2FEB" w:rsidRDefault="00BD2FEB" w:rsidP="00BD2FEB">
      <w:pPr>
        <w:pStyle w:val="Heading2"/>
      </w:pPr>
      <w:r w:rsidRPr="00BF30E1">
        <w:t>Question 4d.</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576"/>
        <w:gridCol w:w="1008"/>
      </w:tblGrid>
      <w:tr w:rsidR="00BD2FEB" w:rsidRPr="00DF24F6" w14:paraId="66A3F933" w14:textId="77777777" w:rsidTr="00C76316">
        <w:trPr>
          <w:cnfStyle w:val="100000000000" w:firstRow="1" w:lastRow="0" w:firstColumn="0" w:lastColumn="0" w:oddVBand="0" w:evenVBand="0" w:oddHBand="0" w:evenHBand="0" w:firstRowFirstColumn="0" w:firstRowLastColumn="0" w:lastRowFirstColumn="0" w:lastRowLastColumn="0"/>
        </w:trPr>
        <w:tc>
          <w:tcPr>
            <w:tcW w:w="720" w:type="dxa"/>
          </w:tcPr>
          <w:p w14:paraId="704417C9" w14:textId="77777777" w:rsidR="00BD2FEB" w:rsidRPr="00DF24F6" w:rsidRDefault="00BD2FEB" w:rsidP="00C76316">
            <w:pPr>
              <w:pStyle w:val="VCAAtablecondensedheading"/>
              <w:rPr>
                <w:lang w:val="en-AU"/>
              </w:rPr>
            </w:pPr>
            <w:r w:rsidRPr="00DF24F6">
              <w:rPr>
                <w:lang w:val="en-AU"/>
              </w:rPr>
              <w:t>Marks</w:t>
            </w:r>
          </w:p>
        </w:tc>
        <w:tc>
          <w:tcPr>
            <w:tcW w:w="576" w:type="dxa"/>
          </w:tcPr>
          <w:p w14:paraId="7F516ED4" w14:textId="77777777" w:rsidR="00BD2FEB" w:rsidRPr="00DF24F6" w:rsidRDefault="00BD2FEB" w:rsidP="00C76316">
            <w:pPr>
              <w:pStyle w:val="VCAAtablecondensedheading"/>
              <w:rPr>
                <w:lang w:val="en-AU"/>
              </w:rPr>
            </w:pPr>
            <w:r w:rsidRPr="00DF24F6">
              <w:rPr>
                <w:lang w:val="en-AU"/>
              </w:rPr>
              <w:t>0</w:t>
            </w:r>
          </w:p>
        </w:tc>
        <w:tc>
          <w:tcPr>
            <w:tcW w:w="576" w:type="dxa"/>
          </w:tcPr>
          <w:p w14:paraId="7215C21C" w14:textId="77777777" w:rsidR="00BD2FEB" w:rsidRPr="00DF24F6" w:rsidRDefault="00BD2FEB" w:rsidP="00C76316">
            <w:pPr>
              <w:pStyle w:val="VCAAtablecondensedheading"/>
              <w:rPr>
                <w:lang w:val="en-AU"/>
              </w:rPr>
            </w:pPr>
            <w:r w:rsidRPr="00DF24F6">
              <w:rPr>
                <w:lang w:val="en-AU"/>
              </w:rPr>
              <w:t>1</w:t>
            </w:r>
          </w:p>
        </w:tc>
        <w:tc>
          <w:tcPr>
            <w:tcW w:w="576" w:type="dxa"/>
          </w:tcPr>
          <w:p w14:paraId="47C49931" w14:textId="77777777" w:rsidR="00BD2FEB" w:rsidRPr="00DF24F6" w:rsidRDefault="00BD2FEB" w:rsidP="00C76316">
            <w:pPr>
              <w:pStyle w:val="VCAAtablecondensedheading"/>
              <w:rPr>
                <w:lang w:val="en-AU"/>
              </w:rPr>
            </w:pPr>
            <w:r w:rsidRPr="00DF24F6">
              <w:rPr>
                <w:lang w:val="en-AU"/>
              </w:rPr>
              <w:t>2</w:t>
            </w:r>
          </w:p>
        </w:tc>
        <w:tc>
          <w:tcPr>
            <w:tcW w:w="576" w:type="dxa"/>
          </w:tcPr>
          <w:p w14:paraId="5C35D1BA" w14:textId="77777777" w:rsidR="00BD2FEB" w:rsidRPr="00DF24F6" w:rsidRDefault="00BD2FEB" w:rsidP="00C76316">
            <w:pPr>
              <w:pStyle w:val="VCAAtablecondensedheading"/>
              <w:rPr>
                <w:lang w:val="en-AU"/>
              </w:rPr>
            </w:pPr>
            <w:r w:rsidRPr="00DF24F6">
              <w:rPr>
                <w:lang w:val="en-AU"/>
              </w:rPr>
              <w:t>3</w:t>
            </w:r>
          </w:p>
        </w:tc>
        <w:tc>
          <w:tcPr>
            <w:tcW w:w="576" w:type="dxa"/>
          </w:tcPr>
          <w:p w14:paraId="17BBC01D" w14:textId="77777777" w:rsidR="00BD2FEB" w:rsidRPr="00DF24F6" w:rsidRDefault="00BD2FEB" w:rsidP="00C76316">
            <w:pPr>
              <w:pStyle w:val="VCAAtablecondensedheading"/>
              <w:rPr>
                <w:lang w:val="en-AU"/>
              </w:rPr>
            </w:pPr>
            <w:r w:rsidRPr="00DF24F6">
              <w:rPr>
                <w:lang w:val="en-AU"/>
              </w:rPr>
              <w:t>4</w:t>
            </w:r>
          </w:p>
        </w:tc>
        <w:tc>
          <w:tcPr>
            <w:tcW w:w="576" w:type="dxa"/>
          </w:tcPr>
          <w:p w14:paraId="18C5CF76" w14:textId="77777777" w:rsidR="00BD2FEB" w:rsidRPr="00DF24F6" w:rsidRDefault="00BD2FEB" w:rsidP="00C76316">
            <w:pPr>
              <w:pStyle w:val="VCAAtablecondensedheading"/>
              <w:rPr>
                <w:lang w:val="en-AU"/>
              </w:rPr>
            </w:pPr>
            <w:r w:rsidRPr="00DF24F6">
              <w:rPr>
                <w:lang w:val="en-AU"/>
              </w:rPr>
              <w:t>5</w:t>
            </w:r>
          </w:p>
        </w:tc>
        <w:tc>
          <w:tcPr>
            <w:tcW w:w="1008" w:type="dxa"/>
          </w:tcPr>
          <w:p w14:paraId="77B49ACF" w14:textId="77777777" w:rsidR="00BD2FEB" w:rsidRPr="00DF24F6" w:rsidRDefault="00BD2FEB" w:rsidP="00C76316">
            <w:pPr>
              <w:pStyle w:val="VCAAtablecondensedheading"/>
              <w:rPr>
                <w:lang w:val="en-AU"/>
              </w:rPr>
            </w:pPr>
            <w:r w:rsidRPr="00DF24F6">
              <w:rPr>
                <w:lang w:val="en-AU"/>
              </w:rPr>
              <w:t>Average</w:t>
            </w:r>
          </w:p>
        </w:tc>
      </w:tr>
      <w:tr w:rsidR="00BD2FEB" w:rsidRPr="00492D1A" w14:paraId="16452EF6" w14:textId="77777777" w:rsidTr="00C76316">
        <w:tc>
          <w:tcPr>
            <w:tcW w:w="720" w:type="dxa"/>
          </w:tcPr>
          <w:p w14:paraId="3B9BF910" w14:textId="77777777" w:rsidR="00BD2FEB" w:rsidRPr="00492D1A" w:rsidRDefault="00BD2FEB" w:rsidP="00C76316">
            <w:pPr>
              <w:pStyle w:val="VCAAtablecondensed"/>
              <w:rPr>
                <w:color w:val="auto"/>
              </w:rPr>
            </w:pPr>
            <w:r w:rsidRPr="00492D1A">
              <w:rPr>
                <w:color w:val="auto"/>
              </w:rPr>
              <w:t>%</w:t>
            </w:r>
          </w:p>
        </w:tc>
        <w:tc>
          <w:tcPr>
            <w:tcW w:w="576" w:type="dxa"/>
            <w:vAlign w:val="bottom"/>
          </w:tcPr>
          <w:p w14:paraId="69AEA4FD" w14:textId="77777777" w:rsidR="00BD2FEB" w:rsidRPr="00492D1A" w:rsidRDefault="00BD2FEB" w:rsidP="00C76316">
            <w:pPr>
              <w:pStyle w:val="VCAAtablecondensed"/>
              <w:rPr>
                <w:color w:val="auto"/>
              </w:rPr>
            </w:pPr>
            <w:r w:rsidRPr="00492D1A">
              <w:rPr>
                <w:color w:val="auto"/>
              </w:rPr>
              <w:t>11</w:t>
            </w:r>
          </w:p>
        </w:tc>
        <w:tc>
          <w:tcPr>
            <w:tcW w:w="576" w:type="dxa"/>
            <w:vAlign w:val="bottom"/>
          </w:tcPr>
          <w:p w14:paraId="6BFC775E" w14:textId="77777777" w:rsidR="00BD2FEB" w:rsidRPr="00492D1A" w:rsidRDefault="00BD2FEB" w:rsidP="00C76316">
            <w:pPr>
              <w:pStyle w:val="VCAAtablecondensed"/>
              <w:rPr>
                <w:color w:val="auto"/>
              </w:rPr>
            </w:pPr>
            <w:r w:rsidRPr="00492D1A">
              <w:rPr>
                <w:color w:val="auto"/>
              </w:rPr>
              <w:t>17</w:t>
            </w:r>
          </w:p>
        </w:tc>
        <w:tc>
          <w:tcPr>
            <w:tcW w:w="576" w:type="dxa"/>
            <w:vAlign w:val="bottom"/>
          </w:tcPr>
          <w:p w14:paraId="4F7C3BD9" w14:textId="77777777" w:rsidR="00BD2FEB" w:rsidRPr="00492D1A" w:rsidRDefault="00BD2FEB" w:rsidP="00C76316">
            <w:pPr>
              <w:pStyle w:val="VCAAtablecondensed"/>
              <w:rPr>
                <w:color w:val="auto"/>
              </w:rPr>
            </w:pPr>
            <w:r w:rsidRPr="00492D1A">
              <w:rPr>
                <w:color w:val="auto"/>
              </w:rPr>
              <w:t>24</w:t>
            </w:r>
          </w:p>
        </w:tc>
        <w:tc>
          <w:tcPr>
            <w:tcW w:w="576" w:type="dxa"/>
          </w:tcPr>
          <w:p w14:paraId="6C10C07B" w14:textId="77777777" w:rsidR="00BD2FEB" w:rsidRPr="00492D1A" w:rsidRDefault="00BD2FEB" w:rsidP="00C76316">
            <w:pPr>
              <w:pStyle w:val="VCAAtablecondensed"/>
              <w:rPr>
                <w:color w:val="auto"/>
              </w:rPr>
            </w:pPr>
            <w:r w:rsidRPr="00492D1A">
              <w:rPr>
                <w:color w:val="auto"/>
              </w:rPr>
              <w:t>25</w:t>
            </w:r>
          </w:p>
        </w:tc>
        <w:tc>
          <w:tcPr>
            <w:tcW w:w="576" w:type="dxa"/>
          </w:tcPr>
          <w:p w14:paraId="59B527EB" w14:textId="77777777" w:rsidR="00BD2FEB" w:rsidRPr="00492D1A" w:rsidRDefault="00BD2FEB" w:rsidP="00C76316">
            <w:pPr>
              <w:pStyle w:val="VCAAtablecondensed"/>
              <w:rPr>
                <w:color w:val="auto"/>
              </w:rPr>
            </w:pPr>
            <w:r w:rsidRPr="00492D1A">
              <w:rPr>
                <w:color w:val="auto"/>
              </w:rPr>
              <w:t>17</w:t>
            </w:r>
          </w:p>
        </w:tc>
        <w:tc>
          <w:tcPr>
            <w:tcW w:w="576" w:type="dxa"/>
            <w:vAlign w:val="bottom"/>
          </w:tcPr>
          <w:p w14:paraId="15C93851" w14:textId="77777777" w:rsidR="00BD2FEB" w:rsidRPr="00492D1A" w:rsidRDefault="00BD2FEB" w:rsidP="00C76316">
            <w:pPr>
              <w:pStyle w:val="VCAAtablecondensed"/>
              <w:rPr>
                <w:color w:val="auto"/>
              </w:rPr>
            </w:pPr>
            <w:r w:rsidRPr="00492D1A">
              <w:rPr>
                <w:color w:val="auto"/>
              </w:rPr>
              <w:t>7</w:t>
            </w:r>
          </w:p>
        </w:tc>
        <w:tc>
          <w:tcPr>
            <w:tcW w:w="1008" w:type="dxa"/>
          </w:tcPr>
          <w:p w14:paraId="63823C03" w14:textId="77777777" w:rsidR="00BD2FEB" w:rsidRPr="00492D1A" w:rsidRDefault="00BD2FEB" w:rsidP="00C76316">
            <w:pPr>
              <w:pStyle w:val="VCAAtablecondensed"/>
              <w:rPr>
                <w:color w:val="auto"/>
              </w:rPr>
            </w:pPr>
            <w:r w:rsidRPr="00492D1A">
              <w:rPr>
                <w:color w:val="auto"/>
              </w:rPr>
              <w:t>2.4</w:t>
            </w:r>
          </w:p>
        </w:tc>
      </w:tr>
    </w:tbl>
    <w:p w14:paraId="78E3E453" w14:textId="77777777" w:rsidR="00BD2FEB" w:rsidRPr="00492D1A" w:rsidRDefault="00BD2FEB" w:rsidP="00632752">
      <w:pPr>
        <w:pStyle w:val="BodyText"/>
      </w:pPr>
      <w:r w:rsidRPr="00492D1A">
        <w:t xml:space="preserve">Students were required to analyse how the reintroduction of tariffs on Australian exports would affect the allocation of resources in both the short term and the long term. While many students were able to correctly demonstrate an understanding of free trade and its effect on resource allocation, many struggled to transfer this understanding to protectionist policies. </w:t>
      </w:r>
    </w:p>
    <w:p w14:paraId="59BB2A47" w14:textId="77777777" w:rsidR="00BD2FEB" w:rsidRPr="00492D1A" w:rsidRDefault="00BD2FEB" w:rsidP="00632752">
      <w:pPr>
        <w:pStyle w:val="BodyText"/>
      </w:pPr>
      <w:r w:rsidRPr="00492D1A">
        <w:t xml:space="preserve">High-scoring responses: </w:t>
      </w:r>
    </w:p>
    <w:p w14:paraId="7C51D5CF" w14:textId="77777777" w:rsidR="00BD2FEB" w:rsidRPr="00492D1A" w:rsidRDefault="00BD2FEB" w:rsidP="00BD2FEB">
      <w:pPr>
        <w:pStyle w:val="Bullet"/>
        <w:ind w:left="426" w:hanging="426"/>
      </w:pPr>
      <w:r w:rsidRPr="00492D1A">
        <w:t xml:space="preserve">demonstrated an understanding of protectionism </w:t>
      </w:r>
    </w:p>
    <w:p w14:paraId="6A84553E" w14:textId="77777777" w:rsidR="00BD2FEB" w:rsidRPr="00492D1A" w:rsidRDefault="00BD2FEB" w:rsidP="00BD2FEB">
      <w:pPr>
        <w:pStyle w:val="Bullet"/>
        <w:ind w:left="426" w:hanging="426"/>
      </w:pPr>
      <w:r w:rsidRPr="00492D1A">
        <w:t>explained the short-term impacts of protectionism on resource allocation in Australia (or the efficiency of resource allocation)</w:t>
      </w:r>
    </w:p>
    <w:p w14:paraId="71C70CDA" w14:textId="77777777" w:rsidR="00BD2FEB" w:rsidRPr="00492D1A" w:rsidRDefault="00BD2FEB" w:rsidP="00BD2FEB">
      <w:pPr>
        <w:pStyle w:val="Bullet"/>
        <w:ind w:left="426" w:hanging="426"/>
      </w:pPr>
      <w:r w:rsidRPr="00492D1A">
        <w:t>explained the long-term impacts of protectionism on resource allocation in Australia (or the efficiency of resource allocation)</w:t>
      </w:r>
    </w:p>
    <w:p w14:paraId="7C450585" w14:textId="77777777" w:rsidR="00BD2FEB" w:rsidRPr="00492D1A" w:rsidRDefault="00BD2FEB" w:rsidP="00632752">
      <w:pPr>
        <w:pStyle w:val="BodyText"/>
      </w:pPr>
      <w:r w:rsidRPr="00492D1A">
        <w:t xml:space="preserve">Common misconceptions included: </w:t>
      </w:r>
    </w:p>
    <w:p w14:paraId="7EF1C91B" w14:textId="77777777" w:rsidR="00BD2FEB" w:rsidRPr="00492D1A" w:rsidRDefault="00BD2FEB" w:rsidP="00BD2FEB">
      <w:pPr>
        <w:pStyle w:val="Bullet"/>
        <w:ind w:left="426" w:hanging="426"/>
      </w:pPr>
      <w:r w:rsidRPr="00492D1A">
        <w:t xml:space="preserve">asserting an improvement in efficiency in the long term </w:t>
      </w:r>
    </w:p>
    <w:p w14:paraId="1CBD1283" w14:textId="77777777" w:rsidR="00BD2FEB" w:rsidRPr="00492D1A" w:rsidRDefault="00BD2FEB" w:rsidP="00632752">
      <w:pPr>
        <w:pStyle w:val="Indent"/>
      </w:pPr>
      <w:r w:rsidRPr="00492D1A">
        <w:t>Most students correctly identified the short-term impacts of protectionist policies like tariffs. However, many mistakenly asserted that in the longer term, Australian businesses would adapt and focus on areas of production in which they have a comparative advantage. This is an argument for trade liberalisation not protectionism.</w:t>
      </w:r>
    </w:p>
    <w:p w14:paraId="1C7BEF41" w14:textId="77777777" w:rsidR="00BD2FEB" w:rsidRPr="00492D1A" w:rsidRDefault="00BD2FEB" w:rsidP="00632752">
      <w:pPr>
        <w:pStyle w:val="Indent"/>
      </w:pPr>
      <w:r w:rsidRPr="00492D1A">
        <w:t xml:space="preserve">Relative to the short-term negative impacts of tariffs, Australian businesses may adapt and improve efficiency; but claiming that protectionist policies lead to an efficient outcome in the long term is incorrect. </w:t>
      </w:r>
    </w:p>
    <w:p w14:paraId="2F610579" w14:textId="77777777" w:rsidR="00BD2FEB" w:rsidRPr="00492D1A" w:rsidRDefault="00BD2FEB" w:rsidP="00BD2FEB">
      <w:pPr>
        <w:pStyle w:val="Bullet"/>
        <w:ind w:left="426" w:hanging="426"/>
      </w:pPr>
      <w:r w:rsidRPr="00492D1A">
        <w:t>misunderstanding the direction of tariffs</w:t>
      </w:r>
    </w:p>
    <w:p w14:paraId="381BAF6D" w14:textId="77777777" w:rsidR="00BD2FEB" w:rsidRPr="00492D1A" w:rsidRDefault="00BD2FEB" w:rsidP="00632752">
      <w:pPr>
        <w:pStyle w:val="Indent"/>
      </w:pPr>
      <w:r w:rsidRPr="00492D1A">
        <w:t xml:space="preserve">Some responses explained how tariffs on US exports to Australia would impact resource allocation. While these answers did demonstrate some understanding of protectionist policy, this was not an adequate response. </w:t>
      </w:r>
    </w:p>
    <w:p w14:paraId="1925B27B" w14:textId="77777777" w:rsidR="00BD2FEB" w:rsidRPr="00492D1A" w:rsidRDefault="00BD2FEB" w:rsidP="00632752">
      <w:pPr>
        <w:pStyle w:val="BodyText"/>
      </w:pPr>
      <w:r w:rsidRPr="00492D1A">
        <w:t>The following is an example of a high-scoring response:</w:t>
      </w:r>
    </w:p>
    <w:p w14:paraId="563CCFE8" w14:textId="77777777" w:rsidR="00BD2FEB" w:rsidRPr="00492D1A" w:rsidRDefault="00BD2FEB" w:rsidP="00632752">
      <w:pPr>
        <w:pStyle w:val="Studentsample"/>
      </w:pPr>
      <w:r w:rsidRPr="00492D1A">
        <w:t xml:space="preserve">A short-term impact of the US imposing tariffs on Australian goods is that, since it would cost more for American consumers to buy Australian exports (since they would pay the price and the extra cost when the US importers pass the tariffs onto them as increased prices), AD would fall through a reduction of net exports. This could temporarily cause businesses that mostly exported to be out of business or to shut down, and </w:t>
      </w:r>
      <w:proofErr w:type="gramStart"/>
      <w:r w:rsidRPr="00492D1A">
        <w:t>overall</w:t>
      </w:r>
      <w:proofErr w:type="gramEnd"/>
      <w:r w:rsidRPr="00492D1A">
        <w:t xml:space="preserve"> the reduction of AD would disincentivise businesses’ production, requiring less labour resources, increasing unemployment. However, in the long term, businesses would restructure to either produce goods and services with higher relative demand from Australian consumers or foreign non-US consumers where there are no tariffs. This would stimulate </w:t>
      </w:r>
      <w:proofErr w:type="gramStart"/>
      <w:r w:rsidRPr="00492D1A">
        <w:t>AD</w:t>
      </w:r>
      <w:proofErr w:type="gramEnd"/>
      <w:r w:rsidRPr="00492D1A">
        <w:t xml:space="preserve"> and businesses would respond by increasing production and reallocating resources including labour and capital to different areas of production. </w:t>
      </w:r>
    </w:p>
    <w:p w14:paraId="1B4C6786" w14:textId="77777777" w:rsidR="00632752" w:rsidRDefault="00632752">
      <w:pPr>
        <w:spacing w:line="276" w:lineRule="auto"/>
        <w:rPr>
          <w:rFonts w:ascii="Arial" w:hAnsi="Arial" w:cs="Arial"/>
          <w:color w:val="0F7EB4"/>
          <w:sz w:val="40"/>
          <w:szCs w:val="28"/>
          <w:lang w:val="en-AU"/>
        </w:rPr>
      </w:pPr>
      <w:r>
        <w:br w:type="page"/>
      </w:r>
    </w:p>
    <w:p w14:paraId="148E034D" w14:textId="02D4083B" w:rsidR="00BD2FEB" w:rsidRDefault="00BD2FEB" w:rsidP="00BD2FEB">
      <w:pPr>
        <w:pStyle w:val="Heading2"/>
      </w:pPr>
      <w:r w:rsidRPr="00BF30E1">
        <w:lastRenderedPageBreak/>
        <w:t xml:space="preserve">Question 5a. </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BD2FEB" w:rsidRPr="00DF24F6" w14:paraId="1A54F43F" w14:textId="77777777" w:rsidTr="00C76316">
        <w:trPr>
          <w:cnfStyle w:val="100000000000" w:firstRow="1" w:lastRow="0" w:firstColumn="0" w:lastColumn="0" w:oddVBand="0" w:evenVBand="0" w:oddHBand="0" w:evenHBand="0" w:firstRowFirstColumn="0" w:firstRowLastColumn="0" w:lastRowFirstColumn="0" w:lastRowLastColumn="0"/>
        </w:trPr>
        <w:tc>
          <w:tcPr>
            <w:tcW w:w="720" w:type="dxa"/>
          </w:tcPr>
          <w:p w14:paraId="27215D71" w14:textId="77777777" w:rsidR="00BD2FEB" w:rsidRPr="00DF24F6" w:rsidRDefault="00BD2FEB" w:rsidP="00C76316">
            <w:pPr>
              <w:pStyle w:val="VCAAtablecondensedheading"/>
              <w:rPr>
                <w:lang w:val="en-AU"/>
              </w:rPr>
            </w:pPr>
            <w:r w:rsidRPr="00DF24F6">
              <w:rPr>
                <w:lang w:val="en-AU"/>
              </w:rPr>
              <w:t>Marks</w:t>
            </w:r>
          </w:p>
        </w:tc>
        <w:tc>
          <w:tcPr>
            <w:tcW w:w="576" w:type="dxa"/>
          </w:tcPr>
          <w:p w14:paraId="460A81EE" w14:textId="77777777" w:rsidR="00BD2FEB" w:rsidRPr="00DF24F6" w:rsidRDefault="00BD2FEB" w:rsidP="00C76316">
            <w:pPr>
              <w:pStyle w:val="VCAAtablecondensedheading"/>
              <w:rPr>
                <w:lang w:val="en-AU"/>
              </w:rPr>
            </w:pPr>
            <w:r w:rsidRPr="00DF24F6">
              <w:rPr>
                <w:lang w:val="en-AU"/>
              </w:rPr>
              <w:t>0</w:t>
            </w:r>
          </w:p>
        </w:tc>
        <w:tc>
          <w:tcPr>
            <w:tcW w:w="576" w:type="dxa"/>
          </w:tcPr>
          <w:p w14:paraId="1C27650D" w14:textId="77777777" w:rsidR="00BD2FEB" w:rsidRPr="00DF24F6" w:rsidRDefault="00BD2FEB" w:rsidP="00C76316">
            <w:pPr>
              <w:pStyle w:val="VCAAtablecondensedheading"/>
              <w:rPr>
                <w:lang w:val="en-AU"/>
              </w:rPr>
            </w:pPr>
            <w:r w:rsidRPr="00DF24F6">
              <w:rPr>
                <w:lang w:val="en-AU"/>
              </w:rPr>
              <w:t>1</w:t>
            </w:r>
          </w:p>
        </w:tc>
        <w:tc>
          <w:tcPr>
            <w:tcW w:w="576" w:type="dxa"/>
          </w:tcPr>
          <w:p w14:paraId="2E5C522E" w14:textId="77777777" w:rsidR="00BD2FEB" w:rsidRPr="00DF24F6" w:rsidRDefault="00BD2FEB" w:rsidP="00C76316">
            <w:pPr>
              <w:pStyle w:val="VCAAtablecondensedheading"/>
              <w:rPr>
                <w:lang w:val="en-AU"/>
              </w:rPr>
            </w:pPr>
            <w:r w:rsidRPr="00DF24F6">
              <w:rPr>
                <w:lang w:val="en-AU"/>
              </w:rPr>
              <w:t>2</w:t>
            </w:r>
          </w:p>
        </w:tc>
        <w:tc>
          <w:tcPr>
            <w:tcW w:w="1008" w:type="dxa"/>
          </w:tcPr>
          <w:p w14:paraId="26C979DE" w14:textId="77777777" w:rsidR="00BD2FEB" w:rsidRPr="00DF24F6" w:rsidRDefault="00BD2FEB" w:rsidP="00C76316">
            <w:pPr>
              <w:pStyle w:val="VCAAtablecondensedheading"/>
              <w:rPr>
                <w:lang w:val="en-AU"/>
              </w:rPr>
            </w:pPr>
            <w:r w:rsidRPr="00DF24F6">
              <w:rPr>
                <w:lang w:val="en-AU"/>
              </w:rPr>
              <w:t>Average</w:t>
            </w:r>
          </w:p>
        </w:tc>
      </w:tr>
      <w:tr w:rsidR="00BD2FEB" w:rsidRPr="00492D1A" w14:paraId="1D1B7F1F" w14:textId="77777777" w:rsidTr="00C76316">
        <w:tc>
          <w:tcPr>
            <w:tcW w:w="720" w:type="dxa"/>
          </w:tcPr>
          <w:p w14:paraId="482ACA03" w14:textId="77777777" w:rsidR="00BD2FEB" w:rsidRPr="00492D1A" w:rsidRDefault="00BD2FEB" w:rsidP="00C76316">
            <w:pPr>
              <w:pStyle w:val="VCAAtablecondensed"/>
              <w:rPr>
                <w:color w:val="auto"/>
              </w:rPr>
            </w:pPr>
            <w:r w:rsidRPr="00492D1A">
              <w:rPr>
                <w:color w:val="auto"/>
              </w:rPr>
              <w:t>%</w:t>
            </w:r>
          </w:p>
        </w:tc>
        <w:tc>
          <w:tcPr>
            <w:tcW w:w="576" w:type="dxa"/>
            <w:vAlign w:val="bottom"/>
          </w:tcPr>
          <w:p w14:paraId="2C94A69D" w14:textId="77777777" w:rsidR="00BD2FEB" w:rsidRPr="00492D1A" w:rsidRDefault="00BD2FEB" w:rsidP="00C76316">
            <w:pPr>
              <w:pStyle w:val="VCAAtablecondensed"/>
              <w:rPr>
                <w:color w:val="auto"/>
              </w:rPr>
            </w:pPr>
            <w:r w:rsidRPr="00492D1A">
              <w:rPr>
                <w:color w:val="auto"/>
              </w:rPr>
              <w:t>28</w:t>
            </w:r>
          </w:p>
        </w:tc>
        <w:tc>
          <w:tcPr>
            <w:tcW w:w="576" w:type="dxa"/>
            <w:vAlign w:val="bottom"/>
          </w:tcPr>
          <w:p w14:paraId="5DC8A07D" w14:textId="77777777" w:rsidR="00BD2FEB" w:rsidRPr="00492D1A" w:rsidRDefault="00BD2FEB" w:rsidP="00C76316">
            <w:pPr>
              <w:pStyle w:val="VCAAtablecondensed"/>
              <w:rPr>
                <w:color w:val="auto"/>
              </w:rPr>
            </w:pPr>
            <w:r w:rsidRPr="00492D1A">
              <w:rPr>
                <w:color w:val="auto"/>
              </w:rPr>
              <w:t>27</w:t>
            </w:r>
          </w:p>
        </w:tc>
        <w:tc>
          <w:tcPr>
            <w:tcW w:w="576" w:type="dxa"/>
            <w:vAlign w:val="bottom"/>
          </w:tcPr>
          <w:p w14:paraId="74C1B1E0" w14:textId="77777777" w:rsidR="00BD2FEB" w:rsidRPr="00492D1A" w:rsidRDefault="00BD2FEB" w:rsidP="00C76316">
            <w:pPr>
              <w:pStyle w:val="VCAAtablecondensed"/>
              <w:rPr>
                <w:color w:val="auto"/>
              </w:rPr>
            </w:pPr>
            <w:r w:rsidRPr="00492D1A">
              <w:rPr>
                <w:color w:val="auto"/>
              </w:rPr>
              <w:t>46</w:t>
            </w:r>
          </w:p>
        </w:tc>
        <w:tc>
          <w:tcPr>
            <w:tcW w:w="1008" w:type="dxa"/>
          </w:tcPr>
          <w:p w14:paraId="45D1CFBE" w14:textId="77777777" w:rsidR="00BD2FEB" w:rsidRPr="00492D1A" w:rsidRDefault="00BD2FEB" w:rsidP="00C76316">
            <w:pPr>
              <w:pStyle w:val="VCAAtablecondensed"/>
              <w:rPr>
                <w:color w:val="auto"/>
              </w:rPr>
            </w:pPr>
            <w:r w:rsidRPr="00492D1A">
              <w:rPr>
                <w:color w:val="auto"/>
              </w:rPr>
              <w:t>1.2</w:t>
            </w:r>
          </w:p>
        </w:tc>
      </w:tr>
    </w:tbl>
    <w:p w14:paraId="59C03112" w14:textId="77777777" w:rsidR="00BD2FEB" w:rsidRPr="00492D1A" w:rsidRDefault="00BD2FEB" w:rsidP="00632752">
      <w:pPr>
        <w:pStyle w:val="BodyText"/>
      </w:pPr>
      <w:r w:rsidRPr="00492D1A">
        <w:t xml:space="preserve">Students were required to identify a weakness of monetary policy other than its inability to target specific sectors, and to explain how this weakness affects the achievement of strong and sustainable economic growth. This question was answered well by many students, with almost half the cohort achieving full marks. </w:t>
      </w:r>
    </w:p>
    <w:p w14:paraId="3D276DD6" w14:textId="77777777" w:rsidR="00BD2FEB" w:rsidRPr="00492D1A" w:rsidRDefault="00BD2FEB" w:rsidP="00632752">
      <w:pPr>
        <w:pStyle w:val="BodyText"/>
      </w:pPr>
      <w:r w:rsidRPr="00492D1A">
        <w:t xml:space="preserve">High-scoring responses: </w:t>
      </w:r>
    </w:p>
    <w:p w14:paraId="2CAD6C9B" w14:textId="77777777" w:rsidR="00BD2FEB" w:rsidRPr="00492D1A" w:rsidRDefault="00BD2FEB" w:rsidP="00BD2FEB">
      <w:pPr>
        <w:pStyle w:val="Bullet"/>
        <w:ind w:left="426" w:hanging="426"/>
      </w:pPr>
      <w:r w:rsidRPr="00492D1A">
        <w:t>demonstrated an understanding of one weakness of monetary policy other than a blunt instrument</w:t>
      </w:r>
    </w:p>
    <w:p w14:paraId="142C4330" w14:textId="77777777" w:rsidR="00BD2FEB" w:rsidRPr="00492D1A" w:rsidRDefault="00BD2FEB" w:rsidP="00632752">
      <w:pPr>
        <w:pStyle w:val="Indent"/>
      </w:pPr>
      <w:r w:rsidRPr="00492D1A">
        <w:t xml:space="preserve">Such responses referred to the long impact lag associated with monetary policy or noted that monetary policy is less effective in periods of high household debt, low consumer confidence or when interest rates are close to their lower bound. </w:t>
      </w:r>
    </w:p>
    <w:p w14:paraId="011A49DB" w14:textId="77777777" w:rsidR="00BD2FEB" w:rsidRPr="00492D1A" w:rsidRDefault="00BD2FEB" w:rsidP="00BD2FEB">
      <w:pPr>
        <w:pStyle w:val="Bullet"/>
        <w:ind w:left="426" w:hanging="426"/>
      </w:pPr>
      <w:r w:rsidRPr="00492D1A">
        <w:t xml:space="preserve">outlined how this weakness could make it harder to achieve strong and sustainable growth </w:t>
      </w:r>
    </w:p>
    <w:p w14:paraId="688FF99F" w14:textId="77777777" w:rsidR="00BD2FEB" w:rsidRPr="00492D1A" w:rsidRDefault="00BD2FEB" w:rsidP="00632752">
      <w:pPr>
        <w:pStyle w:val="Indent"/>
      </w:pPr>
      <w:r w:rsidRPr="00492D1A">
        <w:t xml:space="preserve">To achieve full marks, students needed to clearly state how this weakness makes it harder for the RBA to stimulate spending and achieve its goal of strong and sustainable economic growth. </w:t>
      </w:r>
    </w:p>
    <w:p w14:paraId="76684943" w14:textId="77777777" w:rsidR="00BD2FEB" w:rsidRPr="00492D1A" w:rsidRDefault="00BD2FEB" w:rsidP="00632752">
      <w:pPr>
        <w:pStyle w:val="BodyText"/>
      </w:pPr>
      <w:r w:rsidRPr="00492D1A">
        <w:t xml:space="preserve">Common misconceptions included: </w:t>
      </w:r>
    </w:p>
    <w:p w14:paraId="19CF885A" w14:textId="77777777" w:rsidR="00BD2FEB" w:rsidRPr="00492D1A" w:rsidRDefault="00BD2FEB" w:rsidP="00BD2FEB">
      <w:pPr>
        <w:pStyle w:val="Bullet"/>
        <w:ind w:left="426" w:hanging="426"/>
      </w:pPr>
      <w:r w:rsidRPr="00492D1A">
        <w:t xml:space="preserve">citing the inability to target specific areas of weakness in the economy </w:t>
      </w:r>
    </w:p>
    <w:p w14:paraId="49AEA5A8" w14:textId="77777777" w:rsidR="00BD2FEB" w:rsidRPr="00492D1A" w:rsidRDefault="00BD2FEB" w:rsidP="00632752">
      <w:pPr>
        <w:pStyle w:val="BodyText"/>
      </w:pPr>
      <w:r w:rsidRPr="00492D1A">
        <w:t xml:space="preserve">Many students explained that monetary policy cannot target </w:t>
      </w:r>
      <w:proofErr w:type="gramStart"/>
      <w:r w:rsidRPr="00492D1A">
        <w:t>particular sectors</w:t>
      </w:r>
      <w:proofErr w:type="gramEnd"/>
      <w:r w:rsidRPr="00492D1A">
        <w:t xml:space="preserve"> of the economy. As this describes its nature as a blunt instrument, marks were not awarded for this explanation. </w:t>
      </w:r>
    </w:p>
    <w:p w14:paraId="4C160A61" w14:textId="77777777" w:rsidR="00BD2FEB" w:rsidRPr="00492D1A" w:rsidRDefault="00BD2FEB" w:rsidP="00BD2FEB">
      <w:pPr>
        <w:pStyle w:val="Bullet"/>
        <w:ind w:left="426" w:hanging="426"/>
      </w:pPr>
      <w:r w:rsidRPr="00492D1A">
        <w:t xml:space="preserve">confusing implementation lags with impact lags </w:t>
      </w:r>
    </w:p>
    <w:p w14:paraId="0498F7BE" w14:textId="77777777" w:rsidR="00BD2FEB" w:rsidRPr="00492D1A" w:rsidRDefault="00BD2FEB" w:rsidP="00632752">
      <w:pPr>
        <w:pStyle w:val="BodyText"/>
      </w:pPr>
      <w:r w:rsidRPr="00492D1A">
        <w:t>Some students incorrectly stated that monetary policy has a long implementation lag. Monetary policy has no implementation lag as changes to the cash rate could be implemented immediately following a board decision. The impact lag refers to the time it takes for changes in the cash rate to influence AD and economic activity.</w:t>
      </w:r>
    </w:p>
    <w:p w14:paraId="7B64F8F4" w14:textId="77777777" w:rsidR="00BD2FEB" w:rsidRPr="00492D1A" w:rsidRDefault="00BD2FEB" w:rsidP="00632752">
      <w:pPr>
        <w:pStyle w:val="BodyText"/>
      </w:pPr>
      <w:r w:rsidRPr="00492D1A">
        <w:t>The following is an example of a high-scoring response:</w:t>
      </w:r>
    </w:p>
    <w:p w14:paraId="6BAFAD09" w14:textId="77777777" w:rsidR="00BD2FEB" w:rsidRPr="00492D1A" w:rsidRDefault="00BD2FEB" w:rsidP="00632752">
      <w:pPr>
        <w:pStyle w:val="Studentsample"/>
      </w:pPr>
      <w:r w:rsidRPr="00492D1A">
        <w:t xml:space="preserve">Assuming the RBA ascertained that it is not concerned about the impact of weak economic growth rate (i.e. &lt;3%) on increased unemployment, hindering the ‘full employment’ achievement as outlined in its charter, it may hold an expansionary stance – i.e. target cash rate below 3%. However, this is dampened due to high household debt levels in Australia. Through the cash flow channel, any increases in discretionary income, </w:t>
      </w:r>
      <w:proofErr w:type="gramStart"/>
      <w:r w:rsidRPr="00492D1A">
        <w:t>as a result of</w:t>
      </w:r>
      <w:proofErr w:type="gramEnd"/>
      <w:r w:rsidRPr="00492D1A">
        <w:t xml:space="preserve"> lower interest payments, are more likely to be spent on repaying existing debts, rather than on consumption of goods and services (C). As such, the cash flow channel is relatively ineffective, causing a constrained ability for the RBA to stimulate AD, production and hence achieve a stronger rate of economic growth (and maintaining full employment), representing a weakness.</w:t>
      </w:r>
    </w:p>
    <w:p w14:paraId="04B90271" w14:textId="77777777" w:rsidR="00632752" w:rsidRDefault="00632752">
      <w:pPr>
        <w:spacing w:line="276" w:lineRule="auto"/>
        <w:rPr>
          <w:rFonts w:ascii="Arial" w:hAnsi="Arial" w:cs="Arial"/>
          <w:color w:val="0F7EB4"/>
          <w:sz w:val="40"/>
          <w:szCs w:val="28"/>
          <w:lang w:val="en-AU"/>
        </w:rPr>
      </w:pPr>
      <w:r>
        <w:br w:type="page"/>
      </w:r>
    </w:p>
    <w:p w14:paraId="2D341791" w14:textId="5D2C39FA" w:rsidR="00BD2FEB" w:rsidRDefault="00BD2FEB" w:rsidP="00BD2FEB">
      <w:pPr>
        <w:pStyle w:val="Heading2"/>
      </w:pPr>
      <w:r w:rsidRPr="00BF30E1">
        <w:lastRenderedPageBreak/>
        <w:t>Question 5b.</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576"/>
        <w:gridCol w:w="1008"/>
      </w:tblGrid>
      <w:tr w:rsidR="00BD2FEB" w:rsidRPr="00DF24F6" w14:paraId="5EE19171" w14:textId="77777777" w:rsidTr="00C76316">
        <w:trPr>
          <w:cnfStyle w:val="100000000000" w:firstRow="1" w:lastRow="0" w:firstColumn="0" w:lastColumn="0" w:oddVBand="0" w:evenVBand="0" w:oddHBand="0" w:evenHBand="0" w:firstRowFirstColumn="0" w:firstRowLastColumn="0" w:lastRowFirstColumn="0" w:lastRowLastColumn="0"/>
        </w:trPr>
        <w:tc>
          <w:tcPr>
            <w:tcW w:w="720" w:type="dxa"/>
          </w:tcPr>
          <w:p w14:paraId="4278E77F" w14:textId="77777777" w:rsidR="00BD2FEB" w:rsidRPr="00DF24F6" w:rsidRDefault="00BD2FEB" w:rsidP="00C76316">
            <w:pPr>
              <w:pStyle w:val="VCAAtablecondensedheading"/>
              <w:rPr>
                <w:lang w:val="en-AU"/>
              </w:rPr>
            </w:pPr>
            <w:r w:rsidRPr="00DF24F6">
              <w:rPr>
                <w:lang w:val="en-AU"/>
              </w:rPr>
              <w:t>Marks</w:t>
            </w:r>
          </w:p>
        </w:tc>
        <w:tc>
          <w:tcPr>
            <w:tcW w:w="576" w:type="dxa"/>
          </w:tcPr>
          <w:p w14:paraId="3355DA77" w14:textId="77777777" w:rsidR="00BD2FEB" w:rsidRPr="00DF24F6" w:rsidRDefault="00BD2FEB" w:rsidP="00C76316">
            <w:pPr>
              <w:pStyle w:val="VCAAtablecondensedheading"/>
              <w:rPr>
                <w:lang w:val="en-AU"/>
              </w:rPr>
            </w:pPr>
            <w:r w:rsidRPr="00DF24F6">
              <w:rPr>
                <w:lang w:val="en-AU"/>
              </w:rPr>
              <w:t>0</w:t>
            </w:r>
          </w:p>
        </w:tc>
        <w:tc>
          <w:tcPr>
            <w:tcW w:w="576" w:type="dxa"/>
          </w:tcPr>
          <w:p w14:paraId="7FAACD36" w14:textId="77777777" w:rsidR="00BD2FEB" w:rsidRPr="00DF24F6" w:rsidRDefault="00BD2FEB" w:rsidP="00C76316">
            <w:pPr>
              <w:pStyle w:val="VCAAtablecondensedheading"/>
              <w:rPr>
                <w:lang w:val="en-AU"/>
              </w:rPr>
            </w:pPr>
            <w:r w:rsidRPr="00DF24F6">
              <w:rPr>
                <w:lang w:val="en-AU"/>
              </w:rPr>
              <w:t>1</w:t>
            </w:r>
          </w:p>
        </w:tc>
        <w:tc>
          <w:tcPr>
            <w:tcW w:w="576" w:type="dxa"/>
          </w:tcPr>
          <w:p w14:paraId="568F837B" w14:textId="77777777" w:rsidR="00BD2FEB" w:rsidRPr="00DF24F6" w:rsidRDefault="00BD2FEB" w:rsidP="00C76316">
            <w:pPr>
              <w:pStyle w:val="VCAAtablecondensedheading"/>
              <w:rPr>
                <w:lang w:val="en-AU"/>
              </w:rPr>
            </w:pPr>
            <w:r w:rsidRPr="00DF24F6">
              <w:rPr>
                <w:lang w:val="en-AU"/>
              </w:rPr>
              <w:t>2</w:t>
            </w:r>
          </w:p>
        </w:tc>
        <w:tc>
          <w:tcPr>
            <w:tcW w:w="576" w:type="dxa"/>
          </w:tcPr>
          <w:p w14:paraId="5AB3F10E" w14:textId="77777777" w:rsidR="00BD2FEB" w:rsidRPr="00DF24F6" w:rsidRDefault="00BD2FEB" w:rsidP="00C76316">
            <w:pPr>
              <w:pStyle w:val="VCAAtablecondensedheading"/>
              <w:rPr>
                <w:lang w:val="en-AU"/>
              </w:rPr>
            </w:pPr>
            <w:r w:rsidRPr="00DF24F6">
              <w:rPr>
                <w:lang w:val="en-AU"/>
              </w:rPr>
              <w:t>3</w:t>
            </w:r>
          </w:p>
        </w:tc>
        <w:tc>
          <w:tcPr>
            <w:tcW w:w="576" w:type="dxa"/>
          </w:tcPr>
          <w:p w14:paraId="44338B17" w14:textId="77777777" w:rsidR="00BD2FEB" w:rsidRPr="00DF24F6" w:rsidRDefault="00BD2FEB" w:rsidP="00C76316">
            <w:pPr>
              <w:pStyle w:val="VCAAtablecondensedheading"/>
              <w:rPr>
                <w:lang w:val="en-AU"/>
              </w:rPr>
            </w:pPr>
            <w:r w:rsidRPr="00DF24F6">
              <w:rPr>
                <w:lang w:val="en-AU"/>
              </w:rPr>
              <w:t>4</w:t>
            </w:r>
          </w:p>
        </w:tc>
        <w:tc>
          <w:tcPr>
            <w:tcW w:w="576" w:type="dxa"/>
          </w:tcPr>
          <w:p w14:paraId="086BC581" w14:textId="77777777" w:rsidR="00BD2FEB" w:rsidRPr="00DF24F6" w:rsidRDefault="00BD2FEB" w:rsidP="00C76316">
            <w:pPr>
              <w:pStyle w:val="VCAAtablecondensedheading"/>
              <w:rPr>
                <w:lang w:val="en-AU"/>
              </w:rPr>
            </w:pPr>
            <w:r w:rsidRPr="00DF24F6">
              <w:rPr>
                <w:lang w:val="en-AU"/>
              </w:rPr>
              <w:t>5</w:t>
            </w:r>
          </w:p>
        </w:tc>
        <w:tc>
          <w:tcPr>
            <w:tcW w:w="1008" w:type="dxa"/>
          </w:tcPr>
          <w:p w14:paraId="298498AB" w14:textId="77777777" w:rsidR="00BD2FEB" w:rsidRPr="00DF24F6" w:rsidRDefault="00BD2FEB" w:rsidP="00C76316">
            <w:pPr>
              <w:pStyle w:val="VCAAtablecondensedheading"/>
              <w:rPr>
                <w:lang w:val="en-AU"/>
              </w:rPr>
            </w:pPr>
            <w:r w:rsidRPr="00DF24F6">
              <w:rPr>
                <w:lang w:val="en-AU"/>
              </w:rPr>
              <w:t>Average</w:t>
            </w:r>
          </w:p>
        </w:tc>
      </w:tr>
      <w:tr w:rsidR="00BD2FEB" w:rsidRPr="00492D1A" w14:paraId="1D6DA378" w14:textId="77777777" w:rsidTr="00C76316">
        <w:tc>
          <w:tcPr>
            <w:tcW w:w="720" w:type="dxa"/>
          </w:tcPr>
          <w:p w14:paraId="0E95742B" w14:textId="77777777" w:rsidR="00BD2FEB" w:rsidRPr="00492D1A" w:rsidRDefault="00BD2FEB" w:rsidP="00C76316">
            <w:pPr>
              <w:pStyle w:val="VCAAtablecondensed"/>
              <w:rPr>
                <w:color w:val="auto"/>
              </w:rPr>
            </w:pPr>
            <w:r w:rsidRPr="00492D1A">
              <w:rPr>
                <w:color w:val="auto"/>
              </w:rPr>
              <w:t>%</w:t>
            </w:r>
          </w:p>
        </w:tc>
        <w:tc>
          <w:tcPr>
            <w:tcW w:w="576" w:type="dxa"/>
            <w:vAlign w:val="bottom"/>
          </w:tcPr>
          <w:p w14:paraId="1696607A" w14:textId="77777777" w:rsidR="00BD2FEB" w:rsidRPr="00492D1A" w:rsidRDefault="00BD2FEB" w:rsidP="00C76316">
            <w:pPr>
              <w:pStyle w:val="VCAAtablecondensed"/>
              <w:rPr>
                <w:color w:val="auto"/>
              </w:rPr>
            </w:pPr>
            <w:r w:rsidRPr="00492D1A">
              <w:rPr>
                <w:color w:val="auto"/>
              </w:rPr>
              <w:t>11</w:t>
            </w:r>
          </w:p>
        </w:tc>
        <w:tc>
          <w:tcPr>
            <w:tcW w:w="576" w:type="dxa"/>
            <w:vAlign w:val="bottom"/>
          </w:tcPr>
          <w:p w14:paraId="21FFED68" w14:textId="77777777" w:rsidR="00BD2FEB" w:rsidRPr="00492D1A" w:rsidRDefault="00BD2FEB" w:rsidP="00C76316">
            <w:pPr>
              <w:pStyle w:val="VCAAtablecondensed"/>
              <w:rPr>
                <w:color w:val="auto"/>
              </w:rPr>
            </w:pPr>
            <w:r w:rsidRPr="00492D1A">
              <w:rPr>
                <w:color w:val="auto"/>
              </w:rPr>
              <w:t>9</w:t>
            </w:r>
          </w:p>
        </w:tc>
        <w:tc>
          <w:tcPr>
            <w:tcW w:w="576" w:type="dxa"/>
            <w:vAlign w:val="bottom"/>
          </w:tcPr>
          <w:p w14:paraId="72437463" w14:textId="77777777" w:rsidR="00BD2FEB" w:rsidRPr="00492D1A" w:rsidRDefault="00BD2FEB" w:rsidP="00C76316">
            <w:pPr>
              <w:pStyle w:val="VCAAtablecondensed"/>
              <w:rPr>
                <w:color w:val="auto"/>
              </w:rPr>
            </w:pPr>
            <w:r w:rsidRPr="00492D1A">
              <w:rPr>
                <w:color w:val="auto"/>
              </w:rPr>
              <w:t>14</w:t>
            </w:r>
          </w:p>
        </w:tc>
        <w:tc>
          <w:tcPr>
            <w:tcW w:w="576" w:type="dxa"/>
          </w:tcPr>
          <w:p w14:paraId="20D4F05B" w14:textId="77777777" w:rsidR="00BD2FEB" w:rsidRPr="00492D1A" w:rsidRDefault="00BD2FEB" w:rsidP="00C76316">
            <w:pPr>
              <w:pStyle w:val="VCAAtablecondensed"/>
              <w:rPr>
                <w:color w:val="auto"/>
              </w:rPr>
            </w:pPr>
            <w:r w:rsidRPr="00492D1A">
              <w:rPr>
                <w:color w:val="auto"/>
              </w:rPr>
              <w:t>25</w:t>
            </w:r>
          </w:p>
        </w:tc>
        <w:tc>
          <w:tcPr>
            <w:tcW w:w="576" w:type="dxa"/>
          </w:tcPr>
          <w:p w14:paraId="2415863D" w14:textId="77777777" w:rsidR="00BD2FEB" w:rsidRPr="00492D1A" w:rsidRDefault="00BD2FEB" w:rsidP="00C76316">
            <w:pPr>
              <w:pStyle w:val="VCAAtablecondensed"/>
              <w:rPr>
                <w:color w:val="auto"/>
              </w:rPr>
            </w:pPr>
            <w:r w:rsidRPr="00492D1A">
              <w:rPr>
                <w:color w:val="auto"/>
              </w:rPr>
              <w:t>22</w:t>
            </w:r>
          </w:p>
        </w:tc>
        <w:tc>
          <w:tcPr>
            <w:tcW w:w="576" w:type="dxa"/>
            <w:vAlign w:val="bottom"/>
          </w:tcPr>
          <w:p w14:paraId="68CB87F5" w14:textId="77777777" w:rsidR="00BD2FEB" w:rsidRPr="00492D1A" w:rsidRDefault="00BD2FEB" w:rsidP="00C76316">
            <w:pPr>
              <w:pStyle w:val="VCAAtablecondensed"/>
              <w:rPr>
                <w:color w:val="auto"/>
              </w:rPr>
            </w:pPr>
            <w:r w:rsidRPr="00492D1A">
              <w:rPr>
                <w:color w:val="auto"/>
              </w:rPr>
              <w:t>19</w:t>
            </w:r>
          </w:p>
        </w:tc>
        <w:tc>
          <w:tcPr>
            <w:tcW w:w="1008" w:type="dxa"/>
          </w:tcPr>
          <w:p w14:paraId="632BABE0" w14:textId="77777777" w:rsidR="00BD2FEB" w:rsidRPr="00492D1A" w:rsidRDefault="00BD2FEB" w:rsidP="00C76316">
            <w:pPr>
              <w:pStyle w:val="VCAAtablecondensed"/>
              <w:rPr>
                <w:color w:val="auto"/>
              </w:rPr>
            </w:pPr>
            <w:r w:rsidRPr="00492D1A">
              <w:rPr>
                <w:color w:val="auto"/>
              </w:rPr>
              <w:t>3</w:t>
            </w:r>
          </w:p>
        </w:tc>
      </w:tr>
    </w:tbl>
    <w:p w14:paraId="03A33E8F" w14:textId="77777777" w:rsidR="00BD2FEB" w:rsidRPr="00492D1A" w:rsidRDefault="00BD2FEB" w:rsidP="00632752">
      <w:pPr>
        <w:pStyle w:val="BodyText"/>
      </w:pPr>
      <w:r w:rsidRPr="00492D1A">
        <w:t xml:space="preserve">Students were required to identify the monetary policy stance over the past 2 years and analyse its effect on AD, full employment and living standards. A high percentage of the cohort demonstrated a good understanding of the current monetary policy stance. However, many misinterpreted the question, neglecting to explain how interest rates work via a transmission mechanism. </w:t>
      </w:r>
    </w:p>
    <w:p w14:paraId="28A3A421" w14:textId="77777777" w:rsidR="00BD2FEB" w:rsidRPr="00492D1A" w:rsidRDefault="00BD2FEB" w:rsidP="00632752">
      <w:pPr>
        <w:pStyle w:val="BodyText"/>
      </w:pPr>
      <w:r w:rsidRPr="00492D1A">
        <w:t xml:space="preserve">High-scoring responses: </w:t>
      </w:r>
    </w:p>
    <w:p w14:paraId="28DC57F6" w14:textId="77777777" w:rsidR="00BD2FEB" w:rsidRPr="00492D1A" w:rsidRDefault="00BD2FEB" w:rsidP="00BD2FEB">
      <w:pPr>
        <w:pStyle w:val="Bullet"/>
        <w:ind w:left="426" w:hanging="426"/>
      </w:pPr>
      <w:r w:rsidRPr="00492D1A">
        <w:t xml:space="preserve">demonstrated an understanding of the stance of monetary policy over the past 2 years </w:t>
      </w:r>
    </w:p>
    <w:p w14:paraId="28274745" w14:textId="77777777" w:rsidR="00BD2FEB" w:rsidRPr="00492D1A" w:rsidRDefault="00BD2FEB" w:rsidP="00632752">
      <w:pPr>
        <w:pStyle w:val="Indent"/>
      </w:pPr>
      <w:r w:rsidRPr="00492D1A">
        <w:t xml:space="preserve">Such responses referred to the change in the cash rate over the past 2 years relative to the estimated neutral rate of interest. This allowed students to clearly demonstrate that although the RBA has been loosening monetary policy, the stance is still contractionary. </w:t>
      </w:r>
    </w:p>
    <w:p w14:paraId="05E5DFD0" w14:textId="77777777" w:rsidR="00BD2FEB" w:rsidRPr="00492D1A" w:rsidRDefault="00BD2FEB" w:rsidP="00BD2FEB">
      <w:pPr>
        <w:pStyle w:val="Bullet"/>
        <w:ind w:left="426" w:hanging="426"/>
      </w:pPr>
      <w:r w:rsidRPr="00492D1A">
        <w:t>explained how the stance has impacted the achievement of full employment via a transmission mechanism and AD</w:t>
      </w:r>
    </w:p>
    <w:p w14:paraId="5EC7D573" w14:textId="77777777" w:rsidR="00BD2FEB" w:rsidRPr="00492D1A" w:rsidRDefault="00BD2FEB" w:rsidP="00632752">
      <w:pPr>
        <w:pStyle w:val="Indent"/>
      </w:pPr>
      <w:r w:rsidRPr="00492D1A">
        <w:t xml:space="preserve">These responses explained how the RBA stance has impacted AD via one or more transmission mechanisms of monetary policy. It is important to note that interest rates work via transmission mechanisms; without reference to this, students did not correctly respond to this question. </w:t>
      </w:r>
    </w:p>
    <w:p w14:paraId="33548108" w14:textId="77777777" w:rsidR="00BD2FEB" w:rsidRPr="00492D1A" w:rsidRDefault="00BD2FEB" w:rsidP="00BD2FEB">
      <w:pPr>
        <w:pStyle w:val="Bullet"/>
        <w:ind w:left="426" w:hanging="426"/>
      </w:pPr>
      <w:r w:rsidRPr="00492D1A">
        <w:t>explained how the stance has affected living standards</w:t>
      </w:r>
    </w:p>
    <w:p w14:paraId="4BE6EB18" w14:textId="77777777" w:rsidR="00BD2FEB" w:rsidRPr="00492D1A" w:rsidRDefault="00BD2FEB" w:rsidP="00632752">
      <w:pPr>
        <w:pStyle w:val="BodyText"/>
      </w:pPr>
      <w:r w:rsidRPr="00492D1A">
        <w:t>Common misconceptions included:</w:t>
      </w:r>
    </w:p>
    <w:p w14:paraId="74D5D3BA" w14:textId="77777777" w:rsidR="00BD2FEB" w:rsidRPr="00492D1A" w:rsidRDefault="00BD2FEB" w:rsidP="00BD2FEB">
      <w:pPr>
        <w:pStyle w:val="Bullet"/>
        <w:ind w:left="426" w:hanging="426"/>
      </w:pPr>
      <w:r w:rsidRPr="00492D1A">
        <w:t xml:space="preserve">misunderstanding the RBA’s monetary policy stance over the past 2 years </w:t>
      </w:r>
    </w:p>
    <w:p w14:paraId="4A2888DF" w14:textId="77777777" w:rsidR="00BD2FEB" w:rsidRPr="00492D1A" w:rsidRDefault="00BD2FEB" w:rsidP="00632752">
      <w:pPr>
        <w:pStyle w:val="Indent"/>
      </w:pPr>
      <w:r w:rsidRPr="00492D1A">
        <w:t xml:space="preserve">Many students described the stance of monetary policy by comparing the current cash rate to previous cash rates. The stance is assessed by comparing the current cash rate target with the estimated neutral rate of interest (somewhere between 3 and 3.5 per cent). </w:t>
      </w:r>
    </w:p>
    <w:p w14:paraId="1017A80F" w14:textId="77777777" w:rsidR="00BD2FEB" w:rsidRPr="00492D1A" w:rsidRDefault="00BD2FEB" w:rsidP="00632752">
      <w:pPr>
        <w:pStyle w:val="Indent"/>
      </w:pPr>
      <w:r w:rsidRPr="00492D1A">
        <w:t xml:space="preserve">A loosening or tightening of monetary policy refers only to the change in the cash rate relative to a previous period (for example, from 3.85 per cent in July 2025 to 3.6 per cent in August 2025). Therefore, although the RBA has loosened monetary policy over the past 2 years, the stance remains contractionary if the cash rate is still above the neutral rate. In this situation, monetary policy continues to restrain AD but by less than before. </w:t>
      </w:r>
    </w:p>
    <w:p w14:paraId="76970124" w14:textId="77777777" w:rsidR="00BD2FEB" w:rsidRPr="00492D1A" w:rsidRDefault="00BD2FEB" w:rsidP="00BD2FEB">
      <w:pPr>
        <w:pStyle w:val="Bullet"/>
        <w:ind w:left="426" w:hanging="426"/>
      </w:pPr>
      <w:r w:rsidRPr="00492D1A">
        <w:t xml:space="preserve">not referring to transmission mechanisms </w:t>
      </w:r>
    </w:p>
    <w:p w14:paraId="1A13BD0A" w14:textId="77777777" w:rsidR="00BD2FEB" w:rsidRPr="00492D1A" w:rsidRDefault="00BD2FEB" w:rsidP="00632752">
      <w:pPr>
        <w:pStyle w:val="Indent"/>
      </w:pPr>
      <w:r w:rsidRPr="00492D1A">
        <w:t>Many students did not explain the impacts of the RBA’s stance with reference to a transmission mechanism. Interest rates work via transmission mechanisms to impact the level of AD and therefore demand for labour and the achievement of full employment.</w:t>
      </w:r>
    </w:p>
    <w:p w14:paraId="0247DEF6" w14:textId="77777777" w:rsidR="00BD2FEB" w:rsidRPr="00492D1A" w:rsidRDefault="00BD2FEB" w:rsidP="00BD2FEB">
      <w:pPr>
        <w:pStyle w:val="Bullet"/>
        <w:ind w:left="426" w:hanging="426"/>
      </w:pPr>
      <w:r w:rsidRPr="00492D1A">
        <w:t xml:space="preserve">spending too much time explaining the impacts on living standards </w:t>
      </w:r>
    </w:p>
    <w:p w14:paraId="1A412AEF" w14:textId="77777777" w:rsidR="00BD2FEB" w:rsidRPr="00492D1A" w:rsidRDefault="00BD2FEB" w:rsidP="00632752">
      <w:pPr>
        <w:pStyle w:val="Indent"/>
      </w:pPr>
      <w:r w:rsidRPr="00492D1A">
        <w:t xml:space="preserve">Many students focused too heavily on how interest rates would impact both material and non-material living standards. As this question did not direct students to respond this way, marks were only awarded for explaining how the policy impacts either material or non-material living standards. </w:t>
      </w:r>
    </w:p>
    <w:p w14:paraId="194499A6" w14:textId="77777777" w:rsidR="00BD2FEB" w:rsidRPr="00492D1A" w:rsidRDefault="00BD2FEB" w:rsidP="00632752">
      <w:pPr>
        <w:pStyle w:val="BodyText"/>
      </w:pPr>
      <w:r w:rsidRPr="00492D1A">
        <w:t>The following is an example of a high-scoring response:</w:t>
      </w:r>
    </w:p>
    <w:p w14:paraId="77C72E19" w14:textId="77777777" w:rsidR="00BD2FEB" w:rsidRPr="00492D1A" w:rsidRDefault="00BD2FEB" w:rsidP="00632752">
      <w:pPr>
        <w:pStyle w:val="Studentsample"/>
        <w:rPr>
          <w:sz w:val="24"/>
          <w:szCs w:val="24"/>
        </w:rPr>
      </w:pPr>
      <w:r w:rsidRPr="00492D1A">
        <w:t xml:space="preserve">In November 2023, the RBA announced a new cash rate of 4.35% which it held for all of 2024, then lowered it to 4.1% in Feb 2025, then to 3.85% in May, and finally down to 3.6% in August. Whilst they adopted a less contractionary stance (taking their foot off the brake), the stance remains ‘contractionary’ as it is still above the range of monetary policy neutrality (3–3.5%). Via the savings and investment channel, the high cash rate (and thus general interest rates) will increase the incentive for households to </w:t>
      </w:r>
      <w:r w:rsidRPr="00492D1A">
        <w:lastRenderedPageBreak/>
        <w:t>save (as the reward is greater) and discourage borrowing for consumption (as repayments are higher), thus reducing consumption. Also, firms are discouraged from borrowing for investment, as future projects are less likely to meet the required hurdle rate of return (as repayments are higher), thus reducing investment. Via a fall in C and I, AD also falls and firms notice falling sales and rising stock levels, thus they lower their level of production (GDP), decreasing their derived demand for labour increasing cyclical unemployment and the unemployment rate. This worsens non-material living standards as more unemployed people experience a negative stigma and poorer self-esteem, However, holding the contractionary stance over the past two years has assisted in the achievement of full employment by lifting us to within the target range (since we were below for all of 2023), thus loosening the labour market and placing us within NAIRU.</w:t>
      </w:r>
    </w:p>
    <w:p w14:paraId="69471E65" w14:textId="77777777" w:rsidR="00BD2FEB" w:rsidRDefault="00BD2FEB" w:rsidP="00BD2FEB">
      <w:pPr>
        <w:pStyle w:val="Heading2"/>
      </w:pPr>
      <w:r w:rsidRPr="00BF30E1">
        <w:t>Question 6a.</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BD2FEB" w:rsidRPr="00DF24F6" w14:paraId="6802F54F" w14:textId="77777777" w:rsidTr="00C76316">
        <w:trPr>
          <w:cnfStyle w:val="100000000000" w:firstRow="1" w:lastRow="0" w:firstColumn="0" w:lastColumn="0" w:oddVBand="0" w:evenVBand="0" w:oddHBand="0" w:evenHBand="0" w:firstRowFirstColumn="0" w:firstRowLastColumn="0" w:lastRowFirstColumn="0" w:lastRowLastColumn="0"/>
        </w:trPr>
        <w:tc>
          <w:tcPr>
            <w:tcW w:w="720" w:type="dxa"/>
          </w:tcPr>
          <w:p w14:paraId="6865EBD2" w14:textId="77777777" w:rsidR="00BD2FEB" w:rsidRPr="00DF24F6" w:rsidRDefault="00BD2FEB" w:rsidP="00C76316">
            <w:pPr>
              <w:pStyle w:val="VCAAtablecondensedheading"/>
              <w:rPr>
                <w:lang w:val="en-AU"/>
              </w:rPr>
            </w:pPr>
            <w:r w:rsidRPr="00DF24F6">
              <w:rPr>
                <w:lang w:val="en-AU"/>
              </w:rPr>
              <w:t>Marks</w:t>
            </w:r>
          </w:p>
        </w:tc>
        <w:tc>
          <w:tcPr>
            <w:tcW w:w="576" w:type="dxa"/>
          </w:tcPr>
          <w:p w14:paraId="2914BD0B" w14:textId="77777777" w:rsidR="00BD2FEB" w:rsidRPr="00DF24F6" w:rsidRDefault="00BD2FEB" w:rsidP="00C76316">
            <w:pPr>
              <w:pStyle w:val="VCAAtablecondensedheading"/>
              <w:rPr>
                <w:lang w:val="en-AU"/>
              </w:rPr>
            </w:pPr>
            <w:r w:rsidRPr="00DF24F6">
              <w:rPr>
                <w:lang w:val="en-AU"/>
              </w:rPr>
              <w:t>0</w:t>
            </w:r>
          </w:p>
        </w:tc>
        <w:tc>
          <w:tcPr>
            <w:tcW w:w="576" w:type="dxa"/>
          </w:tcPr>
          <w:p w14:paraId="1BA51C1A" w14:textId="77777777" w:rsidR="00BD2FEB" w:rsidRPr="00DF24F6" w:rsidRDefault="00BD2FEB" w:rsidP="00C76316">
            <w:pPr>
              <w:pStyle w:val="VCAAtablecondensedheading"/>
              <w:rPr>
                <w:lang w:val="en-AU"/>
              </w:rPr>
            </w:pPr>
            <w:r w:rsidRPr="00DF24F6">
              <w:rPr>
                <w:lang w:val="en-AU"/>
              </w:rPr>
              <w:t>1</w:t>
            </w:r>
          </w:p>
        </w:tc>
        <w:tc>
          <w:tcPr>
            <w:tcW w:w="576" w:type="dxa"/>
          </w:tcPr>
          <w:p w14:paraId="2833C167" w14:textId="77777777" w:rsidR="00BD2FEB" w:rsidRPr="00DF24F6" w:rsidRDefault="00BD2FEB" w:rsidP="00C76316">
            <w:pPr>
              <w:pStyle w:val="VCAAtablecondensedheading"/>
              <w:rPr>
                <w:lang w:val="en-AU"/>
              </w:rPr>
            </w:pPr>
            <w:r w:rsidRPr="00DF24F6">
              <w:rPr>
                <w:lang w:val="en-AU"/>
              </w:rPr>
              <w:t>2</w:t>
            </w:r>
          </w:p>
        </w:tc>
        <w:tc>
          <w:tcPr>
            <w:tcW w:w="1008" w:type="dxa"/>
          </w:tcPr>
          <w:p w14:paraId="648F497C" w14:textId="77777777" w:rsidR="00BD2FEB" w:rsidRPr="00DF24F6" w:rsidRDefault="00BD2FEB" w:rsidP="00C76316">
            <w:pPr>
              <w:pStyle w:val="VCAAtablecondensedheading"/>
              <w:rPr>
                <w:lang w:val="en-AU"/>
              </w:rPr>
            </w:pPr>
            <w:r w:rsidRPr="00DF24F6">
              <w:rPr>
                <w:lang w:val="en-AU"/>
              </w:rPr>
              <w:t>Average</w:t>
            </w:r>
          </w:p>
        </w:tc>
      </w:tr>
      <w:tr w:rsidR="00BD2FEB" w:rsidRPr="00492D1A" w14:paraId="75BE8C6C" w14:textId="77777777" w:rsidTr="00C76316">
        <w:tc>
          <w:tcPr>
            <w:tcW w:w="720" w:type="dxa"/>
          </w:tcPr>
          <w:p w14:paraId="5489BAAE" w14:textId="77777777" w:rsidR="00BD2FEB" w:rsidRPr="00492D1A" w:rsidRDefault="00BD2FEB" w:rsidP="00C76316">
            <w:pPr>
              <w:pStyle w:val="VCAAtablecondensed"/>
              <w:rPr>
                <w:color w:val="auto"/>
              </w:rPr>
            </w:pPr>
            <w:r w:rsidRPr="00492D1A">
              <w:rPr>
                <w:color w:val="auto"/>
              </w:rPr>
              <w:t>%</w:t>
            </w:r>
          </w:p>
        </w:tc>
        <w:tc>
          <w:tcPr>
            <w:tcW w:w="576" w:type="dxa"/>
            <w:vAlign w:val="bottom"/>
          </w:tcPr>
          <w:p w14:paraId="42CB7D07" w14:textId="77777777" w:rsidR="00BD2FEB" w:rsidRPr="00492D1A" w:rsidRDefault="00BD2FEB" w:rsidP="00C76316">
            <w:pPr>
              <w:pStyle w:val="VCAAtablecondensed"/>
              <w:rPr>
                <w:color w:val="auto"/>
              </w:rPr>
            </w:pPr>
            <w:r w:rsidRPr="00492D1A">
              <w:rPr>
                <w:color w:val="auto"/>
              </w:rPr>
              <w:t>46</w:t>
            </w:r>
          </w:p>
        </w:tc>
        <w:tc>
          <w:tcPr>
            <w:tcW w:w="576" w:type="dxa"/>
            <w:vAlign w:val="bottom"/>
          </w:tcPr>
          <w:p w14:paraId="13884AE4" w14:textId="77777777" w:rsidR="00BD2FEB" w:rsidRPr="00492D1A" w:rsidRDefault="00BD2FEB" w:rsidP="00C76316">
            <w:pPr>
              <w:pStyle w:val="VCAAtablecondensed"/>
              <w:rPr>
                <w:color w:val="auto"/>
              </w:rPr>
            </w:pPr>
            <w:r w:rsidRPr="00492D1A">
              <w:rPr>
                <w:color w:val="auto"/>
              </w:rPr>
              <w:t>18</w:t>
            </w:r>
          </w:p>
        </w:tc>
        <w:tc>
          <w:tcPr>
            <w:tcW w:w="576" w:type="dxa"/>
            <w:vAlign w:val="bottom"/>
          </w:tcPr>
          <w:p w14:paraId="6EADBC08" w14:textId="77777777" w:rsidR="00BD2FEB" w:rsidRPr="00492D1A" w:rsidRDefault="00BD2FEB" w:rsidP="00C76316">
            <w:pPr>
              <w:pStyle w:val="VCAAtablecondensed"/>
              <w:rPr>
                <w:color w:val="auto"/>
              </w:rPr>
            </w:pPr>
            <w:r w:rsidRPr="00492D1A">
              <w:rPr>
                <w:color w:val="auto"/>
              </w:rPr>
              <w:t>36</w:t>
            </w:r>
          </w:p>
        </w:tc>
        <w:tc>
          <w:tcPr>
            <w:tcW w:w="1008" w:type="dxa"/>
          </w:tcPr>
          <w:p w14:paraId="1A136962" w14:textId="77777777" w:rsidR="00BD2FEB" w:rsidRPr="00492D1A" w:rsidRDefault="00BD2FEB" w:rsidP="00C76316">
            <w:pPr>
              <w:pStyle w:val="VCAAtablecondensed"/>
              <w:rPr>
                <w:color w:val="auto"/>
              </w:rPr>
            </w:pPr>
            <w:r w:rsidRPr="00492D1A">
              <w:rPr>
                <w:color w:val="auto"/>
              </w:rPr>
              <w:t>0.9</w:t>
            </w:r>
          </w:p>
        </w:tc>
      </w:tr>
    </w:tbl>
    <w:p w14:paraId="12C3C1CC" w14:textId="77777777" w:rsidR="00BD2FEB" w:rsidRPr="00492D1A" w:rsidRDefault="00BD2FEB" w:rsidP="00632752">
      <w:pPr>
        <w:pStyle w:val="BodyText"/>
      </w:pPr>
      <w:r w:rsidRPr="00492D1A">
        <w:t xml:space="preserve">Students were required to identify a factor that could reduce the size of the budget deficit and explain how this factor would influence government revenue or expenditure. Responses indicated that many students did not understand the mechanics of how the budget is estimated in advance and then recorded over the following financial year. Students who understood the difference between actual and estimated budget outcomes produced stronger responses. </w:t>
      </w:r>
    </w:p>
    <w:p w14:paraId="7AEE7610" w14:textId="77777777" w:rsidR="00BD2FEB" w:rsidRPr="00492D1A" w:rsidRDefault="00BD2FEB" w:rsidP="00632752">
      <w:pPr>
        <w:pStyle w:val="BodyText"/>
      </w:pPr>
      <w:r w:rsidRPr="00492D1A">
        <w:t xml:space="preserve">High-scoring responses: </w:t>
      </w:r>
    </w:p>
    <w:p w14:paraId="2934448B" w14:textId="77777777" w:rsidR="00BD2FEB" w:rsidRPr="007427D4" w:rsidRDefault="00BD2FEB" w:rsidP="00BD2FEB">
      <w:pPr>
        <w:pStyle w:val="Bullet"/>
        <w:ind w:left="426" w:hanging="426"/>
      </w:pPr>
      <w:r w:rsidRPr="007427D4">
        <w:t>highlighted an economic factor that would lead to a smaller deficit</w:t>
      </w:r>
    </w:p>
    <w:p w14:paraId="55363E5E" w14:textId="77777777" w:rsidR="00BD2FEB" w:rsidRPr="00492D1A" w:rsidRDefault="00BD2FEB" w:rsidP="00632752">
      <w:pPr>
        <w:pStyle w:val="Indent"/>
      </w:pPr>
      <w:r w:rsidRPr="00492D1A">
        <w:t xml:space="preserve">The strongest responses included stronger than expected labour markets (for example, unemployment lower than anticipated) and higher than expected consumer sentiment. </w:t>
      </w:r>
    </w:p>
    <w:p w14:paraId="1D038CFE" w14:textId="77777777" w:rsidR="00BD2FEB" w:rsidRPr="00492D1A" w:rsidRDefault="00BD2FEB" w:rsidP="00BD2FEB">
      <w:pPr>
        <w:pStyle w:val="Bullet"/>
        <w:ind w:left="426" w:hanging="426"/>
      </w:pPr>
      <w:r w:rsidRPr="00492D1A">
        <w:t xml:space="preserve">outlined how this change impacts the budget deficit, for example, via revenues increasing or expenses/outlays decreasing </w:t>
      </w:r>
    </w:p>
    <w:p w14:paraId="2C44B4E1" w14:textId="77777777" w:rsidR="00BD2FEB" w:rsidRPr="00492D1A" w:rsidRDefault="00BD2FEB" w:rsidP="00632752">
      <w:pPr>
        <w:pStyle w:val="Indent"/>
      </w:pPr>
      <w:r w:rsidRPr="00492D1A">
        <w:t xml:space="preserve">Such responses clearly explained how the factor would impact the revenues received by the government or the expenses paid, which would reduce the size of the actual deficit. </w:t>
      </w:r>
    </w:p>
    <w:p w14:paraId="62DBF5F3" w14:textId="77777777" w:rsidR="00BD2FEB" w:rsidRPr="00492D1A" w:rsidRDefault="00BD2FEB" w:rsidP="00632752">
      <w:pPr>
        <w:pStyle w:val="BodyText"/>
      </w:pPr>
      <w:r w:rsidRPr="00492D1A">
        <w:t>Common misconceptions included:</w:t>
      </w:r>
    </w:p>
    <w:p w14:paraId="2B775FCB" w14:textId="77777777" w:rsidR="00BD2FEB" w:rsidRPr="00492D1A" w:rsidRDefault="00BD2FEB" w:rsidP="00BD2FEB">
      <w:pPr>
        <w:pStyle w:val="Bullet"/>
        <w:ind w:left="426" w:hanging="426"/>
      </w:pPr>
      <w:r w:rsidRPr="00492D1A">
        <w:t xml:space="preserve">explaining the difference between headline and underlying budget outcomes </w:t>
      </w:r>
    </w:p>
    <w:p w14:paraId="1DA2B388" w14:textId="77777777" w:rsidR="00BD2FEB" w:rsidRPr="00492D1A" w:rsidRDefault="00BD2FEB" w:rsidP="00632752">
      <w:pPr>
        <w:pStyle w:val="Indent"/>
      </w:pPr>
      <w:r w:rsidRPr="00492D1A">
        <w:t>Some students described different budget measures instead of providing a reason for why the actual deficit may differ from the estimate. It is important to remember that the budget is normally handed down in May and is based on economic forecasts for growth, employment and inflation. The actual economic conditions over the financial year will determine the level of revenue collected and expenditure paid through automatic stabilisers, and therefore the final budget outcome.</w:t>
      </w:r>
    </w:p>
    <w:p w14:paraId="05CE3882" w14:textId="77777777" w:rsidR="00BD2FEB" w:rsidRPr="00492D1A" w:rsidRDefault="00BD2FEB" w:rsidP="00BD2FEB">
      <w:pPr>
        <w:pStyle w:val="Bullet"/>
        <w:ind w:left="426" w:hanging="426"/>
      </w:pPr>
      <w:r w:rsidRPr="00492D1A">
        <w:t xml:space="preserve">incorrectly stating that the government may have changed its spending or revenues after the budget was handed down </w:t>
      </w:r>
    </w:p>
    <w:p w14:paraId="535A8D5F" w14:textId="77777777" w:rsidR="00BD2FEB" w:rsidRPr="00492D1A" w:rsidRDefault="00BD2FEB" w:rsidP="00632752">
      <w:pPr>
        <w:pStyle w:val="Indent"/>
      </w:pPr>
      <w:r w:rsidRPr="00492D1A">
        <w:t>Once a budget is enacted, spending and revenue measures are rarely changed during the year. Students should assume that variations between estimated and actual outcomes always arise from automatic stabilisers instead of discretionary policy changes.</w:t>
      </w:r>
    </w:p>
    <w:p w14:paraId="53EE4D8D" w14:textId="77777777" w:rsidR="00BD2FEB" w:rsidRPr="00492D1A" w:rsidRDefault="00BD2FEB" w:rsidP="00BD2FEB">
      <w:pPr>
        <w:pStyle w:val="Bullet"/>
        <w:ind w:left="426" w:hanging="426"/>
      </w:pPr>
      <w:r w:rsidRPr="00492D1A">
        <w:t xml:space="preserve">not demonstrating how any change would impact revenues or expenditure and therefore decrease the budget deficit </w:t>
      </w:r>
    </w:p>
    <w:p w14:paraId="78220478" w14:textId="77777777" w:rsidR="00BD2FEB" w:rsidRPr="00492D1A" w:rsidRDefault="00BD2FEB" w:rsidP="00632752">
      <w:pPr>
        <w:pStyle w:val="Indent"/>
      </w:pPr>
      <w:r w:rsidRPr="00492D1A">
        <w:t>Some responses named a factor but did not explain how it would increase revenue or reduce expenditure and therefore reduce the size of the deficit.</w:t>
      </w:r>
    </w:p>
    <w:p w14:paraId="4C125F29" w14:textId="77777777" w:rsidR="00BD2FEB" w:rsidRPr="00492D1A" w:rsidRDefault="00BD2FEB" w:rsidP="00BD2FEB">
      <w:pPr>
        <w:pStyle w:val="Bullet"/>
        <w:ind w:left="426" w:hanging="426"/>
      </w:pPr>
      <w:r w:rsidRPr="00492D1A">
        <w:lastRenderedPageBreak/>
        <w:t>confusing the budget outcome with the current account balance</w:t>
      </w:r>
    </w:p>
    <w:p w14:paraId="77D99390" w14:textId="77777777" w:rsidR="00BD2FEB" w:rsidRPr="00492D1A" w:rsidRDefault="00BD2FEB" w:rsidP="00632752">
      <w:pPr>
        <w:pStyle w:val="Indent"/>
      </w:pPr>
      <w:r w:rsidRPr="00492D1A">
        <w:t>Some students thought this question was about the current account balance or the balance on merchandise trade more specifically and wrote about a factor affecting the level of export receipts and import payments such as an appreciation/depreciation in the value of the AUD. Students are reminded that the budget outcome relates to the government’s finances while the current account balance relates to transactions of current nature between the Australian economy and the rest of the world, such as exports and imports.</w:t>
      </w:r>
    </w:p>
    <w:p w14:paraId="70FEFC30" w14:textId="77777777" w:rsidR="00BD2FEB" w:rsidRPr="00492D1A" w:rsidRDefault="00BD2FEB" w:rsidP="00632752">
      <w:pPr>
        <w:pStyle w:val="BodyText"/>
      </w:pPr>
      <w:r w:rsidRPr="00492D1A">
        <w:t>The following is an example of a high-scoring response:</w:t>
      </w:r>
    </w:p>
    <w:p w14:paraId="012834B0" w14:textId="011DA777" w:rsidR="00BD2FEB" w:rsidRDefault="00BD2FEB" w:rsidP="00632752">
      <w:pPr>
        <w:pStyle w:val="Studentsample"/>
      </w:pPr>
      <w:r w:rsidRPr="00492D1A">
        <w:t xml:space="preserve">If there is a </w:t>
      </w:r>
      <w:proofErr w:type="gramStart"/>
      <w:r w:rsidRPr="00492D1A">
        <w:t>lower than expected</w:t>
      </w:r>
      <w:proofErr w:type="gramEnd"/>
      <w:r w:rsidRPr="00492D1A">
        <w:t xml:space="preserve"> unemployment rate, there may be lower than expected [number of] people receiving unemployment benefits, decreasing government expenses on welfare. Also, there may be a </w:t>
      </w:r>
      <w:proofErr w:type="gramStart"/>
      <w:r w:rsidRPr="00492D1A">
        <w:t>higher than expected</w:t>
      </w:r>
      <w:proofErr w:type="gramEnd"/>
      <w:r w:rsidRPr="00492D1A">
        <w:t xml:space="preserve"> number of people not earning taxable factor incomes as they are employed, causing personal income tax receipts to be raised upwards. With rising receipts to falling expenses, this improves the budget outcome and may lead to a lower budget deficit than expected.</w:t>
      </w:r>
    </w:p>
    <w:p w14:paraId="29DAAA4D" w14:textId="77777777" w:rsidR="00BD2FEB" w:rsidRDefault="00BD2FEB" w:rsidP="00BD2FEB">
      <w:pPr>
        <w:pStyle w:val="Heading2"/>
      </w:pPr>
      <w:r w:rsidRPr="00BF30E1">
        <w:t>Question 6b.</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1008"/>
      </w:tblGrid>
      <w:tr w:rsidR="00BD2FEB" w:rsidRPr="00DF24F6" w14:paraId="3076B221" w14:textId="77777777" w:rsidTr="00C76316">
        <w:trPr>
          <w:cnfStyle w:val="100000000000" w:firstRow="1" w:lastRow="0" w:firstColumn="0" w:lastColumn="0" w:oddVBand="0" w:evenVBand="0" w:oddHBand="0" w:evenHBand="0" w:firstRowFirstColumn="0" w:firstRowLastColumn="0" w:lastRowFirstColumn="0" w:lastRowLastColumn="0"/>
        </w:trPr>
        <w:tc>
          <w:tcPr>
            <w:tcW w:w="720" w:type="dxa"/>
          </w:tcPr>
          <w:p w14:paraId="44C41C98" w14:textId="77777777" w:rsidR="00BD2FEB" w:rsidRPr="00DF24F6" w:rsidRDefault="00BD2FEB" w:rsidP="00C76316">
            <w:pPr>
              <w:pStyle w:val="VCAAtablecondensedheading"/>
              <w:rPr>
                <w:lang w:val="en-AU"/>
              </w:rPr>
            </w:pPr>
            <w:r w:rsidRPr="00DF24F6">
              <w:rPr>
                <w:lang w:val="en-AU"/>
              </w:rPr>
              <w:t>Marks</w:t>
            </w:r>
          </w:p>
        </w:tc>
        <w:tc>
          <w:tcPr>
            <w:tcW w:w="576" w:type="dxa"/>
          </w:tcPr>
          <w:p w14:paraId="3289DE24" w14:textId="77777777" w:rsidR="00BD2FEB" w:rsidRPr="00DF24F6" w:rsidRDefault="00BD2FEB" w:rsidP="00C76316">
            <w:pPr>
              <w:pStyle w:val="VCAAtablecondensedheading"/>
              <w:rPr>
                <w:lang w:val="en-AU"/>
              </w:rPr>
            </w:pPr>
            <w:r w:rsidRPr="00DF24F6">
              <w:rPr>
                <w:lang w:val="en-AU"/>
              </w:rPr>
              <w:t>0</w:t>
            </w:r>
          </w:p>
        </w:tc>
        <w:tc>
          <w:tcPr>
            <w:tcW w:w="576" w:type="dxa"/>
          </w:tcPr>
          <w:p w14:paraId="6E1BECA2" w14:textId="77777777" w:rsidR="00BD2FEB" w:rsidRPr="00DF24F6" w:rsidRDefault="00BD2FEB" w:rsidP="00C76316">
            <w:pPr>
              <w:pStyle w:val="VCAAtablecondensedheading"/>
              <w:rPr>
                <w:lang w:val="en-AU"/>
              </w:rPr>
            </w:pPr>
            <w:r w:rsidRPr="00DF24F6">
              <w:rPr>
                <w:lang w:val="en-AU"/>
              </w:rPr>
              <w:t>1</w:t>
            </w:r>
          </w:p>
        </w:tc>
        <w:tc>
          <w:tcPr>
            <w:tcW w:w="576" w:type="dxa"/>
          </w:tcPr>
          <w:p w14:paraId="4051EFB9" w14:textId="77777777" w:rsidR="00BD2FEB" w:rsidRPr="00DF24F6" w:rsidRDefault="00BD2FEB" w:rsidP="00C76316">
            <w:pPr>
              <w:pStyle w:val="VCAAtablecondensedheading"/>
              <w:rPr>
                <w:lang w:val="en-AU"/>
              </w:rPr>
            </w:pPr>
            <w:r w:rsidRPr="00DF24F6">
              <w:rPr>
                <w:lang w:val="en-AU"/>
              </w:rPr>
              <w:t>2</w:t>
            </w:r>
          </w:p>
        </w:tc>
        <w:tc>
          <w:tcPr>
            <w:tcW w:w="576" w:type="dxa"/>
          </w:tcPr>
          <w:p w14:paraId="22666333" w14:textId="77777777" w:rsidR="00BD2FEB" w:rsidRPr="00DF24F6" w:rsidRDefault="00BD2FEB" w:rsidP="00C76316">
            <w:pPr>
              <w:pStyle w:val="VCAAtablecondensedheading"/>
              <w:rPr>
                <w:lang w:val="en-AU"/>
              </w:rPr>
            </w:pPr>
            <w:r w:rsidRPr="00DF24F6">
              <w:rPr>
                <w:lang w:val="en-AU"/>
              </w:rPr>
              <w:t>3</w:t>
            </w:r>
          </w:p>
        </w:tc>
        <w:tc>
          <w:tcPr>
            <w:tcW w:w="576" w:type="dxa"/>
          </w:tcPr>
          <w:p w14:paraId="4CF870F2" w14:textId="77777777" w:rsidR="00BD2FEB" w:rsidRPr="00DF24F6" w:rsidRDefault="00BD2FEB" w:rsidP="00C76316">
            <w:pPr>
              <w:pStyle w:val="VCAAtablecondensedheading"/>
              <w:rPr>
                <w:lang w:val="en-AU"/>
              </w:rPr>
            </w:pPr>
            <w:r w:rsidRPr="00DF24F6">
              <w:rPr>
                <w:lang w:val="en-AU"/>
              </w:rPr>
              <w:t>4</w:t>
            </w:r>
          </w:p>
        </w:tc>
        <w:tc>
          <w:tcPr>
            <w:tcW w:w="1008" w:type="dxa"/>
          </w:tcPr>
          <w:p w14:paraId="7211D073" w14:textId="77777777" w:rsidR="00BD2FEB" w:rsidRPr="00DF24F6" w:rsidRDefault="00BD2FEB" w:rsidP="00C76316">
            <w:pPr>
              <w:pStyle w:val="VCAAtablecondensedheading"/>
              <w:rPr>
                <w:lang w:val="en-AU"/>
              </w:rPr>
            </w:pPr>
            <w:r w:rsidRPr="00DF24F6">
              <w:rPr>
                <w:lang w:val="en-AU"/>
              </w:rPr>
              <w:t>Average</w:t>
            </w:r>
          </w:p>
        </w:tc>
      </w:tr>
      <w:tr w:rsidR="00BD2FEB" w:rsidRPr="00492D1A" w14:paraId="350D7EE0" w14:textId="77777777" w:rsidTr="00C76316">
        <w:tc>
          <w:tcPr>
            <w:tcW w:w="720" w:type="dxa"/>
          </w:tcPr>
          <w:p w14:paraId="549C7A9F" w14:textId="77777777" w:rsidR="00BD2FEB" w:rsidRPr="00492D1A" w:rsidRDefault="00BD2FEB" w:rsidP="00C76316">
            <w:pPr>
              <w:pStyle w:val="VCAAtablecondensed"/>
              <w:rPr>
                <w:color w:val="auto"/>
              </w:rPr>
            </w:pPr>
            <w:r w:rsidRPr="00492D1A">
              <w:rPr>
                <w:color w:val="auto"/>
              </w:rPr>
              <w:t>%</w:t>
            </w:r>
          </w:p>
        </w:tc>
        <w:tc>
          <w:tcPr>
            <w:tcW w:w="576" w:type="dxa"/>
            <w:vAlign w:val="bottom"/>
          </w:tcPr>
          <w:p w14:paraId="12190F6A" w14:textId="77777777" w:rsidR="00BD2FEB" w:rsidRPr="00492D1A" w:rsidRDefault="00BD2FEB" w:rsidP="00C76316">
            <w:pPr>
              <w:pStyle w:val="VCAAtablecondensed"/>
              <w:rPr>
                <w:color w:val="auto"/>
              </w:rPr>
            </w:pPr>
            <w:r w:rsidRPr="00492D1A">
              <w:rPr>
                <w:color w:val="auto"/>
              </w:rPr>
              <w:t>18</w:t>
            </w:r>
          </w:p>
        </w:tc>
        <w:tc>
          <w:tcPr>
            <w:tcW w:w="576" w:type="dxa"/>
            <w:vAlign w:val="bottom"/>
          </w:tcPr>
          <w:p w14:paraId="66710D54" w14:textId="77777777" w:rsidR="00BD2FEB" w:rsidRPr="00492D1A" w:rsidRDefault="00BD2FEB" w:rsidP="00C76316">
            <w:pPr>
              <w:pStyle w:val="VCAAtablecondensed"/>
              <w:rPr>
                <w:color w:val="auto"/>
              </w:rPr>
            </w:pPr>
            <w:r w:rsidRPr="00492D1A">
              <w:rPr>
                <w:color w:val="auto"/>
              </w:rPr>
              <w:t>7</w:t>
            </w:r>
          </w:p>
        </w:tc>
        <w:tc>
          <w:tcPr>
            <w:tcW w:w="576" w:type="dxa"/>
            <w:vAlign w:val="bottom"/>
          </w:tcPr>
          <w:p w14:paraId="1A1935B8" w14:textId="77777777" w:rsidR="00BD2FEB" w:rsidRPr="00492D1A" w:rsidRDefault="00BD2FEB" w:rsidP="00C76316">
            <w:pPr>
              <w:pStyle w:val="VCAAtablecondensed"/>
              <w:rPr>
                <w:color w:val="auto"/>
              </w:rPr>
            </w:pPr>
            <w:r w:rsidRPr="00492D1A">
              <w:rPr>
                <w:color w:val="auto"/>
              </w:rPr>
              <w:t>15</w:t>
            </w:r>
          </w:p>
        </w:tc>
        <w:tc>
          <w:tcPr>
            <w:tcW w:w="576" w:type="dxa"/>
          </w:tcPr>
          <w:p w14:paraId="542EA464" w14:textId="77777777" w:rsidR="00BD2FEB" w:rsidRPr="00492D1A" w:rsidRDefault="00BD2FEB" w:rsidP="00C76316">
            <w:pPr>
              <w:pStyle w:val="VCAAtablecondensed"/>
              <w:rPr>
                <w:color w:val="auto"/>
              </w:rPr>
            </w:pPr>
            <w:r w:rsidRPr="00492D1A">
              <w:rPr>
                <w:color w:val="auto"/>
              </w:rPr>
              <w:t>27</w:t>
            </w:r>
          </w:p>
        </w:tc>
        <w:tc>
          <w:tcPr>
            <w:tcW w:w="576" w:type="dxa"/>
            <w:vAlign w:val="bottom"/>
          </w:tcPr>
          <w:p w14:paraId="1C657449" w14:textId="77777777" w:rsidR="00BD2FEB" w:rsidRPr="00492D1A" w:rsidRDefault="00BD2FEB" w:rsidP="00C76316">
            <w:pPr>
              <w:pStyle w:val="VCAAtablecondensed"/>
              <w:rPr>
                <w:color w:val="auto"/>
              </w:rPr>
            </w:pPr>
            <w:r w:rsidRPr="00492D1A">
              <w:rPr>
                <w:color w:val="auto"/>
              </w:rPr>
              <w:t>33</w:t>
            </w:r>
          </w:p>
        </w:tc>
        <w:tc>
          <w:tcPr>
            <w:tcW w:w="1008" w:type="dxa"/>
          </w:tcPr>
          <w:p w14:paraId="7B2AD3D5" w14:textId="77777777" w:rsidR="00BD2FEB" w:rsidRPr="00492D1A" w:rsidRDefault="00BD2FEB" w:rsidP="00C76316">
            <w:pPr>
              <w:pStyle w:val="VCAAtablecondensed"/>
              <w:rPr>
                <w:color w:val="auto"/>
              </w:rPr>
            </w:pPr>
            <w:r w:rsidRPr="00492D1A">
              <w:rPr>
                <w:color w:val="auto"/>
              </w:rPr>
              <w:t>2.5</w:t>
            </w:r>
          </w:p>
        </w:tc>
      </w:tr>
    </w:tbl>
    <w:p w14:paraId="7F180B26" w14:textId="77777777" w:rsidR="00BD2FEB" w:rsidRPr="00492D1A" w:rsidRDefault="00BD2FEB" w:rsidP="00632752">
      <w:pPr>
        <w:pStyle w:val="BodyText"/>
      </w:pPr>
      <w:r w:rsidRPr="00492D1A">
        <w:t xml:space="preserve">Students were required to identify a discretionary stabiliser from the </w:t>
      </w:r>
      <w:r w:rsidRPr="00DE3AB2">
        <w:t>2025–2026 budget</w:t>
      </w:r>
      <w:r w:rsidRPr="00492D1A">
        <w:t xml:space="preserve"> and explain how it would influence AD, production, and the achievement of strong and sustainable economic growth. This question was answered well by students. A high percentage were able to explain a discretionary stabiliser from this year’s </w:t>
      </w:r>
      <w:r w:rsidRPr="00DE3AB2">
        <w:t>budget</w:t>
      </w:r>
      <w:r w:rsidRPr="00492D1A">
        <w:t xml:space="preserve">, and most were able to outline some link to AD. </w:t>
      </w:r>
    </w:p>
    <w:p w14:paraId="58709A9A" w14:textId="77777777" w:rsidR="00BD2FEB" w:rsidRPr="00492D1A" w:rsidRDefault="00BD2FEB" w:rsidP="00632752">
      <w:pPr>
        <w:pStyle w:val="BodyText"/>
      </w:pPr>
      <w:r w:rsidRPr="00492D1A">
        <w:t xml:space="preserve">High-scoring responses: </w:t>
      </w:r>
    </w:p>
    <w:p w14:paraId="72E7F210" w14:textId="77777777" w:rsidR="00BD2FEB" w:rsidRPr="00DE3AB2" w:rsidRDefault="00BD2FEB" w:rsidP="00BD2FEB">
      <w:pPr>
        <w:pStyle w:val="Bullet"/>
        <w:ind w:left="426" w:hanging="426"/>
      </w:pPr>
      <w:r w:rsidRPr="00492D1A">
        <w:t xml:space="preserve">demonstrated an understanding of one discretionary stabiliser from the </w:t>
      </w:r>
      <w:r w:rsidRPr="00DE3AB2">
        <w:t xml:space="preserve">2025–2026 budget </w:t>
      </w:r>
    </w:p>
    <w:p w14:paraId="473E5423" w14:textId="77777777" w:rsidR="00BD2FEB" w:rsidRPr="00492D1A" w:rsidRDefault="00BD2FEB" w:rsidP="00632752">
      <w:pPr>
        <w:pStyle w:val="Indent"/>
      </w:pPr>
      <w:r w:rsidRPr="00492D1A">
        <w:t xml:space="preserve">Such responses referred to a specific budget initiative, such as a specific infrastructure project, changes to income tax rates due in 2026 or the most recent targeted energy bill relief policy. </w:t>
      </w:r>
    </w:p>
    <w:p w14:paraId="3D2E942A" w14:textId="77777777" w:rsidR="00BD2FEB" w:rsidRPr="00492D1A" w:rsidRDefault="00BD2FEB" w:rsidP="00BD2FEB">
      <w:pPr>
        <w:pStyle w:val="Bullet"/>
        <w:ind w:left="426" w:hanging="426"/>
      </w:pPr>
      <w:r w:rsidRPr="00492D1A">
        <w:t>explained the effect of the chosen stabiliser on a component of AD and on economic activity</w:t>
      </w:r>
    </w:p>
    <w:p w14:paraId="3EF6D3BE" w14:textId="77777777" w:rsidR="00BD2FEB" w:rsidRPr="00492D1A" w:rsidRDefault="00BD2FEB" w:rsidP="00632752">
      <w:pPr>
        <w:pStyle w:val="Indent"/>
      </w:pPr>
      <w:r w:rsidRPr="00492D1A">
        <w:t>Such responses showed how the measure would affect consumption, investment or government spending and AD overall. They also clearly linked this to changes in production, employment and economic growth as measured by real GDP.</w:t>
      </w:r>
    </w:p>
    <w:p w14:paraId="1E25FA9D" w14:textId="77777777" w:rsidR="00BD2FEB" w:rsidRPr="00492D1A" w:rsidRDefault="00BD2FEB" w:rsidP="00BD2FEB">
      <w:pPr>
        <w:pStyle w:val="Bullet"/>
        <w:ind w:left="426" w:hanging="426"/>
      </w:pPr>
      <w:r w:rsidRPr="00492D1A">
        <w:t>linked the predicted change in economic activity to the goal of strong and sustainable economic growth</w:t>
      </w:r>
    </w:p>
    <w:p w14:paraId="320C23AA" w14:textId="77777777" w:rsidR="00BD2FEB" w:rsidRPr="00492D1A" w:rsidRDefault="00BD2FEB" w:rsidP="00632752">
      <w:pPr>
        <w:pStyle w:val="Indent"/>
      </w:pPr>
      <w:r w:rsidRPr="00492D1A">
        <w:t>Such responses noted whether the stabiliser would support short-term growth without creating excessive inflationary pressure or unsustainable demand conditions, although a reference to the connection to strong, sustainable economic growth</w:t>
      </w:r>
      <w:r w:rsidRPr="00492D1A" w:rsidDel="00F159AF">
        <w:t xml:space="preserve"> </w:t>
      </w:r>
      <w:r w:rsidRPr="00492D1A">
        <w:t xml:space="preserve">was not required to achieve full marks. </w:t>
      </w:r>
    </w:p>
    <w:p w14:paraId="16C1074E" w14:textId="77777777" w:rsidR="00BD2FEB" w:rsidRPr="00492D1A" w:rsidRDefault="00BD2FEB" w:rsidP="00632752">
      <w:pPr>
        <w:pStyle w:val="BodyText"/>
      </w:pPr>
      <w:r w:rsidRPr="00492D1A">
        <w:t>Common misconceptions included:</w:t>
      </w:r>
    </w:p>
    <w:p w14:paraId="0641E6F3" w14:textId="77777777" w:rsidR="00BD2FEB" w:rsidRPr="00492D1A" w:rsidRDefault="00BD2FEB" w:rsidP="00BD2FEB">
      <w:pPr>
        <w:pStyle w:val="Bullet"/>
        <w:ind w:left="426" w:hanging="426"/>
      </w:pPr>
      <w:r w:rsidRPr="00492D1A">
        <w:t xml:space="preserve">explaining the impact of the policy from an AS perspective </w:t>
      </w:r>
    </w:p>
    <w:p w14:paraId="2945A0D1" w14:textId="77777777" w:rsidR="00BD2FEB" w:rsidRPr="00492D1A" w:rsidRDefault="00BD2FEB" w:rsidP="00632752">
      <w:pPr>
        <w:pStyle w:val="Indent"/>
      </w:pPr>
      <w:r w:rsidRPr="00492D1A">
        <w:t xml:space="preserve">Many students analysed the policy exclusively in terms of its effect on production costs, AS or productive capacity. Students are reminded that </w:t>
      </w:r>
      <w:r w:rsidRPr="00492D1A">
        <w:rPr>
          <w:rStyle w:val="EmphasisBold"/>
        </w:rPr>
        <w:t>discretionary stabilisers</w:t>
      </w:r>
      <w:r w:rsidRPr="00492D1A">
        <w:t xml:space="preserve"> are budgetary measures designed to influence AD and stabilise the business cycle in the short to medium term. While discretionary stabilisers such as new infrastructure spending do raise the economy’s productive capacity and hence its potential to supply goods and services over the longer term, permitting the economy to absorb increases in AD to avoid destabilising inflationary booms (a significant peak in the business cycle), this argument was not made well by many students.</w:t>
      </w:r>
    </w:p>
    <w:p w14:paraId="6F372FAA" w14:textId="77777777" w:rsidR="00BD2FEB" w:rsidRPr="00492D1A" w:rsidRDefault="00BD2FEB" w:rsidP="00BD2FEB">
      <w:pPr>
        <w:pStyle w:val="Bullet"/>
        <w:ind w:left="426" w:hanging="426"/>
      </w:pPr>
      <w:r w:rsidRPr="00492D1A">
        <w:lastRenderedPageBreak/>
        <w:t xml:space="preserve">not referring to a contemporary budgetary policy </w:t>
      </w:r>
    </w:p>
    <w:p w14:paraId="332C8060" w14:textId="77777777" w:rsidR="00BD2FEB" w:rsidRPr="00492D1A" w:rsidRDefault="00BD2FEB" w:rsidP="00632752">
      <w:pPr>
        <w:pStyle w:val="Indent"/>
      </w:pPr>
      <w:r w:rsidRPr="00492D1A">
        <w:t>Some responses discussed budget measures in general terms and did not demonstrate knowledge of a current initiative. Students need to commit to memory discretionary stabilisers from the most recent budget to be able to access all the available marks for this question.</w:t>
      </w:r>
    </w:p>
    <w:p w14:paraId="4D45A0D7" w14:textId="77777777" w:rsidR="00BD2FEB" w:rsidRPr="00492D1A" w:rsidRDefault="00BD2FEB" w:rsidP="00632752">
      <w:pPr>
        <w:pStyle w:val="BodyText"/>
      </w:pPr>
      <w:r w:rsidRPr="00492D1A">
        <w:t>The following is an example of a high-scoring response:</w:t>
      </w:r>
    </w:p>
    <w:p w14:paraId="03383A44" w14:textId="77777777" w:rsidR="00BD2FEB" w:rsidRPr="00492D1A" w:rsidRDefault="00BD2FEB" w:rsidP="00632752">
      <w:pPr>
        <w:pStyle w:val="Studentsample"/>
      </w:pPr>
      <w:r w:rsidRPr="00492D1A">
        <w:t xml:space="preserve">The announcement of the extension of the energy rebate for another 6 months in the 2025–26 budget outcome will see households’ electricity bills reduce by $150 in total, $75 per quarter. </w:t>
      </w:r>
      <w:proofErr w:type="gramStart"/>
      <w:r w:rsidRPr="00492D1A">
        <w:t>Thus</w:t>
      </w:r>
      <w:proofErr w:type="gramEnd"/>
      <w:r w:rsidRPr="00492D1A">
        <w:t xml:space="preserve"> this will see a rise in discretionary income (factor income + welfare – direct taxes – necessities) as electricity is a necessity and has inelastic demand. This will thus increase C and hence the AD. Firms will thus notice rising sales and falling stock levels thus increasing production levels (GDP) hence increasing economic growth. As the current rate of economic growth is 1.8%, this will help assist in the achievement of the goal by making economic growth </w:t>
      </w:r>
      <w:proofErr w:type="gramStart"/>
      <w:r w:rsidRPr="00492D1A">
        <w:t>more ‘strong’</w:t>
      </w:r>
      <w:proofErr w:type="gramEnd"/>
      <w:r w:rsidRPr="00492D1A">
        <w:t xml:space="preserve"> (increasing it closer to the unofficial target of 3–3.5%). Furthermore, as electricity is counted under ‘housing policy’ category in the CPI, this will help reduce the growth in the CPI and hence inflation rate, therefore making economic growth more ‘sustainable’ (causing less inflationary pressures) assisting with the achievement of the goal. </w:t>
      </w:r>
    </w:p>
    <w:p w14:paraId="6C3A7994" w14:textId="77777777" w:rsidR="00BD2FEB" w:rsidRDefault="00BD2FEB" w:rsidP="00BD2FEB">
      <w:pPr>
        <w:pStyle w:val="Heading2"/>
      </w:pPr>
      <w:r w:rsidRPr="00BF30E1">
        <w:t>Question 6c.</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576"/>
        <w:gridCol w:w="576"/>
        <w:gridCol w:w="1008"/>
      </w:tblGrid>
      <w:tr w:rsidR="00BD2FEB" w:rsidRPr="00DF24F6" w14:paraId="62E8FD50" w14:textId="77777777" w:rsidTr="00C76316">
        <w:trPr>
          <w:cnfStyle w:val="100000000000" w:firstRow="1" w:lastRow="0" w:firstColumn="0" w:lastColumn="0" w:oddVBand="0" w:evenVBand="0" w:oddHBand="0" w:evenHBand="0" w:firstRowFirstColumn="0" w:firstRowLastColumn="0" w:lastRowFirstColumn="0" w:lastRowLastColumn="0"/>
        </w:trPr>
        <w:tc>
          <w:tcPr>
            <w:tcW w:w="720" w:type="dxa"/>
          </w:tcPr>
          <w:p w14:paraId="1A570320" w14:textId="77777777" w:rsidR="00BD2FEB" w:rsidRPr="00DF24F6" w:rsidRDefault="00BD2FEB" w:rsidP="00C76316">
            <w:pPr>
              <w:pStyle w:val="VCAAtablecondensedheading"/>
              <w:rPr>
                <w:lang w:val="en-AU"/>
              </w:rPr>
            </w:pPr>
            <w:r w:rsidRPr="00DF24F6">
              <w:rPr>
                <w:lang w:val="en-AU"/>
              </w:rPr>
              <w:t>Marks</w:t>
            </w:r>
          </w:p>
        </w:tc>
        <w:tc>
          <w:tcPr>
            <w:tcW w:w="576" w:type="dxa"/>
          </w:tcPr>
          <w:p w14:paraId="171FACE2" w14:textId="77777777" w:rsidR="00BD2FEB" w:rsidRPr="00DF24F6" w:rsidRDefault="00BD2FEB" w:rsidP="00C76316">
            <w:pPr>
              <w:pStyle w:val="VCAAtablecondensedheading"/>
              <w:rPr>
                <w:lang w:val="en-AU"/>
              </w:rPr>
            </w:pPr>
            <w:r w:rsidRPr="00DF24F6">
              <w:rPr>
                <w:lang w:val="en-AU"/>
              </w:rPr>
              <w:t>0</w:t>
            </w:r>
          </w:p>
        </w:tc>
        <w:tc>
          <w:tcPr>
            <w:tcW w:w="576" w:type="dxa"/>
          </w:tcPr>
          <w:p w14:paraId="35380DCE" w14:textId="77777777" w:rsidR="00BD2FEB" w:rsidRPr="00DF24F6" w:rsidRDefault="00BD2FEB" w:rsidP="00C76316">
            <w:pPr>
              <w:pStyle w:val="VCAAtablecondensedheading"/>
              <w:rPr>
                <w:lang w:val="en-AU"/>
              </w:rPr>
            </w:pPr>
            <w:r w:rsidRPr="00DF24F6">
              <w:rPr>
                <w:lang w:val="en-AU"/>
              </w:rPr>
              <w:t>1</w:t>
            </w:r>
          </w:p>
        </w:tc>
        <w:tc>
          <w:tcPr>
            <w:tcW w:w="576" w:type="dxa"/>
          </w:tcPr>
          <w:p w14:paraId="4276580D" w14:textId="77777777" w:rsidR="00BD2FEB" w:rsidRPr="00DF24F6" w:rsidRDefault="00BD2FEB" w:rsidP="00C76316">
            <w:pPr>
              <w:pStyle w:val="VCAAtablecondensedheading"/>
              <w:rPr>
                <w:lang w:val="en-AU"/>
              </w:rPr>
            </w:pPr>
            <w:r w:rsidRPr="00DF24F6">
              <w:rPr>
                <w:lang w:val="en-AU"/>
              </w:rPr>
              <w:t>2</w:t>
            </w:r>
          </w:p>
        </w:tc>
        <w:tc>
          <w:tcPr>
            <w:tcW w:w="576" w:type="dxa"/>
          </w:tcPr>
          <w:p w14:paraId="511CB7C0" w14:textId="77777777" w:rsidR="00BD2FEB" w:rsidRPr="00DF24F6" w:rsidRDefault="00BD2FEB" w:rsidP="00C76316">
            <w:pPr>
              <w:pStyle w:val="VCAAtablecondensedheading"/>
              <w:rPr>
                <w:lang w:val="en-AU"/>
              </w:rPr>
            </w:pPr>
            <w:r w:rsidRPr="00DF24F6">
              <w:rPr>
                <w:lang w:val="en-AU"/>
              </w:rPr>
              <w:t>3</w:t>
            </w:r>
          </w:p>
        </w:tc>
        <w:tc>
          <w:tcPr>
            <w:tcW w:w="576" w:type="dxa"/>
          </w:tcPr>
          <w:p w14:paraId="55C21019" w14:textId="77777777" w:rsidR="00BD2FEB" w:rsidRPr="00DF24F6" w:rsidRDefault="00BD2FEB" w:rsidP="00C76316">
            <w:pPr>
              <w:pStyle w:val="VCAAtablecondensedheading"/>
              <w:rPr>
                <w:lang w:val="en-AU"/>
              </w:rPr>
            </w:pPr>
            <w:r w:rsidRPr="00DF24F6">
              <w:rPr>
                <w:lang w:val="en-AU"/>
              </w:rPr>
              <w:t>4</w:t>
            </w:r>
          </w:p>
        </w:tc>
        <w:tc>
          <w:tcPr>
            <w:tcW w:w="576" w:type="dxa"/>
          </w:tcPr>
          <w:p w14:paraId="10F076A3" w14:textId="77777777" w:rsidR="00BD2FEB" w:rsidRPr="00DF24F6" w:rsidRDefault="00BD2FEB" w:rsidP="00C76316">
            <w:pPr>
              <w:pStyle w:val="VCAAtablecondensedheading"/>
              <w:rPr>
                <w:lang w:val="en-AU"/>
              </w:rPr>
            </w:pPr>
            <w:r w:rsidRPr="00DF24F6">
              <w:rPr>
                <w:lang w:val="en-AU"/>
              </w:rPr>
              <w:t>5</w:t>
            </w:r>
          </w:p>
        </w:tc>
        <w:tc>
          <w:tcPr>
            <w:tcW w:w="576" w:type="dxa"/>
          </w:tcPr>
          <w:p w14:paraId="7403FFBD" w14:textId="77777777" w:rsidR="00BD2FEB" w:rsidRPr="00DF24F6" w:rsidRDefault="00BD2FEB" w:rsidP="00C76316">
            <w:pPr>
              <w:pStyle w:val="VCAAtablecondensedheading"/>
              <w:rPr>
                <w:lang w:val="en-AU"/>
              </w:rPr>
            </w:pPr>
            <w:r w:rsidRPr="00DF24F6">
              <w:rPr>
                <w:lang w:val="en-AU"/>
              </w:rPr>
              <w:t>6</w:t>
            </w:r>
          </w:p>
        </w:tc>
        <w:tc>
          <w:tcPr>
            <w:tcW w:w="1008" w:type="dxa"/>
          </w:tcPr>
          <w:p w14:paraId="5876DC29" w14:textId="77777777" w:rsidR="00BD2FEB" w:rsidRPr="00DF24F6" w:rsidRDefault="00BD2FEB" w:rsidP="00C76316">
            <w:pPr>
              <w:pStyle w:val="VCAAtablecondensedheading"/>
              <w:rPr>
                <w:lang w:val="en-AU"/>
              </w:rPr>
            </w:pPr>
            <w:r w:rsidRPr="00DF24F6">
              <w:rPr>
                <w:lang w:val="en-AU"/>
              </w:rPr>
              <w:t>Average</w:t>
            </w:r>
          </w:p>
        </w:tc>
      </w:tr>
      <w:tr w:rsidR="00BD2FEB" w:rsidRPr="00492D1A" w14:paraId="425A3F78" w14:textId="77777777" w:rsidTr="00C76316">
        <w:tc>
          <w:tcPr>
            <w:tcW w:w="720" w:type="dxa"/>
          </w:tcPr>
          <w:p w14:paraId="1F4ADFE6" w14:textId="77777777" w:rsidR="00BD2FEB" w:rsidRPr="00492D1A" w:rsidRDefault="00BD2FEB" w:rsidP="00C76316">
            <w:pPr>
              <w:pStyle w:val="VCAAtablecondensed"/>
              <w:rPr>
                <w:color w:val="auto"/>
              </w:rPr>
            </w:pPr>
            <w:r w:rsidRPr="00492D1A">
              <w:rPr>
                <w:color w:val="auto"/>
              </w:rPr>
              <w:t>%</w:t>
            </w:r>
          </w:p>
        </w:tc>
        <w:tc>
          <w:tcPr>
            <w:tcW w:w="576" w:type="dxa"/>
            <w:vAlign w:val="bottom"/>
          </w:tcPr>
          <w:p w14:paraId="167C3B5F" w14:textId="77777777" w:rsidR="00BD2FEB" w:rsidRPr="00492D1A" w:rsidRDefault="00BD2FEB" w:rsidP="00C76316">
            <w:pPr>
              <w:pStyle w:val="VCAAtablecondensed"/>
              <w:rPr>
                <w:color w:val="auto"/>
              </w:rPr>
            </w:pPr>
            <w:r w:rsidRPr="00492D1A">
              <w:rPr>
                <w:color w:val="auto"/>
              </w:rPr>
              <w:t>29</w:t>
            </w:r>
          </w:p>
        </w:tc>
        <w:tc>
          <w:tcPr>
            <w:tcW w:w="576" w:type="dxa"/>
            <w:vAlign w:val="bottom"/>
          </w:tcPr>
          <w:p w14:paraId="36FE638F" w14:textId="77777777" w:rsidR="00BD2FEB" w:rsidRPr="00492D1A" w:rsidRDefault="00BD2FEB" w:rsidP="00C76316">
            <w:pPr>
              <w:pStyle w:val="VCAAtablecondensed"/>
              <w:rPr>
                <w:color w:val="auto"/>
              </w:rPr>
            </w:pPr>
            <w:r w:rsidRPr="00492D1A">
              <w:rPr>
                <w:color w:val="auto"/>
              </w:rPr>
              <w:t>12</w:t>
            </w:r>
          </w:p>
        </w:tc>
        <w:tc>
          <w:tcPr>
            <w:tcW w:w="576" w:type="dxa"/>
            <w:vAlign w:val="bottom"/>
          </w:tcPr>
          <w:p w14:paraId="583E39B1" w14:textId="77777777" w:rsidR="00BD2FEB" w:rsidRPr="00492D1A" w:rsidRDefault="00BD2FEB" w:rsidP="00C76316">
            <w:pPr>
              <w:pStyle w:val="VCAAtablecondensed"/>
              <w:rPr>
                <w:color w:val="auto"/>
              </w:rPr>
            </w:pPr>
            <w:r w:rsidRPr="00492D1A">
              <w:rPr>
                <w:color w:val="auto"/>
              </w:rPr>
              <w:t>13</w:t>
            </w:r>
          </w:p>
        </w:tc>
        <w:tc>
          <w:tcPr>
            <w:tcW w:w="576" w:type="dxa"/>
          </w:tcPr>
          <w:p w14:paraId="663825D9" w14:textId="77777777" w:rsidR="00BD2FEB" w:rsidRPr="00492D1A" w:rsidRDefault="00BD2FEB" w:rsidP="00C76316">
            <w:pPr>
              <w:pStyle w:val="VCAAtablecondensed"/>
              <w:rPr>
                <w:color w:val="auto"/>
              </w:rPr>
            </w:pPr>
            <w:r w:rsidRPr="00492D1A">
              <w:rPr>
                <w:color w:val="auto"/>
              </w:rPr>
              <w:t>15</w:t>
            </w:r>
          </w:p>
        </w:tc>
        <w:tc>
          <w:tcPr>
            <w:tcW w:w="576" w:type="dxa"/>
          </w:tcPr>
          <w:p w14:paraId="1310DAEA" w14:textId="77777777" w:rsidR="00BD2FEB" w:rsidRPr="00492D1A" w:rsidRDefault="00BD2FEB" w:rsidP="00C76316">
            <w:pPr>
              <w:pStyle w:val="VCAAtablecondensed"/>
              <w:rPr>
                <w:color w:val="auto"/>
              </w:rPr>
            </w:pPr>
            <w:r w:rsidRPr="00492D1A">
              <w:rPr>
                <w:color w:val="auto"/>
              </w:rPr>
              <w:t>11</w:t>
            </w:r>
          </w:p>
        </w:tc>
        <w:tc>
          <w:tcPr>
            <w:tcW w:w="576" w:type="dxa"/>
          </w:tcPr>
          <w:p w14:paraId="08AAF7C3" w14:textId="77777777" w:rsidR="00BD2FEB" w:rsidRPr="00492D1A" w:rsidRDefault="00BD2FEB" w:rsidP="00C76316">
            <w:pPr>
              <w:pStyle w:val="VCAAtablecondensed"/>
              <w:rPr>
                <w:color w:val="auto"/>
              </w:rPr>
            </w:pPr>
            <w:r w:rsidRPr="00492D1A">
              <w:rPr>
                <w:color w:val="auto"/>
              </w:rPr>
              <w:t>12</w:t>
            </w:r>
          </w:p>
        </w:tc>
        <w:tc>
          <w:tcPr>
            <w:tcW w:w="576" w:type="dxa"/>
            <w:vAlign w:val="bottom"/>
          </w:tcPr>
          <w:p w14:paraId="21EFA286" w14:textId="77777777" w:rsidR="00BD2FEB" w:rsidRPr="00492D1A" w:rsidRDefault="00BD2FEB" w:rsidP="00C76316">
            <w:pPr>
              <w:pStyle w:val="VCAAtablecondensed"/>
              <w:rPr>
                <w:color w:val="auto"/>
              </w:rPr>
            </w:pPr>
            <w:r w:rsidRPr="00492D1A">
              <w:rPr>
                <w:color w:val="auto"/>
              </w:rPr>
              <w:t>6</w:t>
            </w:r>
          </w:p>
        </w:tc>
        <w:tc>
          <w:tcPr>
            <w:tcW w:w="1008" w:type="dxa"/>
          </w:tcPr>
          <w:p w14:paraId="013AA861" w14:textId="77777777" w:rsidR="00BD2FEB" w:rsidRPr="00492D1A" w:rsidRDefault="00BD2FEB" w:rsidP="00C76316">
            <w:pPr>
              <w:pStyle w:val="VCAAtablecondensed"/>
              <w:rPr>
                <w:color w:val="auto"/>
              </w:rPr>
            </w:pPr>
            <w:r w:rsidRPr="00492D1A">
              <w:rPr>
                <w:color w:val="auto"/>
              </w:rPr>
              <w:t>2.3</w:t>
            </w:r>
          </w:p>
        </w:tc>
      </w:tr>
    </w:tbl>
    <w:p w14:paraId="4F1613AF" w14:textId="77777777" w:rsidR="00BD2FEB" w:rsidRPr="00492D1A" w:rsidRDefault="00BD2FEB" w:rsidP="00632752">
      <w:pPr>
        <w:pStyle w:val="BodyText"/>
      </w:pPr>
      <w:r w:rsidRPr="00492D1A">
        <w:t xml:space="preserve">Students were required to analyse the strengths and weaknesses of both monetary and budgetary policy in achieving low and stable inflation, specifically within the context of global economic uncertainty. This question was not handled well by students. </w:t>
      </w:r>
    </w:p>
    <w:p w14:paraId="1CFDEFC7" w14:textId="77777777" w:rsidR="00BD2FEB" w:rsidRPr="00492D1A" w:rsidRDefault="00BD2FEB" w:rsidP="00632752">
      <w:pPr>
        <w:pStyle w:val="BodyText"/>
      </w:pPr>
      <w:r w:rsidRPr="00492D1A">
        <w:t xml:space="preserve">High-scoring responses: </w:t>
      </w:r>
    </w:p>
    <w:p w14:paraId="54E4588B" w14:textId="77777777" w:rsidR="00BD2FEB" w:rsidRPr="00492D1A" w:rsidRDefault="00BD2FEB" w:rsidP="00BD2FEB">
      <w:pPr>
        <w:pStyle w:val="Bullet"/>
        <w:ind w:left="426" w:hanging="426"/>
      </w:pPr>
      <w:r w:rsidRPr="00492D1A">
        <w:t xml:space="preserve">demonstrated an understanding of a strength and a weakness of monetary policy in achieving low and stable inflation within the context of global economic uncertainty </w:t>
      </w:r>
    </w:p>
    <w:p w14:paraId="5725AFA0" w14:textId="77777777" w:rsidR="00BD2FEB" w:rsidRPr="00492D1A" w:rsidRDefault="00BD2FEB" w:rsidP="00632752">
      <w:pPr>
        <w:pStyle w:val="Indent"/>
      </w:pPr>
      <w:r w:rsidRPr="00492D1A">
        <w:t xml:space="preserve">For example, such responses noted that monetary policy is flexible and could be implemented quickly but may be less effective when confidence was low, households are highly </w:t>
      </w:r>
      <w:proofErr w:type="gramStart"/>
      <w:r w:rsidRPr="00492D1A">
        <w:t>leveraged</w:t>
      </w:r>
      <w:proofErr w:type="gramEnd"/>
      <w:r w:rsidRPr="00492D1A">
        <w:t xml:space="preserve"> or the actions of other central banks disrupt transmission mechanisms.</w:t>
      </w:r>
    </w:p>
    <w:p w14:paraId="5BCF72E0" w14:textId="77777777" w:rsidR="00BD2FEB" w:rsidRPr="00492D1A" w:rsidRDefault="00BD2FEB" w:rsidP="00BD2FEB">
      <w:pPr>
        <w:pStyle w:val="Bullet"/>
        <w:ind w:left="426" w:hanging="426"/>
      </w:pPr>
      <w:r w:rsidRPr="00492D1A">
        <w:t xml:space="preserve">demonstrated an understanding of a strength and a weakness of budgetary policy in achieving low and stable inflation within the context of global economic uncertainty </w:t>
      </w:r>
    </w:p>
    <w:p w14:paraId="4076EED7" w14:textId="77777777" w:rsidR="00BD2FEB" w:rsidRPr="00492D1A" w:rsidRDefault="00BD2FEB" w:rsidP="00632752">
      <w:pPr>
        <w:pStyle w:val="Indent"/>
      </w:pPr>
      <w:r w:rsidRPr="00492D1A">
        <w:t>Such responses explained that discretionary budgetary policy could be targeted to specific groups or sectors, which may be particularly effective in times of global uncertainty; but implementation lags and political constraints could limit its effectiveness in stabilising inflation in uncertain global conditions.</w:t>
      </w:r>
    </w:p>
    <w:p w14:paraId="2DB5846D" w14:textId="77777777" w:rsidR="00BD2FEB" w:rsidRPr="00492D1A" w:rsidRDefault="00BD2FEB" w:rsidP="00632752">
      <w:pPr>
        <w:pStyle w:val="BodyText"/>
      </w:pPr>
      <w:r w:rsidRPr="00492D1A">
        <w:t>Common misconceptions included:</w:t>
      </w:r>
    </w:p>
    <w:p w14:paraId="27A606AB" w14:textId="77777777" w:rsidR="00BD2FEB" w:rsidRPr="00492D1A" w:rsidRDefault="00BD2FEB" w:rsidP="00BD2FEB">
      <w:pPr>
        <w:pStyle w:val="Bullet"/>
        <w:ind w:left="426" w:hanging="426"/>
      </w:pPr>
      <w:r w:rsidRPr="00492D1A">
        <w:t xml:space="preserve">making no reference to the ‘period of global economic uncertainty’ </w:t>
      </w:r>
    </w:p>
    <w:p w14:paraId="275A8306" w14:textId="77777777" w:rsidR="00BD2FEB" w:rsidRPr="00492D1A" w:rsidRDefault="00BD2FEB" w:rsidP="00632752">
      <w:pPr>
        <w:pStyle w:val="Indent"/>
      </w:pPr>
      <w:r w:rsidRPr="00492D1A">
        <w:t>Most students did not address the contextual requirement of the question, describing strengths and weaknesses without linking them to the challenges posed by global economic uncertainty.</w:t>
      </w:r>
    </w:p>
    <w:p w14:paraId="566139CC" w14:textId="77777777" w:rsidR="00BD2FEB" w:rsidRPr="00492D1A" w:rsidRDefault="00BD2FEB" w:rsidP="00BD2FEB">
      <w:pPr>
        <w:pStyle w:val="Bullet"/>
        <w:ind w:left="426" w:hanging="426"/>
      </w:pPr>
      <w:r w:rsidRPr="00492D1A">
        <w:t xml:space="preserve">not referring to both monetary and budgetary policy </w:t>
      </w:r>
    </w:p>
    <w:p w14:paraId="6AF31EEC" w14:textId="77777777" w:rsidR="00BD2FEB" w:rsidRDefault="00BD2FEB" w:rsidP="00632752">
      <w:pPr>
        <w:pStyle w:val="Indent"/>
      </w:pPr>
      <w:r w:rsidRPr="00492D1A">
        <w:t xml:space="preserve">Many students appeared to be confused by the phrase ‘aggregate demand </w:t>
      </w:r>
      <w:proofErr w:type="gramStart"/>
      <w:r w:rsidRPr="00492D1A">
        <w:t>policies’</w:t>
      </w:r>
      <w:proofErr w:type="gramEnd"/>
      <w:r w:rsidRPr="00492D1A">
        <w:t xml:space="preserve">. AD policies include both monetary policy and budgetary policy and therefore the strengths and weaknesses of both needed to be explored. </w:t>
      </w:r>
    </w:p>
    <w:p w14:paraId="6302EBBE" w14:textId="77777777" w:rsidR="00632752" w:rsidRPr="00492D1A" w:rsidRDefault="00632752" w:rsidP="00632752">
      <w:pPr>
        <w:pStyle w:val="Indent"/>
      </w:pPr>
    </w:p>
    <w:p w14:paraId="0BF63F72" w14:textId="77777777" w:rsidR="00BD2FEB" w:rsidRPr="00492D1A" w:rsidRDefault="00BD2FEB" w:rsidP="00BD2FEB">
      <w:pPr>
        <w:pStyle w:val="Bullet"/>
        <w:ind w:left="426" w:hanging="426"/>
      </w:pPr>
      <w:r w:rsidRPr="00492D1A">
        <w:lastRenderedPageBreak/>
        <w:t>writing about the operation of AD policies</w:t>
      </w:r>
    </w:p>
    <w:p w14:paraId="00ECA7B3" w14:textId="77777777" w:rsidR="00BD2FEB" w:rsidRPr="00492D1A" w:rsidRDefault="00BD2FEB" w:rsidP="00632752">
      <w:pPr>
        <w:pStyle w:val="Indent"/>
      </w:pPr>
      <w:r w:rsidRPr="00492D1A">
        <w:t xml:space="preserve">Many students wrote only about the operation of budgetary policy and monetary policy. That is, they explained how both policies operate to influence AD but made no attempt to analyse the relative strengths and weaknesses of each policy in achieving the goal of low inflation. Students are reminded that a strength is a feature or aspect of budgetary or monetary policy that makes it particularly potent or effective in achieving a goal; while a weakness is a feature or aspect of budgetary or monetary policy that limits or constrains its effectiveness in achieving a goal. In this question, no marks were awarded for explaining how either policy works to impact inflation (the operation), without relevant reference to the strengths and weaknesses of the policy. </w:t>
      </w:r>
    </w:p>
    <w:p w14:paraId="11EA22BF" w14:textId="77777777" w:rsidR="00BD2FEB" w:rsidRPr="00492D1A" w:rsidRDefault="00BD2FEB" w:rsidP="00632752">
      <w:pPr>
        <w:pStyle w:val="BodyText"/>
      </w:pPr>
      <w:r w:rsidRPr="00492D1A">
        <w:t>The following is an example of a high-scoring response:</w:t>
      </w:r>
    </w:p>
    <w:p w14:paraId="5E43AD03" w14:textId="77777777" w:rsidR="00BD2FEB" w:rsidRPr="00492D1A" w:rsidRDefault="00BD2FEB" w:rsidP="00632752">
      <w:pPr>
        <w:pStyle w:val="Studentsample"/>
      </w:pPr>
      <w:r w:rsidRPr="00492D1A">
        <w:t xml:space="preserve">The goal of low and stable inflation (price stability) is to maintain general price levels in the economy, typically a rate of 2–3% inflation. In global uncertainty, one strength of monetary policy </w:t>
      </w:r>
      <w:proofErr w:type="gramStart"/>
      <w:r w:rsidRPr="00492D1A">
        <w:t>in particular is</w:t>
      </w:r>
      <w:proofErr w:type="gramEnd"/>
      <w:r w:rsidRPr="00492D1A">
        <w:t xml:space="preserve"> its lack of political bias. The RBA being an independent body would not be affected by changing political stances, making them focus solely on achieving this goal. This allows them to become more contractionary when required to reduce inflation, helping it to achieve price stability. One strength of budgetary policy during uncertainty is it swings into action automatically with automatic stabilisers. If tariffs increase and countries retaliate, it may decrease overseas economic growth and negatively impact economic growth and AD in Australia. Since the cyclical component automatically takes effect, it will quickly increase outlays via welfare payments and decrease receipts via lower tax payments if unemployment goes up. This allows it to maintain a higher inflation rate to protect it from going below 2–3% as going below can lead to delayed consumption etc. However, a weakness of monetary policy </w:t>
      </w:r>
      <w:proofErr w:type="gramStart"/>
      <w:r w:rsidRPr="00492D1A">
        <w:t>in particular is</w:t>
      </w:r>
      <w:proofErr w:type="gramEnd"/>
      <w:r w:rsidRPr="00492D1A">
        <w:t xml:space="preserve"> its inability to control cost inflation. In global uncertainty and when geopolitical events arise, the economy may have higher cost inflation as other countries may have high inflation and if Australia increases tariffs, increasing the price of intermediate goods required for production. Since the RBA can only control demand inflation, it makes it ineffective at targeting this cost inflation, reducing its ability to achieve price stability. Additionally, since budgetary policy is controlled by the government, political bias may increase cost inflation. During global uncertainty, the government may introduce tariffs, increasing the cost of imported intermediate goods which raises cost inflation, undermining its ability to achieve price stability.</w:t>
      </w:r>
    </w:p>
    <w:p w14:paraId="7993348D" w14:textId="77777777" w:rsidR="00BD2FEB" w:rsidRDefault="00BD2FEB" w:rsidP="00BD2FEB">
      <w:pPr>
        <w:pStyle w:val="Heading2"/>
      </w:pPr>
      <w:r w:rsidRPr="00BF30E1">
        <w:t>Question 7a.</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576"/>
        <w:gridCol w:w="1008"/>
      </w:tblGrid>
      <w:tr w:rsidR="00BD2FEB" w:rsidRPr="00DF24F6" w14:paraId="17464EA2" w14:textId="77777777" w:rsidTr="00C76316">
        <w:trPr>
          <w:cnfStyle w:val="100000000000" w:firstRow="1" w:lastRow="0" w:firstColumn="0" w:lastColumn="0" w:oddVBand="0" w:evenVBand="0" w:oddHBand="0" w:evenHBand="0" w:firstRowFirstColumn="0" w:firstRowLastColumn="0" w:lastRowFirstColumn="0" w:lastRowLastColumn="0"/>
        </w:trPr>
        <w:tc>
          <w:tcPr>
            <w:tcW w:w="720" w:type="dxa"/>
          </w:tcPr>
          <w:p w14:paraId="1F540235" w14:textId="77777777" w:rsidR="00BD2FEB" w:rsidRPr="00DF24F6" w:rsidRDefault="00BD2FEB" w:rsidP="00C76316">
            <w:pPr>
              <w:pStyle w:val="VCAAtablecondensedheading"/>
              <w:rPr>
                <w:lang w:val="en-AU"/>
              </w:rPr>
            </w:pPr>
            <w:r w:rsidRPr="00DF24F6">
              <w:rPr>
                <w:lang w:val="en-AU"/>
              </w:rPr>
              <w:t>Marks</w:t>
            </w:r>
          </w:p>
        </w:tc>
        <w:tc>
          <w:tcPr>
            <w:tcW w:w="576" w:type="dxa"/>
          </w:tcPr>
          <w:p w14:paraId="74E55DD4" w14:textId="77777777" w:rsidR="00BD2FEB" w:rsidRPr="00DF24F6" w:rsidRDefault="00BD2FEB" w:rsidP="00C76316">
            <w:pPr>
              <w:pStyle w:val="VCAAtablecondensedheading"/>
              <w:rPr>
                <w:lang w:val="en-AU"/>
              </w:rPr>
            </w:pPr>
            <w:r w:rsidRPr="00DF24F6">
              <w:rPr>
                <w:lang w:val="en-AU"/>
              </w:rPr>
              <w:t>0</w:t>
            </w:r>
          </w:p>
        </w:tc>
        <w:tc>
          <w:tcPr>
            <w:tcW w:w="576" w:type="dxa"/>
          </w:tcPr>
          <w:p w14:paraId="1E4D7F29" w14:textId="77777777" w:rsidR="00BD2FEB" w:rsidRPr="00DF24F6" w:rsidRDefault="00BD2FEB" w:rsidP="00C76316">
            <w:pPr>
              <w:pStyle w:val="VCAAtablecondensedheading"/>
              <w:rPr>
                <w:lang w:val="en-AU"/>
              </w:rPr>
            </w:pPr>
            <w:r w:rsidRPr="00DF24F6">
              <w:rPr>
                <w:lang w:val="en-AU"/>
              </w:rPr>
              <w:t>1</w:t>
            </w:r>
          </w:p>
        </w:tc>
        <w:tc>
          <w:tcPr>
            <w:tcW w:w="576" w:type="dxa"/>
          </w:tcPr>
          <w:p w14:paraId="1E14062A" w14:textId="77777777" w:rsidR="00BD2FEB" w:rsidRPr="00DF24F6" w:rsidRDefault="00BD2FEB" w:rsidP="00C76316">
            <w:pPr>
              <w:pStyle w:val="VCAAtablecondensedheading"/>
              <w:rPr>
                <w:lang w:val="en-AU"/>
              </w:rPr>
            </w:pPr>
            <w:r w:rsidRPr="00DF24F6">
              <w:rPr>
                <w:lang w:val="en-AU"/>
              </w:rPr>
              <w:t>2</w:t>
            </w:r>
          </w:p>
        </w:tc>
        <w:tc>
          <w:tcPr>
            <w:tcW w:w="576" w:type="dxa"/>
          </w:tcPr>
          <w:p w14:paraId="013D2A91" w14:textId="77777777" w:rsidR="00BD2FEB" w:rsidRPr="00DF24F6" w:rsidRDefault="00BD2FEB" w:rsidP="00C76316">
            <w:pPr>
              <w:pStyle w:val="VCAAtablecondensedheading"/>
              <w:rPr>
                <w:lang w:val="en-AU"/>
              </w:rPr>
            </w:pPr>
            <w:r w:rsidRPr="00DF24F6">
              <w:rPr>
                <w:lang w:val="en-AU"/>
              </w:rPr>
              <w:t>3</w:t>
            </w:r>
          </w:p>
        </w:tc>
        <w:tc>
          <w:tcPr>
            <w:tcW w:w="576" w:type="dxa"/>
          </w:tcPr>
          <w:p w14:paraId="22969DB9" w14:textId="77777777" w:rsidR="00BD2FEB" w:rsidRPr="00DF24F6" w:rsidRDefault="00BD2FEB" w:rsidP="00C76316">
            <w:pPr>
              <w:pStyle w:val="VCAAtablecondensedheading"/>
              <w:rPr>
                <w:lang w:val="en-AU"/>
              </w:rPr>
            </w:pPr>
            <w:r w:rsidRPr="00DF24F6">
              <w:rPr>
                <w:lang w:val="en-AU"/>
              </w:rPr>
              <w:t>4</w:t>
            </w:r>
          </w:p>
        </w:tc>
        <w:tc>
          <w:tcPr>
            <w:tcW w:w="576" w:type="dxa"/>
          </w:tcPr>
          <w:p w14:paraId="072D79A9" w14:textId="77777777" w:rsidR="00BD2FEB" w:rsidRPr="00DF24F6" w:rsidRDefault="00BD2FEB" w:rsidP="00C76316">
            <w:pPr>
              <w:pStyle w:val="VCAAtablecondensedheading"/>
              <w:rPr>
                <w:lang w:val="en-AU"/>
              </w:rPr>
            </w:pPr>
            <w:r w:rsidRPr="00DF24F6">
              <w:rPr>
                <w:lang w:val="en-AU"/>
              </w:rPr>
              <w:t>5</w:t>
            </w:r>
          </w:p>
        </w:tc>
        <w:tc>
          <w:tcPr>
            <w:tcW w:w="1008" w:type="dxa"/>
          </w:tcPr>
          <w:p w14:paraId="76A0F0E4" w14:textId="77777777" w:rsidR="00BD2FEB" w:rsidRPr="00DF24F6" w:rsidRDefault="00BD2FEB" w:rsidP="00C76316">
            <w:pPr>
              <w:pStyle w:val="VCAAtablecondensedheading"/>
              <w:rPr>
                <w:lang w:val="en-AU"/>
              </w:rPr>
            </w:pPr>
            <w:r w:rsidRPr="00DF24F6">
              <w:rPr>
                <w:lang w:val="en-AU"/>
              </w:rPr>
              <w:t>Average</w:t>
            </w:r>
          </w:p>
        </w:tc>
      </w:tr>
      <w:tr w:rsidR="00BD2FEB" w:rsidRPr="00492D1A" w14:paraId="69DE78D8" w14:textId="77777777" w:rsidTr="00C76316">
        <w:tc>
          <w:tcPr>
            <w:tcW w:w="720" w:type="dxa"/>
          </w:tcPr>
          <w:p w14:paraId="7F435904" w14:textId="77777777" w:rsidR="00BD2FEB" w:rsidRPr="00492D1A" w:rsidRDefault="00BD2FEB" w:rsidP="00C76316">
            <w:pPr>
              <w:pStyle w:val="VCAAtablecondensed"/>
              <w:rPr>
                <w:color w:val="auto"/>
              </w:rPr>
            </w:pPr>
            <w:r w:rsidRPr="00492D1A">
              <w:rPr>
                <w:color w:val="auto"/>
              </w:rPr>
              <w:t>%</w:t>
            </w:r>
          </w:p>
        </w:tc>
        <w:tc>
          <w:tcPr>
            <w:tcW w:w="576" w:type="dxa"/>
            <w:vAlign w:val="bottom"/>
          </w:tcPr>
          <w:p w14:paraId="55BAE92F" w14:textId="77777777" w:rsidR="00BD2FEB" w:rsidRPr="00492D1A" w:rsidRDefault="00BD2FEB" w:rsidP="00C76316">
            <w:pPr>
              <w:pStyle w:val="VCAAtablecondensed"/>
              <w:rPr>
                <w:color w:val="auto"/>
              </w:rPr>
            </w:pPr>
            <w:r w:rsidRPr="00492D1A">
              <w:rPr>
                <w:color w:val="auto"/>
              </w:rPr>
              <w:t>7</w:t>
            </w:r>
          </w:p>
        </w:tc>
        <w:tc>
          <w:tcPr>
            <w:tcW w:w="576" w:type="dxa"/>
            <w:vAlign w:val="bottom"/>
          </w:tcPr>
          <w:p w14:paraId="7E909E4A" w14:textId="77777777" w:rsidR="00BD2FEB" w:rsidRPr="00492D1A" w:rsidRDefault="00BD2FEB" w:rsidP="00C76316">
            <w:pPr>
              <w:pStyle w:val="VCAAtablecondensed"/>
              <w:rPr>
                <w:color w:val="auto"/>
              </w:rPr>
            </w:pPr>
            <w:r w:rsidRPr="00492D1A">
              <w:rPr>
                <w:color w:val="auto"/>
              </w:rPr>
              <w:t>11</w:t>
            </w:r>
          </w:p>
        </w:tc>
        <w:tc>
          <w:tcPr>
            <w:tcW w:w="576" w:type="dxa"/>
            <w:vAlign w:val="bottom"/>
          </w:tcPr>
          <w:p w14:paraId="0D158482" w14:textId="77777777" w:rsidR="00BD2FEB" w:rsidRPr="00492D1A" w:rsidRDefault="00BD2FEB" w:rsidP="00C76316">
            <w:pPr>
              <w:pStyle w:val="VCAAtablecondensed"/>
              <w:rPr>
                <w:color w:val="auto"/>
              </w:rPr>
            </w:pPr>
            <w:r w:rsidRPr="00492D1A">
              <w:rPr>
                <w:color w:val="auto"/>
              </w:rPr>
              <w:t>19</w:t>
            </w:r>
          </w:p>
        </w:tc>
        <w:tc>
          <w:tcPr>
            <w:tcW w:w="576" w:type="dxa"/>
          </w:tcPr>
          <w:p w14:paraId="0D891A04" w14:textId="77777777" w:rsidR="00BD2FEB" w:rsidRPr="00492D1A" w:rsidRDefault="00BD2FEB" w:rsidP="00C76316">
            <w:pPr>
              <w:pStyle w:val="VCAAtablecondensed"/>
              <w:rPr>
                <w:color w:val="auto"/>
              </w:rPr>
            </w:pPr>
            <w:r w:rsidRPr="00492D1A">
              <w:rPr>
                <w:color w:val="auto"/>
              </w:rPr>
              <w:t>24</w:t>
            </w:r>
          </w:p>
        </w:tc>
        <w:tc>
          <w:tcPr>
            <w:tcW w:w="576" w:type="dxa"/>
          </w:tcPr>
          <w:p w14:paraId="5FB7B410" w14:textId="77777777" w:rsidR="00BD2FEB" w:rsidRPr="00492D1A" w:rsidRDefault="00BD2FEB" w:rsidP="00C76316">
            <w:pPr>
              <w:pStyle w:val="VCAAtablecondensed"/>
              <w:rPr>
                <w:color w:val="auto"/>
              </w:rPr>
            </w:pPr>
            <w:r w:rsidRPr="00492D1A">
              <w:rPr>
                <w:color w:val="auto"/>
              </w:rPr>
              <w:t>25</w:t>
            </w:r>
          </w:p>
        </w:tc>
        <w:tc>
          <w:tcPr>
            <w:tcW w:w="576" w:type="dxa"/>
            <w:vAlign w:val="bottom"/>
          </w:tcPr>
          <w:p w14:paraId="2583B4E3" w14:textId="77777777" w:rsidR="00BD2FEB" w:rsidRPr="00492D1A" w:rsidRDefault="00BD2FEB" w:rsidP="00C76316">
            <w:pPr>
              <w:pStyle w:val="VCAAtablecondensed"/>
              <w:rPr>
                <w:color w:val="auto"/>
              </w:rPr>
            </w:pPr>
            <w:r w:rsidRPr="00492D1A">
              <w:rPr>
                <w:color w:val="auto"/>
              </w:rPr>
              <w:t>14</w:t>
            </w:r>
          </w:p>
        </w:tc>
        <w:tc>
          <w:tcPr>
            <w:tcW w:w="1008" w:type="dxa"/>
          </w:tcPr>
          <w:p w14:paraId="48BF3198" w14:textId="77777777" w:rsidR="00BD2FEB" w:rsidRPr="00492D1A" w:rsidRDefault="00BD2FEB" w:rsidP="00C76316">
            <w:pPr>
              <w:pStyle w:val="VCAAtablecondensed"/>
              <w:rPr>
                <w:color w:val="auto"/>
              </w:rPr>
            </w:pPr>
            <w:r w:rsidRPr="00492D1A">
              <w:rPr>
                <w:color w:val="auto"/>
              </w:rPr>
              <w:t>2.9</w:t>
            </w:r>
          </w:p>
        </w:tc>
      </w:tr>
    </w:tbl>
    <w:p w14:paraId="7F7337CD" w14:textId="77777777" w:rsidR="00BD2FEB" w:rsidRPr="00492D1A" w:rsidRDefault="00BD2FEB" w:rsidP="00632752">
      <w:pPr>
        <w:pStyle w:val="BodyText"/>
      </w:pPr>
      <w:r w:rsidRPr="00492D1A">
        <w:t xml:space="preserve">Students were required to analyse how the government’s skilled migration policy influences AS and the goal of low and stable inflation. Students handled this question well, despite some confusion about the meaning of ‘capping’ or ‘limiting’ migrant numbers and its impact on AS. </w:t>
      </w:r>
    </w:p>
    <w:p w14:paraId="0230A78A" w14:textId="77777777" w:rsidR="00BD2FEB" w:rsidRPr="00492D1A" w:rsidRDefault="00BD2FEB" w:rsidP="00632752">
      <w:pPr>
        <w:pStyle w:val="BodyText"/>
      </w:pPr>
      <w:r w:rsidRPr="00492D1A">
        <w:t xml:space="preserve">High-scoring responses: </w:t>
      </w:r>
    </w:p>
    <w:p w14:paraId="1F981A8C" w14:textId="77777777" w:rsidR="00BD2FEB" w:rsidRPr="00492D1A" w:rsidRDefault="00BD2FEB" w:rsidP="00BD2FEB">
      <w:pPr>
        <w:pStyle w:val="Bullet"/>
        <w:ind w:left="426" w:hanging="426"/>
      </w:pPr>
      <w:r w:rsidRPr="00492D1A">
        <w:t xml:space="preserve">demonstrated an understanding of skilled migration policy </w:t>
      </w:r>
    </w:p>
    <w:p w14:paraId="293F364B" w14:textId="77777777" w:rsidR="00BD2FEB" w:rsidRPr="00492D1A" w:rsidRDefault="00BD2FEB" w:rsidP="00632752">
      <w:pPr>
        <w:pStyle w:val="Indent"/>
      </w:pPr>
      <w:r w:rsidRPr="00492D1A">
        <w:t>Such responses accurately described the government’s approach to skilled migration, including the role of skilled visas in addressing labour shortages.</w:t>
      </w:r>
    </w:p>
    <w:p w14:paraId="7912A605" w14:textId="77777777" w:rsidR="00BD2FEB" w:rsidRPr="00492D1A" w:rsidRDefault="00BD2FEB" w:rsidP="00BD2FEB">
      <w:pPr>
        <w:pStyle w:val="Bullet"/>
        <w:ind w:left="426" w:hanging="426"/>
      </w:pPr>
      <w:r w:rsidRPr="00492D1A">
        <w:t>demonstrated an understanding of the increase in immigration numbers, despite the cap</w:t>
      </w:r>
    </w:p>
    <w:p w14:paraId="5B7818A8" w14:textId="77777777" w:rsidR="00BD2FEB" w:rsidRDefault="00BD2FEB" w:rsidP="00632752">
      <w:pPr>
        <w:pStyle w:val="Indent"/>
      </w:pPr>
      <w:r w:rsidRPr="00492D1A">
        <w:t>These responses noted that although the cap on permanent migration had been reduced, a sizeable number of skilled migrants were still entering Australia.</w:t>
      </w:r>
    </w:p>
    <w:p w14:paraId="5A7E7F66" w14:textId="77777777" w:rsidR="00632752" w:rsidRPr="00492D1A" w:rsidRDefault="00632752" w:rsidP="00632752">
      <w:pPr>
        <w:pStyle w:val="Indent"/>
      </w:pPr>
    </w:p>
    <w:p w14:paraId="6F0E08CD" w14:textId="77777777" w:rsidR="00BD2FEB" w:rsidRPr="00492D1A" w:rsidRDefault="00BD2FEB" w:rsidP="00BD2FEB">
      <w:pPr>
        <w:pStyle w:val="Bullet"/>
        <w:ind w:left="426" w:hanging="426"/>
      </w:pPr>
      <w:r w:rsidRPr="00492D1A">
        <w:lastRenderedPageBreak/>
        <w:t xml:space="preserve">demonstrated an understanding of how skilled immigration policies work to improve supply-side conditions </w:t>
      </w:r>
    </w:p>
    <w:p w14:paraId="087493A4" w14:textId="77777777" w:rsidR="00BD2FEB" w:rsidRPr="00492D1A" w:rsidRDefault="00BD2FEB" w:rsidP="00632752">
      <w:pPr>
        <w:pStyle w:val="Indent"/>
      </w:pPr>
      <w:r w:rsidRPr="00492D1A">
        <w:t>The strongest responses explained how skilled migration could increase the size and quality of the labour force, reduce labour shortages, increase competition and productivity in the labour force, introduce new production methods or innovations, and generally support a higher productive capacity in the Australian economy.</w:t>
      </w:r>
    </w:p>
    <w:p w14:paraId="7B50B518" w14:textId="77777777" w:rsidR="00BD2FEB" w:rsidRPr="00492D1A" w:rsidRDefault="00BD2FEB" w:rsidP="00BD2FEB">
      <w:pPr>
        <w:pStyle w:val="Bullet"/>
        <w:ind w:left="426" w:hanging="426"/>
      </w:pPr>
      <w:r w:rsidRPr="00492D1A">
        <w:t xml:space="preserve">explained the impact on the goal depending on the route taken (such as, positive </w:t>
      </w:r>
      <w:r w:rsidRPr="00492D1A">
        <w:rPr>
          <w:rStyle w:val="EmphasisBold"/>
          <w:color w:val="auto"/>
        </w:rPr>
        <w:t>or</w:t>
      </w:r>
      <w:r w:rsidRPr="00492D1A">
        <w:t xml:space="preserve"> negative) </w:t>
      </w:r>
    </w:p>
    <w:p w14:paraId="62405499" w14:textId="77777777" w:rsidR="00BD2FEB" w:rsidRPr="00492D1A" w:rsidRDefault="00BD2FEB" w:rsidP="00632752">
      <w:pPr>
        <w:pStyle w:val="Indent"/>
      </w:pPr>
      <w:r w:rsidRPr="00492D1A">
        <w:t xml:space="preserve">Some responses argued that greater skilled migration could ease cost pressures and reduce inflation through improved AS-side conditions. Others highlighted that in the short term it may place upward pressure on demand, potentially increasing inflation. The strongest responses did both. </w:t>
      </w:r>
    </w:p>
    <w:p w14:paraId="58FA6D96" w14:textId="77777777" w:rsidR="00BD2FEB" w:rsidRPr="00492D1A" w:rsidRDefault="00BD2FEB" w:rsidP="00632752">
      <w:pPr>
        <w:pStyle w:val="BodyText"/>
      </w:pPr>
      <w:r w:rsidRPr="00492D1A">
        <w:t>Common misconceptions included:</w:t>
      </w:r>
    </w:p>
    <w:p w14:paraId="1A4B04F0" w14:textId="77777777" w:rsidR="00BD2FEB" w:rsidRPr="00492D1A" w:rsidRDefault="00BD2FEB" w:rsidP="00BD2FEB">
      <w:pPr>
        <w:pStyle w:val="Bullet"/>
        <w:ind w:left="426" w:hanging="426"/>
      </w:pPr>
      <w:r w:rsidRPr="00492D1A">
        <w:t xml:space="preserve">stating AS decreases </w:t>
      </w:r>
    </w:p>
    <w:p w14:paraId="4B091ED0" w14:textId="77777777" w:rsidR="00BD2FEB" w:rsidRPr="00492D1A" w:rsidRDefault="00BD2FEB" w:rsidP="00632752">
      <w:pPr>
        <w:pStyle w:val="Indent"/>
      </w:pPr>
      <w:r w:rsidRPr="00492D1A">
        <w:t xml:space="preserve">Students are reminded that even though the level of skilled migration in Australia is decreasing, there are still a significant number of migrants moving to Australia to fill the skills shortage. This would increase productive capacity in Australia compared to a scenario involving no skilled migration. </w:t>
      </w:r>
    </w:p>
    <w:p w14:paraId="37EFF12C" w14:textId="77777777" w:rsidR="00BD2FEB" w:rsidRPr="00492D1A" w:rsidRDefault="00BD2FEB" w:rsidP="00BD2FEB">
      <w:pPr>
        <w:pStyle w:val="Bullet"/>
        <w:ind w:left="426" w:hanging="426"/>
      </w:pPr>
      <w:r w:rsidRPr="00492D1A">
        <w:t>focusing exclusively on the impact of house prices instead of the CPI more broadly</w:t>
      </w:r>
    </w:p>
    <w:p w14:paraId="0B03F623" w14:textId="77777777" w:rsidR="00BD2FEB" w:rsidRPr="00492D1A" w:rsidRDefault="00BD2FEB" w:rsidP="00632752">
      <w:pPr>
        <w:pStyle w:val="Indent"/>
      </w:pPr>
      <w:r w:rsidRPr="00492D1A">
        <w:t xml:space="preserve">Some students wrote about higher house prices in terms of a higher number of migrants settling in Australia increasing the demand for housing and/or a higher number of migrants working in the construction industry adding to the supply of housing over time. Although this demonstrated some understanding of the potential impacts of migration, it was not what the question required. Furthermore, housing prices are not included in the CPI. </w:t>
      </w:r>
    </w:p>
    <w:p w14:paraId="32064554" w14:textId="77777777" w:rsidR="00BD2FEB" w:rsidRPr="00492D1A" w:rsidRDefault="00BD2FEB" w:rsidP="00632752">
      <w:pPr>
        <w:pStyle w:val="BodyText"/>
      </w:pPr>
      <w:r w:rsidRPr="00492D1A">
        <w:t>The following is an example of a high-scoring response:</w:t>
      </w:r>
    </w:p>
    <w:p w14:paraId="359E6C3A" w14:textId="77777777" w:rsidR="00BD2FEB" w:rsidRPr="00492D1A" w:rsidRDefault="00BD2FEB" w:rsidP="00632752">
      <w:pPr>
        <w:pStyle w:val="Studentsample"/>
      </w:pPr>
      <w:r w:rsidRPr="00492D1A">
        <w:t xml:space="preserve">Although they are limiting immigration, our skilled immigration policy will still improve the quantity and quality of the factors of production, as it brings in (this year) 185,000 permanent migrants, 70% of which are skilled. These skilled migrants bring experiences and qualifications that are currently in shortage, thus they ‘fill a gap’ in our labour market e.g. nurses, engineers. This increases both supply of labour for firms (making them more able to produce) and increases labour productivity (output per worker per hour), as on average they are more proficient. As a result, labour productivity is more likely to outpace wages growth, reducing growth in Real Unit Labour Costs (RULCs), thus lowering per unit costs and overall costs of production for firms, making production more profitable and thus firms more willing and able to produce, increasing AS and productive capacity. This puts downwards pressure on prices and firms can pass on lower production costs as lower prices, reducing cost-inflation, and therefore overall inflation. This should assist in ensuring inflation does not rise above the target, especially after the energy rebate is removed, assisting the achievement of the goal by helping sustain an inflation rate of 2.3% per year on average over time. The government capping the amount of skilled immigration only reduces the positive impacts on AS, not completely removing them. However, since this cap was made in response to concerns over housing affordability, then this may assist the achievement of the goal by reducing population </w:t>
      </w:r>
      <w:proofErr w:type="gramStart"/>
      <w:r w:rsidRPr="00492D1A">
        <w:t>size, and</w:t>
      </w:r>
      <w:proofErr w:type="gramEnd"/>
      <w:r w:rsidRPr="00492D1A">
        <w:t xml:space="preserve"> thus limiting demand (and thus shortages) for housing, reducing demand inflation and helping maintain the inflation rate within the target of 2–3%. </w:t>
      </w:r>
    </w:p>
    <w:p w14:paraId="52B3946F" w14:textId="77777777" w:rsidR="00632752" w:rsidRDefault="00632752">
      <w:pPr>
        <w:spacing w:line="276" w:lineRule="auto"/>
        <w:rPr>
          <w:rFonts w:ascii="Arial" w:hAnsi="Arial" w:cs="Arial"/>
          <w:color w:val="0F7EB4"/>
          <w:sz w:val="40"/>
          <w:szCs w:val="28"/>
          <w:lang w:val="en-AU"/>
        </w:rPr>
      </w:pPr>
      <w:r>
        <w:br w:type="page"/>
      </w:r>
    </w:p>
    <w:p w14:paraId="62A07F1C" w14:textId="41EA405A" w:rsidR="00BD2FEB" w:rsidRDefault="00BD2FEB" w:rsidP="00BD2FEB">
      <w:pPr>
        <w:pStyle w:val="Heading2"/>
      </w:pPr>
      <w:r w:rsidRPr="00BF30E1">
        <w:lastRenderedPageBreak/>
        <w:t>Question 7b.</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1008"/>
      </w:tblGrid>
      <w:tr w:rsidR="00BD2FEB" w:rsidRPr="00DF24F6" w14:paraId="2D12A39C" w14:textId="77777777" w:rsidTr="00C76316">
        <w:trPr>
          <w:cnfStyle w:val="100000000000" w:firstRow="1" w:lastRow="0" w:firstColumn="0" w:lastColumn="0" w:oddVBand="0" w:evenVBand="0" w:oddHBand="0" w:evenHBand="0" w:firstRowFirstColumn="0" w:firstRowLastColumn="0" w:lastRowFirstColumn="0" w:lastRowLastColumn="0"/>
        </w:trPr>
        <w:tc>
          <w:tcPr>
            <w:tcW w:w="720" w:type="dxa"/>
          </w:tcPr>
          <w:p w14:paraId="42394EA1" w14:textId="77777777" w:rsidR="00BD2FEB" w:rsidRPr="00DF24F6" w:rsidRDefault="00BD2FEB" w:rsidP="00C76316">
            <w:pPr>
              <w:pStyle w:val="VCAAtablecondensedheading"/>
              <w:rPr>
                <w:lang w:val="en-AU"/>
              </w:rPr>
            </w:pPr>
            <w:r w:rsidRPr="00DF24F6">
              <w:rPr>
                <w:lang w:val="en-AU"/>
              </w:rPr>
              <w:t>Marks</w:t>
            </w:r>
          </w:p>
        </w:tc>
        <w:tc>
          <w:tcPr>
            <w:tcW w:w="576" w:type="dxa"/>
          </w:tcPr>
          <w:p w14:paraId="2B8A6130" w14:textId="77777777" w:rsidR="00BD2FEB" w:rsidRPr="00DF24F6" w:rsidRDefault="00BD2FEB" w:rsidP="00C76316">
            <w:pPr>
              <w:pStyle w:val="VCAAtablecondensedheading"/>
              <w:rPr>
                <w:lang w:val="en-AU"/>
              </w:rPr>
            </w:pPr>
            <w:r w:rsidRPr="00DF24F6">
              <w:rPr>
                <w:lang w:val="en-AU"/>
              </w:rPr>
              <w:t>0</w:t>
            </w:r>
          </w:p>
        </w:tc>
        <w:tc>
          <w:tcPr>
            <w:tcW w:w="576" w:type="dxa"/>
          </w:tcPr>
          <w:p w14:paraId="76BF3B16" w14:textId="77777777" w:rsidR="00BD2FEB" w:rsidRPr="00DF24F6" w:rsidRDefault="00BD2FEB" w:rsidP="00C76316">
            <w:pPr>
              <w:pStyle w:val="VCAAtablecondensedheading"/>
              <w:rPr>
                <w:lang w:val="en-AU"/>
              </w:rPr>
            </w:pPr>
            <w:r w:rsidRPr="00DF24F6">
              <w:rPr>
                <w:lang w:val="en-AU"/>
              </w:rPr>
              <w:t>1</w:t>
            </w:r>
          </w:p>
        </w:tc>
        <w:tc>
          <w:tcPr>
            <w:tcW w:w="576" w:type="dxa"/>
          </w:tcPr>
          <w:p w14:paraId="214AB43A" w14:textId="77777777" w:rsidR="00BD2FEB" w:rsidRPr="00DF24F6" w:rsidRDefault="00BD2FEB" w:rsidP="00C76316">
            <w:pPr>
              <w:pStyle w:val="VCAAtablecondensedheading"/>
              <w:rPr>
                <w:lang w:val="en-AU"/>
              </w:rPr>
            </w:pPr>
            <w:r w:rsidRPr="00DF24F6">
              <w:rPr>
                <w:lang w:val="en-AU"/>
              </w:rPr>
              <w:t>2</w:t>
            </w:r>
          </w:p>
        </w:tc>
        <w:tc>
          <w:tcPr>
            <w:tcW w:w="576" w:type="dxa"/>
          </w:tcPr>
          <w:p w14:paraId="49F0EB03" w14:textId="77777777" w:rsidR="00BD2FEB" w:rsidRPr="00DF24F6" w:rsidRDefault="00BD2FEB" w:rsidP="00C76316">
            <w:pPr>
              <w:pStyle w:val="VCAAtablecondensedheading"/>
              <w:rPr>
                <w:lang w:val="en-AU"/>
              </w:rPr>
            </w:pPr>
            <w:r w:rsidRPr="00DF24F6">
              <w:rPr>
                <w:lang w:val="en-AU"/>
              </w:rPr>
              <w:t>3</w:t>
            </w:r>
          </w:p>
        </w:tc>
        <w:tc>
          <w:tcPr>
            <w:tcW w:w="576" w:type="dxa"/>
          </w:tcPr>
          <w:p w14:paraId="3A74B90B" w14:textId="77777777" w:rsidR="00BD2FEB" w:rsidRPr="00DF24F6" w:rsidRDefault="00BD2FEB" w:rsidP="00C76316">
            <w:pPr>
              <w:pStyle w:val="VCAAtablecondensedheading"/>
              <w:rPr>
                <w:lang w:val="en-AU"/>
              </w:rPr>
            </w:pPr>
            <w:r w:rsidRPr="00DF24F6">
              <w:rPr>
                <w:lang w:val="en-AU"/>
              </w:rPr>
              <w:t>4</w:t>
            </w:r>
          </w:p>
        </w:tc>
        <w:tc>
          <w:tcPr>
            <w:tcW w:w="1008" w:type="dxa"/>
          </w:tcPr>
          <w:p w14:paraId="2AEBA481" w14:textId="77777777" w:rsidR="00BD2FEB" w:rsidRPr="00DF24F6" w:rsidRDefault="00BD2FEB" w:rsidP="00C76316">
            <w:pPr>
              <w:pStyle w:val="VCAAtablecondensedheading"/>
              <w:rPr>
                <w:lang w:val="en-AU"/>
              </w:rPr>
            </w:pPr>
            <w:r w:rsidRPr="00DF24F6">
              <w:rPr>
                <w:lang w:val="en-AU"/>
              </w:rPr>
              <w:t>Average</w:t>
            </w:r>
          </w:p>
        </w:tc>
      </w:tr>
      <w:tr w:rsidR="00BD2FEB" w:rsidRPr="00492D1A" w14:paraId="191A9188" w14:textId="77777777" w:rsidTr="00C76316">
        <w:tc>
          <w:tcPr>
            <w:tcW w:w="720" w:type="dxa"/>
          </w:tcPr>
          <w:p w14:paraId="3F1B5ABC" w14:textId="77777777" w:rsidR="00BD2FEB" w:rsidRPr="00492D1A" w:rsidRDefault="00BD2FEB" w:rsidP="00C76316">
            <w:pPr>
              <w:pStyle w:val="VCAAtablecondensed"/>
              <w:rPr>
                <w:color w:val="auto"/>
              </w:rPr>
            </w:pPr>
            <w:r w:rsidRPr="00492D1A">
              <w:rPr>
                <w:color w:val="auto"/>
              </w:rPr>
              <w:t>%</w:t>
            </w:r>
          </w:p>
        </w:tc>
        <w:tc>
          <w:tcPr>
            <w:tcW w:w="576" w:type="dxa"/>
            <w:vAlign w:val="bottom"/>
          </w:tcPr>
          <w:p w14:paraId="1774A794" w14:textId="77777777" w:rsidR="00BD2FEB" w:rsidRPr="00492D1A" w:rsidRDefault="00BD2FEB" w:rsidP="00C76316">
            <w:pPr>
              <w:pStyle w:val="VCAAtablecondensed"/>
              <w:rPr>
                <w:color w:val="auto"/>
              </w:rPr>
            </w:pPr>
            <w:r w:rsidRPr="00492D1A">
              <w:rPr>
                <w:color w:val="auto"/>
              </w:rPr>
              <w:t>9</w:t>
            </w:r>
          </w:p>
        </w:tc>
        <w:tc>
          <w:tcPr>
            <w:tcW w:w="576" w:type="dxa"/>
            <w:vAlign w:val="bottom"/>
          </w:tcPr>
          <w:p w14:paraId="714DA4F7" w14:textId="77777777" w:rsidR="00BD2FEB" w:rsidRPr="00492D1A" w:rsidRDefault="00BD2FEB" w:rsidP="00C76316">
            <w:pPr>
              <w:pStyle w:val="VCAAtablecondensed"/>
              <w:rPr>
                <w:color w:val="auto"/>
              </w:rPr>
            </w:pPr>
            <w:r w:rsidRPr="00492D1A">
              <w:rPr>
                <w:color w:val="auto"/>
              </w:rPr>
              <w:t>11</w:t>
            </w:r>
          </w:p>
        </w:tc>
        <w:tc>
          <w:tcPr>
            <w:tcW w:w="576" w:type="dxa"/>
            <w:vAlign w:val="bottom"/>
          </w:tcPr>
          <w:p w14:paraId="4ABE8D84" w14:textId="77777777" w:rsidR="00BD2FEB" w:rsidRPr="00492D1A" w:rsidRDefault="00BD2FEB" w:rsidP="00C76316">
            <w:pPr>
              <w:pStyle w:val="VCAAtablecondensed"/>
              <w:rPr>
                <w:color w:val="auto"/>
              </w:rPr>
            </w:pPr>
            <w:r w:rsidRPr="00492D1A">
              <w:rPr>
                <w:color w:val="auto"/>
              </w:rPr>
              <w:t>25</w:t>
            </w:r>
          </w:p>
        </w:tc>
        <w:tc>
          <w:tcPr>
            <w:tcW w:w="576" w:type="dxa"/>
          </w:tcPr>
          <w:p w14:paraId="0B47EF7A" w14:textId="77777777" w:rsidR="00BD2FEB" w:rsidRPr="00492D1A" w:rsidRDefault="00BD2FEB" w:rsidP="00C76316">
            <w:pPr>
              <w:pStyle w:val="VCAAtablecondensed"/>
              <w:rPr>
                <w:color w:val="auto"/>
              </w:rPr>
            </w:pPr>
            <w:r w:rsidRPr="00492D1A">
              <w:rPr>
                <w:color w:val="auto"/>
              </w:rPr>
              <w:t>33</w:t>
            </w:r>
          </w:p>
        </w:tc>
        <w:tc>
          <w:tcPr>
            <w:tcW w:w="576" w:type="dxa"/>
            <w:vAlign w:val="bottom"/>
          </w:tcPr>
          <w:p w14:paraId="61BACBB9" w14:textId="77777777" w:rsidR="00BD2FEB" w:rsidRPr="00492D1A" w:rsidRDefault="00BD2FEB" w:rsidP="00C76316">
            <w:pPr>
              <w:pStyle w:val="VCAAtablecondensed"/>
              <w:rPr>
                <w:color w:val="auto"/>
              </w:rPr>
            </w:pPr>
            <w:r w:rsidRPr="00492D1A">
              <w:rPr>
                <w:color w:val="auto"/>
              </w:rPr>
              <w:t>22</w:t>
            </w:r>
          </w:p>
        </w:tc>
        <w:tc>
          <w:tcPr>
            <w:tcW w:w="1008" w:type="dxa"/>
          </w:tcPr>
          <w:p w14:paraId="56265F15" w14:textId="77777777" w:rsidR="00BD2FEB" w:rsidRPr="00492D1A" w:rsidRDefault="00BD2FEB" w:rsidP="00C76316">
            <w:pPr>
              <w:pStyle w:val="VCAAtablecondensed"/>
              <w:rPr>
                <w:color w:val="auto"/>
              </w:rPr>
            </w:pPr>
            <w:r w:rsidRPr="00492D1A">
              <w:rPr>
                <w:color w:val="auto"/>
              </w:rPr>
              <w:t>2.5</w:t>
            </w:r>
          </w:p>
        </w:tc>
      </w:tr>
    </w:tbl>
    <w:p w14:paraId="3AC27C5F" w14:textId="77777777" w:rsidR="00BD2FEB" w:rsidRPr="00492D1A" w:rsidRDefault="00BD2FEB" w:rsidP="00632752">
      <w:pPr>
        <w:pStyle w:val="BodyText"/>
      </w:pPr>
      <w:r w:rsidRPr="00492D1A">
        <w:t xml:space="preserve">Students were required to select one market-based environmental policy and </w:t>
      </w:r>
      <w:r>
        <w:t>examine the issue from multiple perspectives</w:t>
      </w:r>
      <w:r w:rsidRPr="00492D1A">
        <w:t>.</w:t>
      </w:r>
    </w:p>
    <w:p w14:paraId="522A0A13" w14:textId="77777777" w:rsidR="00BD2FEB" w:rsidRPr="00492D1A" w:rsidRDefault="00BD2FEB" w:rsidP="00632752">
      <w:pPr>
        <w:pStyle w:val="BodyText"/>
      </w:pPr>
      <w:r w:rsidRPr="00492D1A">
        <w:t xml:space="preserve">High-scoring responses: </w:t>
      </w:r>
    </w:p>
    <w:p w14:paraId="31D15245" w14:textId="77777777" w:rsidR="00BD2FEB" w:rsidRPr="00492D1A" w:rsidRDefault="00BD2FEB" w:rsidP="00BD2FEB">
      <w:pPr>
        <w:pStyle w:val="Bullet"/>
        <w:ind w:left="426" w:hanging="426"/>
      </w:pPr>
      <w:r w:rsidRPr="00492D1A">
        <w:t>demonstrated an understanding of one market-based policy</w:t>
      </w:r>
    </w:p>
    <w:p w14:paraId="464DF2F7" w14:textId="77777777" w:rsidR="00BD2FEB" w:rsidRPr="00492D1A" w:rsidRDefault="00BD2FEB" w:rsidP="00632752">
      <w:pPr>
        <w:pStyle w:val="Indent"/>
      </w:pPr>
      <w:r w:rsidRPr="00492D1A">
        <w:t xml:space="preserve">Students typically referred to market-based policies, such as emissions trading schemes </w:t>
      </w:r>
      <w:r w:rsidRPr="00492D1A">
        <w:rPr>
          <w:rStyle w:val="EmphasisBold"/>
        </w:rPr>
        <w:t>or</w:t>
      </w:r>
      <w:r w:rsidRPr="00492D1A">
        <w:t xml:space="preserve"> carbon taxes. Market-based approaches included government interventions designed to influence the behaviour of economic agents through ‘market forces’, which ultimately involved the manipulation of relative prices to change the behaviour of firms and/or consumers.</w:t>
      </w:r>
    </w:p>
    <w:p w14:paraId="376EB5AA" w14:textId="77777777" w:rsidR="00BD2FEB" w:rsidRPr="00492D1A" w:rsidRDefault="00BD2FEB" w:rsidP="00BD2FEB">
      <w:pPr>
        <w:pStyle w:val="Bullet"/>
        <w:ind w:left="426" w:hanging="426"/>
      </w:pPr>
      <w:r w:rsidRPr="00492D1A">
        <w:t>demonstrated an understanding of intertemporal efficiency</w:t>
      </w:r>
    </w:p>
    <w:p w14:paraId="2D3BFC9F" w14:textId="77777777" w:rsidR="00BD2FEB" w:rsidRPr="00492D1A" w:rsidRDefault="00BD2FEB" w:rsidP="00632752">
      <w:pPr>
        <w:pStyle w:val="Indent"/>
      </w:pPr>
      <w:r w:rsidRPr="00492D1A">
        <w:t>Such responses explained that intertemporal efficiency involved achieving a balance between current consumption or production and the preservation of resources for future consumption and production.</w:t>
      </w:r>
    </w:p>
    <w:p w14:paraId="71572CA3" w14:textId="77777777" w:rsidR="00BD2FEB" w:rsidRPr="00492D1A" w:rsidRDefault="00BD2FEB" w:rsidP="00BD2FEB">
      <w:pPr>
        <w:pStyle w:val="Bullet"/>
        <w:ind w:left="426" w:hanging="426"/>
      </w:pPr>
      <w:r w:rsidRPr="00492D1A">
        <w:t>explained the short-term positive or negative impacts of an environmental policy on intertemporal efficiency</w:t>
      </w:r>
    </w:p>
    <w:p w14:paraId="385850FE" w14:textId="77777777" w:rsidR="00BD2FEB" w:rsidRPr="00492D1A" w:rsidRDefault="00BD2FEB" w:rsidP="00632752">
      <w:pPr>
        <w:pStyle w:val="Indent"/>
      </w:pPr>
      <w:r w:rsidRPr="00492D1A">
        <w:t xml:space="preserve">The strongest responses noted that market-based policies may increase firms’ costs, reduce short-term output or raise prices for consumers, thereby lowering intertemporal efficiency in the short run; or that policies would begin to improve intertemporal efficiency in the short run as firms start to move away from carbon-emitting activities </w:t>
      </w:r>
    </w:p>
    <w:p w14:paraId="2F27E9C8" w14:textId="77777777" w:rsidR="00BD2FEB" w:rsidRPr="00492D1A" w:rsidRDefault="00BD2FEB" w:rsidP="00BD2FEB">
      <w:pPr>
        <w:pStyle w:val="Bullet"/>
        <w:ind w:left="426" w:hanging="426"/>
      </w:pPr>
      <w:r w:rsidRPr="00492D1A">
        <w:t>explained the long-term or positive impacts of an environmental policy on intertemporal efficiency</w:t>
      </w:r>
    </w:p>
    <w:p w14:paraId="29405867" w14:textId="77777777" w:rsidR="00BD2FEB" w:rsidRPr="00492D1A" w:rsidRDefault="00BD2FEB" w:rsidP="00632752">
      <w:pPr>
        <w:pStyle w:val="Indent"/>
      </w:pPr>
      <w:r w:rsidRPr="00492D1A">
        <w:t>These responses clearly explained how market-based environmental policies created incentives to reduce pollution, encourage innovation, preserve the quantity and quality of land resources (environmental assets), and hence the economy’s productive capacity, thereby improving intertemporal efficiency over time.</w:t>
      </w:r>
    </w:p>
    <w:p w14:paraId="248C2A7B" w14:textId="77777777" w:rsidR="00BD2FEB" w:rsidRPr="00492D1A" w:rsidRDefault="00BD2FEB" w:rsidP="00632752">
      <w:pPr>
        <w:pStyle w:val="BodyText"/>
      </w:pPr>
      <w:r w:rsidRPr="00492D1A">
        <w:t>Common misconceptions included:</w:t>
      </w:r>
    </w:p>
    <w:p w14:paraId="304679F7" w14:textId="77777777" w:rsidR="00BD2FEB" w:rsidRPr="00492D1A" w:rsidRDefault="00BD2FEB" w:rsidP="00BD2FEB">
      <w:pPr>
        <w:pStyle w:val="Bullet"/>
        <w:ind w:left="426" w:hanging="426"/>
      </w:pPr>
      <w:r w:rsidRPr="00492D1A">
        <w:t xml:space="preserve">not ‘discussing’ the impacts of the policy </w:t>
      </w:r>
    </w:p>
    <w:p w14:paraId="1AC1C4EF" w14:textId="77777777" w:rsidR="00BD2FEB" w:rsidRPr="00492D1A" w:rsidRDefault="00BD2FEB" w:rsidP="00632752">
      <w:pPr>
        <w:pStyle w:val="Indent"/>
      </w:pPr>
      <w:r w:rsidRPr="00492D1A">
        <w:t xml:space="preserve">Many students did not explain two impacts of the policy on intertemporal efficiency. The requirement to ‘discuss’ meant that students needed to consider more than one impact, for example, to show strengths and weaknesses, points for and against or one or more arguments. Responses that only explained one effect on intertemporal efficiency did not meet the requirements of this task word. </w:t>
      </w:r>
    </w:p>
    <w:p w14:paraId="16ACD440" w14:textId="77777777" w:rsidR="00BD2FEB" w:rsidRPr="00492D1A" w:rsidRDefault="00BD2FEB" w:rsidP="00BD2FEB">
      <w:pPr>
        <w:pStyle w:val="Bullet"/>
        <w:ind w:left="426" w:hanging="426"/>
      </w:pPr>
      <w:r w:rsidRPr="00492D1A">
        <w:t>focusing on non-renewables</w:t>
      </w:r>
    </w:p>
    <w:p w14:paraId="7F576367" w14:textId="77777777" w:rsidR="00BD2FEB" w:rsidRPr="00492D1A" w:rsidRDefault="00BD2FEB" w:rsidP="00632752">
      <w:pPr>
        <w:pStyle w:val="Indent"/>
      </w:pPr>
      <w:r w:rsidRPr="00492D1A">
        <w:t>Too many students wrote about non-renewable resources that emit CO</w:t>
      </w:r>
      <w:r w:rsidRPr="00D14E53">
        <w:rPr>
          <w:vertAlign w:val="subscript"/>
        </w:rPr>
        <w:t>2</w:t>
      </w:r>
      <w:r w:rsidRPr="00492D1A">
        <w:t xml:space="preserve"> emissions such as coal, oil and gas being preserved for use by future generations. The aim of environmental policies is to reduce the harmful impact of CO</w:t>
      </w:r>
      <w:r w:rsidRPr="00D14E53">
        <w:rPr>
          <w:vertAlign w:val="subscript"/>
        </w:rPr>
        <w:t>2</w:t>
      </w:r>
      <w:r w:rsidRPr="00492D1A">
        <w:t xml:space="preserve"> emissions on the economy’s productive capacity and therefore its ability to meet the needs of future generations. That is, such policies are about transitioning from non-renewable, carbon-intensive forms of energy to clean, green, low-emissions forms of energy such as solar, wind and hydro.</w:t>
      </w:r>
    </w:p>
    <w:p w14:paraId="568D638C" w14:textId="77777777" w:rsidR="00BD2FEB" w:rsidRPr="00492D1A" w:rsidRDefault="00BD2FEB" w:rsidP="00632752">
      <w:pPr>
        <w:pStyle w:val="BodyText"/>
      </w:pPr>
      <w:r w:rsidRPr="00492D1A">
        <w:t>The following is an example of a high-scoring response:</w:t>
      </w:r>
    </w:p>
    <w:p w14:paraId="0930D8E4" w14:textId="77777777" w:rsidR="00BD2FEB" w:rsidRPr="00632752" w:rsidRDefault="00BD2FEB" w:rsidP="00632752">
      <w:pPr>
        <w:pStyle w:val="Studentsample"/>
      </w:pPr>
      <w:r w:rsidRPr="00632752">
        <w:t xml:space="preserve">The Emissions Trading Scheme (ETS) involves the government issuing carbon credits which allow firms to emit a given volume of CO2. As the government decreases the inelastic supply of carbon credits to meet its environmental objectives, the relative cost of producing carbon-intensive goods and services </w:t>
      </w:r>
      <w:r w:rsidRPr="00632752">
        <w:lastRenderedPageBreak/>
        <w:t>rises, incentivising resource allocation towards cleaner production methods which are relatively more profitable. In the short term, the ETS may decrease intertemporal efficiency, as the additional costs of production can force inefficient firms to shut down, increasing structural unemployment and thus idle labour resources. This may represent an insufficient quantity of labour resources being allocated towards current production to sustain material living standards through wages, hence representing intertemporal inefficiency. However, in the long term, the ETS should improve intertemporal efficiency by preserving the quantity and quality of natural and common access resources for future generations, ensuring the optimal balance between resources used for current and future production.</w:t>
      </w:r>
    </w:p>
    <w:p w14:paraId="655DFF9A" w14:textId="77777777" w:rsidR="00BD2FEB" w:rsidRPr="00492D1A" w:rsidRDefault="00BD2FEB" w:rsidP="00BD2FEB"/>
    <w:p w14:paraId="2B976676" w14:textId="4E525B10" w:rsidR="002647BB" w:rsidRPr="00870A89" w:rsidRDefault="002647BB" w:rsidP="005D3D78">
      <w:pPr>
        <w:rPr>
          <w:rFonts w:ascii="Arial" w:hAnsi="Arial" w:cs="Arial"/>
          <w:noProof/>
          <w:sz w:val="18"/>
          <w:szCs w:val="18"/>
          <w:lang w:val="en-AU"/>
        </w:rPr>
      </w:pPr>
    </w:p>
    <w:sectPr w:rsidR="002647BB" w:rsidRPr="00870A89"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4433F6C2" w:rsidR="00FD29D3" w:rsidRPr="002B0664" w:rsidRDefault="00955AF7"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BD2FEB">
          <w:rPr>
            <w:color w:val="auto"/>
          </w:rPr>
          <w:t>2025 VCE Economics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1A22CE32"/>
    <w:lvl w:ilvl="0" w:tplc="DEE44E88">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481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B116A"/>
    <w:rsid w:val="001D3246"/>
    <w:rsid w:val="002279BA"/>
    <w:rsid w:val="002329F3"/>
    <w:rsid w:val="00243F0D"/>
    <w:rsid w:val="00260767"/>
    <w:rsid w:val="002647BB"/>
    <w:rsid w:val="00271139"/>
    <w:rsid w:val="002754C1"/>
    <w:rsid w:val="002841C8"/>
    <w:rsid w:val="0028516B"/>
    <w:rsid w:val="002B0664"/>
    <w:rsid w:val="002C6F90"/>
    <w:rsid w:val="002E4FB5"/>
    <w:rsid w:val="00302FB8"/>
    <w:rsid w:val="00304EA1"/>
    <w:rsid w:val="00314D81"/>
    <w:rsid w:val="00322FC6"/>
    <w:rsid w:val="0035293F"/>
    <w:rsid w:val="00381C75"/>
    <w:rsid w:val="00391986"/>
    <w:rsid w:val="003A00B4"/>
    <w:rsid w:val="003A06B2"/>
    <w:rsid w:val="003C5E71"/>
    <w:rsid w:val="00417AA3"/>
    <w:rsid w:val="00425DFE"/>
    <w:rsid w:val="00431DF7"/>
    <w:rsid w:val="00434EDB"/>
    <w:rsid w:val="00440B32"/>
    <w:rsid w:val="0046078D"/>
    <w:rsid w:val="00495C80"/>
    <w:rsid w:val="004A2ED8"/>
    <w:rsid w:val="004F5BDA"/>
    <w:rsid w:val="0051631E"/>
    <w:rsid w:val="00531DDC"/>
    <w:rsid w:val="00537A1F"/>
    <w:rsid w:val="00566029"/>
    <w:rsid w:val="005923CB"/>
    <w:rsid w:val="005B391B"/>
    <w:rsid w:val="005D3D78"/>
    <w:rsid w:val="005E2EF0"/>
    <w:rsid w:val="005F4092"/>
    <w:rsid w:val="00632752"/>
    <w:rsid w:val="0068471E"/>
    <w:rsid w:val="00684F98"/>
    <w:rsid w:val="00693FFD"/>
    <w:rsid w:val="006D2159"/>
    <w:rsid w:val="006F787C"/>
    <w:rsid w:val="00702636"/>
    <w:rsid w:val="00714FB9"/>
    <w:rsid w:val="00724507"/>
    <w:rsid w:val="00773E6C"/>
    <w:rsid w:val="00781FB1"/>
    <w:rsid w:val="007D1B6D"/>
    <w:rsid w:val="00813C37"/>
    <w:rsid w:val="008154B5"/>
    <w:rsid w:val="00823962"/>
    <w:rsid w:val="00850410"/>
    <w:rsid w:val="00852719"/>
    <w:rsid w:val="00860115"/>
    <w:rsid w:val="00870A89"/>
    <w:rsid w:val="0088783C"/>
    <w:rsid w:val="009370BC"/>
    <w:rsid w:val="00955AF7"/>
    <w:rsid w:val="00970580"/>
    <w:rsid w:val="0098739B"/>
    <w:rsid w:val="009B61E5"/>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D2FEB"/>
    <w:rsid w:val="00BE5521"/>
    <w:rsid w:val="00BF6C23"/>
    <w:rsid w:val="00C53263"/>
    <w:rsid w:val="00C75F1D"/>
    <w:rsid w:val="00C95156"/>
    <w:rsid w:val="00CA0DC2"/>
    <w:rsid w:val="00CB68E8"/>
    <w:rsid w:val="00D04F01"/>
    <w:rsid w:val="00D06414"/>
    <w:rsid w:val="00D24E5A"/>
    <w:rsid w:val="00D338E4"/>
    <w:rsid w:val="00D451FE"/>
    <w:rsid w:val="00D51947"/>
    <w:rsid w:val="00D532F0"/>
    <w:rsid w:val="00D56E0F"/>
    <w:rsid w:val="00D76E10"/>
    <w:rsid w:val="00D77413"/>
    <w:rsid w:val="00D82759"/>
    <w:rsid w:val="00D86DE4"/>
    <w:rsid w:val="00DE1909"/>
    <w:rsid w:val="00DE51DB"/>
    <w:rsid w:val="00E208DF"/>
    <w:rsid w:val="00E23F1D"/>
    <w:rsid w:val="00E30E05"/>
    <w:rsid w:val="00E36361"/>
    <w:rsid w:val="00E55AE9"/>
    <w:rsid w:val="00E71100"/>
    <w:rsid w:val="00E7229D"/>
    <w:rsid w:val="00EB0C84"/>
    <w:rsid w:val="00EC2E9D"/>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632752"/>
    <w:pPr>
      <w:numPr>
        <w:numId w:val="2"/>
      </w:numPr>
      <w:ind w:left="851"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632752"/>
    <w:pPr>
      <w:spacing w:before="120" w:after="120"/>
    </w:pPr>
    <w:rPr>
      <w:rFonts w:ascii="Arial" w:hAnsi="Arial" w:cs="Arial"/>
      <w:sz w:val="20"/>
      <w:lang w:val="en-AU" w:eastAsia="en-AU"/>
    </w:rPr>
  </w:style>
  <w:style w:type="character" w:customStyle="1" w:styleId="BodyTextChar">
    <w:name w:val="Body Text Char"/>
    <w:basedOn w:val="DefaultParagraphFont"/>
    <w:link w:val="BodyText"/>
    <w:uiPriority w:val="99"/>
    <w:rsid w:val="00632752"/>
    <w:rPr>
      <w:rFonts w:ascii="Arial" w:hAnsi="Arial" w:cs="Arial"/>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body">
    <w:name w:val="VCAA body"/>
    <w:link w:val="VCAAbodyChar"/>
    <w:qFormat/>
    <w:rsid w:val="00BD2FEB"/>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BD2FEB"/>
    <w:rPr>
      <w:rFonts w:ascii="Arial" w:hAnsi="Arial" w:cs="Arial"/>
      <w:color w:val="000000" w:themeColor="text1"/>
      <w:sz w:val="20"/>
    </w:rPr>
  </w:style>
  <w:style w:type="paragraph" w:customStyle="1" w:styleId="VCAAtablecondensed">
    <w:name w:val="VCAA table condensed"/>
    <w:qFormat/>
    <w:rsid w:val="00BD2FEB"/>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D2FEB"/>
    <w:rPr>
      <w:color w:val="FFFFFF" w:themeColor="background1"/>
    </w:rPr>
  </w:style>
  <w:style w:type="paragraph" w:customStyle="1" w:styleId="Studentsample">
    <w:name w:val="Student sample"/>
    <w:basedOn w:val="BodyText"/>
    <w:qFormat/>
    <w:rsid w:val="00632752"/>
    <w:pPr>
      <w:ind w:left="284"/>
    </w:pPr>
    <w:rPr>
      <w:i/>
      <w:iCs/>
    </w:rPr>
  </w:style>
  <w:style w:type="paragraph" w:customStyle="1" w:styleId="Indent">
    <w:name w:val="Indent"/>
    <w:basedOn w:val="BodyText"/>
    <w:qFormat/>
    <w:rsid w:val="00BD2FEB"/>
    <w:pPr>
      <w:ind w:left="454"/>
    </w:pPr>
  </w:style>
  <w:style w:type="character" w:styleId="Emphasis">
    <w:name w:val="Emphasis"/>
    <w:basedOn w:val="DefaultParagraphFont"/>
    <w:uiPriority w:val="20"/>
    <w:qFormat/>
    <w:rsid w:val="00BD2F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425F90"/>
    <w:rsid w:val="00431DF7"/>
    <w:rsid w:val="00714FB9"/>
    <w:rsid w:val="009325D2"/>
    <w:rsid w:val="00E3696C"/>
    <w:rsid w:val="00E71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9463A6B1-34DE-41EF-9945-6EE1D92D4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f77e68f7-c052-4667-a1a6-124cfe860c79"/>
    <ds:schemaRef ds:uri="91390586-87fb-46cf-92ab-e8c7138719eb"/>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9519</Words>
  <Characters>51312</Characters>
  <Application>Microsoft Office Word</Application>
  <DocSecurity>0</DocSecurity>
  <Lines>1140</Lines>
  <Paragraphs>770</Paragraphs>
  <ScaleCrop>false</ScaleCrop>
  <HeadingPairs>
    <vt:vector size="2" baseType="variant">
      <vt:variant>
        <vt:lpstr>Title</vt:lpstr>
      </vt:variant>
      <vt:variant>
        <vt:i4>1</vt:i4>
      </vt:variant>
    </vt:vector>
  </HeadingPairs>
  <TitlesOfParts>
    <vt:vector size="1" baseType="lpstr">
      <vt:lpstr>2025 VCE Economics external assessment report</vt:lpstr>
    </vt:vector>
  </TitlesOfParts>
  <Manager/>
  <Company/>
  <LinksUpToDate>false</LinksUpToDate>
  <CharactersWithSpaces>60061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Economics external assessment report</dc:title>
  <dc:subject/>
  <dc:creator/>
  <cp:keywords/>
  <dc:description/>
  <cp:lastModifiedBy/>
  <cp:revision>2</cp:revision>
  <cp:lastPrinted>2015-05-15T02:36:00Z</cp:lastPrinted>
  <dcterms:created xsi:type="dcterms:W3CDTF">2026-02-02T22:51:00Z</dcterms:created>
  <dcterms:modified xsi:type="dcterms:W3CDTF">2026-02-02T23:18:00Z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