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31F69759" w:rsidR="00F4525C" w:rsidRPr="00870A89" w:rsidRDefault="00653E3E" w:rsidP="00E7229D">
      <w:pPr>
        <w:pStyle w:val="Title"/>
      </w:pPr>
      <w:r>
        <w:t>2025 VCE Indonesian Second Language oral external assessment report</w:t>
      </w:r>
    </w:p>
    <w:p w14:paraId="4255D793" w14:textId="2E2B8851" w:rsidR="00C441B1" w:rsidRDefault="00C441B1" w:rsidP="00C441B1">
      <w:pPr>
        <w:pStyle w:val="BodyText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r w:rsidR="00C669CE">
        <w:t xml:space="preserve">VCE Indonesian Second Language </w:t>
      </w:r>
      <w:hyperlink r:id="rId11" w:history="1">
        <w:r w:rsidR="00C669CE" w:rsidRPr="00C669CE">
          <w:rPr>
            <w:rStyle w:val="Hyperlink"/>
          </w:rPr>
          <w:t>study design</w:t>
        </w:r>
      </w:hyperlink>
      <w:r w:rsidRPr="006058F1">
        <w:t xml:space="preserve"> </w:t>
      </w:r>
      <w:r>
        <w:t xml:space="preserve">and </w:t>
      </w:r>
      <w:hyperlink r:id="rId12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00ABE195" w14:textId="4CB5DA92" w:rsidR="00C22972" w:rsidRDefault="00C22972" w:rsidP="00C22972">
      <w:pPr>
        <w:pStyle w:val="Heading1"/>
        <w:rPr>
          <w:lang w:eastAsia="en-AU"/>
        </w:rPr>
      </w:pPr>
      <w:r>
        <w:rPr>
          <w:lang w:eastAsia="en-AU"/>
        </w:rPr>
        <w:t>Section 1: Conversation</w:t>
      </w:r>
    </w:p>
    <w:p w14:paraId="5CF9B4F1" w14:textId="77777777" w:rsidR="00C22972" w:rsidRDefault="00C22972" w:rsidP="00C441B1">
      <w:pPr>
        <w:pStyle w:val="Heading2"/>
      </w:pPr>
      <w:r w:rsidRPr="00C441B1">
        <w:t>What students did well</w:t>
      </w:r>
    </w:p>
    <w:p w14:paraId="7EB613F5" w14:textId="7499DFA3" w:rsidR="00292D43" w:rsidRPr="00292D43" w:rsidRDefault="00292D43" w:rsidP="00CD112F">
      <w:pPr>
        <w:pStyle w:val="BodyText"/>
      </w:pPr>
      <w:r>
        <w:t>In 2025, students:</w:t>
      </w:r>
    </w:p>
    <w:p w14:paraId="6B3EF1E3" w14:textId="4A9A3353" w:rsidR="00C22972" w:rsidRDefault="00C22972" w:rsidP="00CD112F">
      <w:pPr>
        <w:pStyle w:val="Bullet"/>
      </w:pPr>
      <w:r>
        <w:t>engaged in a general conversation about their personal world and their interactions with the language and culture as learners</w:t>
      </w:r>
      <w:r w:rsidR="00292D43">
        <w:t xml:space="preserve">. </w:t>
      </w:r>
      <w:proofErr w:type="gramStart"/>
      <w:r w:rsidR="00670825">
        <w:t>T</w:t>
      </w:r>
      <w:r>
        <w:t>he majority of</w:t>
      </w:r>
      <w:proofErr w:type="gramEnd"/>
      <w:r>
        <w:t xml:space="preserve"> students </w:t>
      </w:r>
      <w:r w:rsidR="00CA004D">
        <w:t>responded</w:t>
      </w:r>
      <w:r>
        <w:t xml:space="preserve"> appropriately to questions by commenting about their personal world and their interactions with Indonesian language and culture</w:t>
      </w:r>
      <w:r w:rsidR="68C89761">
        <w:t xml:space="preserve"> as learners</w:t>
      </w:r>
      <w:r>
        <w:t xml:space="preserve">. All students </w:t>
      </w:r>
      <w:r w:rsidR="00CA004D">
        <w:t xml:space="preserve">were able to </w:t>
      </w:r>
      <w:r>
        <w:t>talk about their experiences in Indonesia or around learning Indonesian and the challenges associated with it, or about Indonesian food</w:t>
      </w:r>
      <w:r w:rsidR="00D917F8">
        <w:t>,</w:t>
      </w:r>
      <w:r>
        <w:t xml:space="preserve"> such as </w:t>
      </w:r>
      <w:r w:rsidRPr="698AA897">
        <w:rPr>
          <w:rStyle w:val="Emphasis"/>
        </w:rPr>
        <w:t xml:space="preserve">nasi goreng dan sate </w:t>
      </w:r>
      <w:proofErr w:type="spellStart"/>
      <w:r w:rsidRPr="698AA897">
        <w:rPr>
          <w:rStyle w:val="Emphasis"/>
        </w:rPr>
        <w:t>ayam</w:t>
      </w:r>
      <w:proofErr w:type="spellEnd"/>
      <w:r w:rsidRPr="698AA897">
        <w:rPr>
          <w:rStyle w:val="Emphasis"/>
        </w:rPr>
        <w:t xml:space="preserve"> </w:t>
      </w:r>
      <w:r>
        <w:t>(fried rice and chicken satay). Students were reasonably at ease talking about their hobbies and part-time jobs</w:t>
      </w:r>
      <w:r w:rsidR="0033605A">
        <w:t>,</w:t>
      </w:r>
      <w:r>
        <w:t xml:space="preserve"> with proficient students elaborating</w:t>
      </w:r>
      <w:r w:rsidR="0033605A">
        <w:t xml:space="preserve"> on</w:t>
      </w:r>
      <w:r>
        <w:t xml:space="preserve"> their responses with thoughtful ideas and opinions.</w:t>
      </w:r>
    </w:p>
    <w:p w14:paraId="6E008356" w14:textId="334D9EC2" w:rsidR="00C22972" w:rsidRDefault="00C22972" w:rsidP="00CD112F">
      <w:pPr>
        <w:pStyle w:val="Bullet"/>
      </w:pPr>
      <w:r>
        <w:t>provided a range of relevant information, ideas and opinions with an appropriate depth</w:t>
      </w:r>
      <w:r w:rsidR="00292D43">
        <w:t xml:space="preserve">. </w:t>
      </w:r>
      <w:r w:rsidR="00CA004D">
        <w:t xml:space="preserve">Responses that scored highly </w:t>
      </w:r>
      <w:r>
        <w:t>communicated feelings and provided opinions without prompting from assessors, by including a variety of ‘I think’ phrases in Indonesian</w:t>
      </w:r>
      <w:r w:rsidR="0033605A">
        <w:t>,</w:t>
      </w:r>
      <w:r>
        <w:t xml:space="preserve"> such as </w:t>
      </w:r>
      <w:proofErr w:type="spellStart"/>
      <w:r w:rsidRPr="698AA897">
        <w:rPr>
          <w:rStyle w:val="Emphasis"/>
        </w:rPr>
        <w:t>saya</w:t>
      </w:r>
      <w:proofErr w:type="spellEnd"/>
      <w:r w:rsidRPr="698AA897">
        <w:rPr>
          <w:rStyle w:val="Emphasis"/>
        </w:rPr>
        <w:t xml:space="preserve"> </w:t>
      </w:r>
      <w:proofErr w:type="spellStart"/>
      <w:r w:rsidRPr="698AA897">
        <w:rPr>
          <w:rStyle w:val="Emphasis"/>
        </w:rPr>
        <w:t>pikir</w:t>
      </w:r>
      <w:proofErr w:type="spellEnd"/>
      <w:r w:rsidRPr="698AA897">
        <w:rPr>
          <w:rStyle w:val="Emphasis"/>
        </w:rPr>
        <w:t xml:space="preserve">, </w:t>
      </w:r>
      <w:proofErr w:type="spellStart"/>
      <w:r w:rsidRPr="698AA897">
        <w:rPr>
          <w:rStyle w:val="Emphasis"/>
        </w:rPr>
        <w:t>saya</w:t>
      </w:r>
      <w:proofErr w:type="spellEnd"/>
      <w:r w:rsidRPr="698AA897">
        <w:rPr>
          <w:rStyle w:val="Emphasis"/>
        </w:rPr>
        <w:t xml:space="preserve"> </w:t>
      </w:r>
      <w:proofErr w:type="spellStart"/>
      <w:r w:rsidRPr="698AA897">
        <w:rPr>
          <w:rStyle w:val="Emphasis"/>
        </w:rPr>
        <w:t>kira</w:t>
      </w:r>
      <w:proofErr w:type="spellEnd"/>
      <w:r w:rsidRPr="698AA897">
        <w:rPr>
          <w:rStyle w:val="Emphasis"/>
        </w:rPr>
        <w:t>,</w:t>
      </w:r>
      <w:r w:rsidR="0047039D">
        <w:rPr>
          <w:rStyle w:val="Emphasis"/>
        </w:rPr>
        <w:t xml:space="preserve"> </w:t>
      </w:r>
      <w:proofErr w:type="spellStart"/>
      <w:r w:rsidRPr="698AA897">
        <w:rPr>
          <w:rStyle w:val="Emphasis"/>
        </w:rPr>
        <w:t>saya</w:t>
      </w:r>
      <w:proofErr w:type="spellEnd"/>
      <w:r w:rsidRPr="698AA897">
        <w:rPr>
          <w:rStyle w:val="Emphasis"/>
        </w:rPr>
        <w:t xml:space="preserve"> rasa </w:t>
      </w:r>
      <w:r>
        <w:t>and</w:t>
      </w:r>
      <w:r w:rsidR="0047039D">
        <w:t>, to a certain extent,</w:t>
      </w:r>
      <w:r>
        <w:t xml:space="preserve"> </w:t>
      </w:r>
      <w:proofErr w:type="spellStart"/>
      <w:r w:rsidRPr="698AA897">
        <w:rPr>
          <w:rStyle w:val="Emphasis"/>
        </w:rPr>
        <w:t>menurut</w:t>
      </w:r>
      <w:proofErr w:type="spellEnd"/>
      <w:r w:rsidRPr="698AA897">
        <w:rPr>
          <w:rStyle w:val="Emphasis"/>
        </w:rPr>
        <w:t xml:space="preserve"> </w:t>
      </w:r>
      <w:proofErr w:type="spellStart"/>
      <w:r w:rsidRPr="698AA897">
        <w:rPr>
          <w:rStyle w:val="Emphasis"/>
        </w:rPr>
        <w:t>pendapat</w:t>
      </w:r>
      <w:proofErr w:type="spellEnd"/>
      <w:r w:rsidRPr="698AA897">
        <w:rPr>
          <w:rStyle w:val="Emphasis"/>
        </w:rPr>
        <w:t xml:space="preserve"> </w:t>
      </w:r>
      <w:proofErr w:type="spellStart"/>
      <w:r w:rsidRPr="698AA897">
        <w:rPr>
          <w:rStyle w:val="Emphasis"/>
        </w:rPr>
        <w:t>saya</w:t>
      </w:r>
      <w:proofErr w:type="spellEnd"/>
      <w:r w:rsidR="0047039D">
        <w:rPr>
          <w:rStyle w:val="Emphasis"/>
        </w:rPr>
        <w:t xml:space="preserve"> </w:t>
      </w:r>
      <w:r w:rsidR="0047039D" w:rsidRPr="0047039D">
        <w:rPr>
          <w:rStyle w:val="Emphasis"/>
          <w:i w:val="0"/>
          <w:iCs w:val="0"/>
        </w:rPr>
        <w:t>(in my opinion)</w:t>
      </w:r>
      <w:r w:rsidRPr="00CD112F">
        <w:t>.</w:t>
      </w:r>
      <w:r w:rsidRPr="698AA897">
        <w:rPr>
          <w:rStyle w:val="Emphasis"/>
        </w:rPr>
        <w:t xml:space="preserve"> </w:t>
      </w:r>
      <w:r>
        <w:t xml:space="preserve">Students </w:t>
      </w:r>
      <w:r w:rsidR="00B37475">
        <w:t>whose responses scored highly</w:t>
      </w:r>
      <w:r>
        <w:t xml:space="preserve"> were able to:</w:t>
      </w:r>
    </w:p>
    <w:p w14:paraId="24BB65D7" w14:textId="588D7D18" w:rsidR="00C22972" w:rsidRDefault="0033605A" w:rsidP="00D94D35">
      <w:pPr>
        <w:pStyle w:val="Bulletlevel2"/>
      </w:pPr>
      <w:r>
        <w:t xml:space="preserve">understand </w:t>
      </w:r>
      <w:r w:rsidR="00C22972">
        <w:t>unrehearsed questions and respond appropriately</w:t>
      </w:r>
    </w:p>
    <w:p w14:paraId="443EBCA7" w14:textId="4704D4D0" w:rsidR="00C22972" w:rsidRDefault="0033605A" w:rsidP="00D94D35">
      <w:pPr>
        <w:pStyle w:val="Bulletlevel2"/>
      </w:pPr>
      <w:r>
        <w:t xml:space="preserve">communicate </w:t>
      </w:r>
      <w:r w:rsidR="00C22972">
        <w:t>their responses in detail</w:t>
      </w:r>
    </w:p>
    <w:p w14:paraId="35D81A73" w14:textId="6777F7DF" w:rsidR="00C22972" w:rsidRDefault="0033605A" w:rsidP="00D94D35">
      <w:pPr>
        <w:pStyle w:val="Bulletlevel2"/>
      </w:pPr>
      <w:r>
        <w:t xml:space="preserve">pick </w:t>
      </w:r>
      <w:r w:rsidR="00C22972">
        <w:t xml:space="preserve">up tenses used in questions and respond </w:t>
      </w:r>
      <w:r>
        <w:t>appropriately</w:t>
      </w:r>
      <w:r w:rsidR="00C22972">
        <w:t xml:space="preserve"> and correctly</w:t>
      </w:r>
      <w:r w:rsidR="003A7B5A">
        <w:t>: for example,</w:t>
      </w:r>
      <w:r w:rsidR="00C22972">
        <w:t xml:space="preserve"> differentiating between </w:t>
      </w:r>
      <w:proofErr w:type="spellStart"/>
      <w:r w:rsidR="00C22972" w:rsidRPr="698AA897">
        <w:rPr>
          <w:rStyle w:val="Emphasis"/>
        </w:rPr>
        <w:t>dulu</w:t>
      </w:r>
      <w:proofErr w:type="spellEnd"/>
      <w:r w:rsidR="00C22972" w:rsidRPr="698AA897">
        <w:rPr>
          <w:rStyle w:val="Emphasis"/>
        </w:rPr>
        <w:t xml:space="preserve"> </w:t>
      </w:r>
      <w:r w:rsidR="00C22972">
        <w:t xml:space="preserve">(formerly) and </w:t>
      </w:r>
      <w:proofErr w:type="spellStart"/>
      <w:r w:rsidR="00C22972" w:rsidRPr="698AA897">
        <w:rPr>
          <w:rStyle w:val="Emphasis"/>
        </w:rPr>
        <w:t>tadi</w:t>
      </w:r>
      <w:proofErr w:type="spellEnd"/>
      <w:r w:rsidR="00C22972" w:rsidRPr="698AA897">
        <w:rPr>
          <w:rStyle w:val="Emphasis"/>
        </w:rPr>
        <w:t xml:space="preserve"> </w:t>
      </w:r>
      <w:r w:rsidR="00C22972">
        <w:t xml:space="preserve">(a while ago) or </w:t>
      </w:r>
      <w:proofErr w:type="spellStart"/>
      <w:r w:rsidR="00C22972" w:rsidRPr="698AA897">
        <w:rPr>
          <w:rStyle w:val="Emphasis"/>
        </w:rPr>
        <w:t>rencana</w:t>
      </w:r>
      <w:proofErr w:type="spellEnd"/>
      <w:r w:rsidR="00C22972" w:rsidRPr="698AA897">
        <w:rPr>
          <w:rStyle w:val="Emphasis"/>
        </w:rPr>
        <w:t xml:space="preserve"> </w:t>
      </w:r>
      <w:proofErr w:type="spellStart"/>
      <w:r w:rsidR="00C22972" w:rsidRPr="698AA897">
        <w:rPr>
          <w:rStyle w:val="Emphasis"/>
        </w:rPr>
        <w:t>akhir</w:t>
      </w:r>
      <w:proofErr w:type="spellEnd"/>
      <w:r w:rsidR="00C22972" w:rsidRPr="698AA897">
        <w:rPr>
          <w:rStyle w:val="Emphasis"/>
        </w:rPr>
        <w:t xml:space="preserve"> </w:t>
      </w:r>
      <w:proofErr w:type="spellStart"/>
      <w:r w:rsidR="00C22972" w:rsidRPr="698AA897">
        <w:rPr>
          <w:rStyle w:val="Emphasis"/>
        </w:rPr>
        <w:t>tahun</w:t>
      </w:r>
      <w:proofErr w:type="spellEnd"/>
      <w:r w:rsidR="00C22972" w:rsidRPr="698AA897">
        <w:rPr>
          <w:rStyle w:val="Emphasis"/>
        </w:rPr>
        <w:t xml:space="preserve"> </w:t>
      </w:r>
      <w:r w:rsidR="00C22972">
        <w:t xml:space="preserve">(end-of-the-year plans) and </w:t>
      </w:r>
      <w:proofErr w:type="spellStart"/>
      <w:r w:rsidR="00C22972" w:rsidRPr="698AA897">
        <w:rPr>
          <w:rStyle w:val="Emphasis"/>
        </w:rPr>
        <w:t>rencana</w:t>
      </w:r>
      <w:proofErr w:type="spellEnd"/>
      <w:r w:rsidR="00C22972" w:rsidRPr="698AA897">
        <w:rPr>
          <w:rStyle w:val="Emphasis"/>
        </w:rPr>
        <w:t xml:space="preserve"> </w:t>
      </w:r>
      <w:proofErr w:type="spellStart"/>
      <w:r w:rsidR="00C22972" w:rsidRPr="698AA897">
        <w:rPr>
          <w:rStyle w:val="Emphasis"/>
        </w:rPr>
        <w:t>akhir</w:t>
      </w:r>
      <w:proofErr w:type="spellEnd"/>
      <w:r w:rsidR="00C22972" w:rsidRPr="698AA897">
        <w:rPr>
          <w:rStyle w:val="Emphasis"/>
        </w:rPr>
        <w:t xml:space="preserve"> </w:t>
      </w:r>
      <w:proofErr w:type="spellStart"/>
      <w:r w:rsidR="00C22972" w:rsidRPr="698AA897">
        <w:rPr>
          <w:rStyle w:val="Emphasis"/>
        </w:rPr>
        <w:t>ujian</w:t>
      </w:r>
      <w:proofErr w:type="spellEnd"/>
      <w:r w:rsidR="00C22972" w:rsidRPr="698AA897">
        <w:rPr>
          <w:rStyle w:val="Emphasis"/>
        </w:rPr>
        <w:t xml:space="preserve"> </w:t>
      </w:r>
      <w:r w:rsidR="00C22972">
        <w:t>(</w:t>
      </w:r>
      <w:r>
        <w:t>end-of-</w:t>
      </w:r>
      <w:r w:rsidR="00C22972">
        <w:t>exams plans)</w:t>
      </w:r>
    </w:p>
    <w:p w14:paraId="3E7B8811" w14:textId="4456B6D0" w:rsidR="00C22972" w:rsidRDefault="0033605A" w:rsidP="00D94D35">
      <w:pPr>
        <w:pStyle w:val="Bulletlevel2"/>
      </w:pPr>
      <w:r>
        <w:t xml:space="preserve">avoid </w:t>
      </w:r>
      <w:r w:rsidR="00C22972">
        <w:t>repeating the same answers</w:t>
      </w:r>
    </w:p>
    <w:p w14:paraId="241FC94C" w14:textId="4667B78E" w:rsidR="00C22972" w:rsidRDefault="0033605A" w:rsidP="00D94D35">
      <w:pPr>
        <w:pStyle w:val="Bulletlevel2"/>
        <w:rPr>
          <w:szCs w:val="20"/>
        </w:rPr>
      </w:pPr>
      <w:r>
        <w:t xml:space="preserve">communicate </w:t>
      </w:r>
      <w:r w:rsidR="00C22972">
        <w:t xml:space="preserve">a degree of reflection in their responses by including phrases such as </w:t>
      </w:r>
      <w:proofErr w:type="spellStart"/>
      <w:r w:rsidR="00C22972" w:rsidRPr="698AA897">
        <w:rPr>
          <w:rStyle w:val="Emphasis"/>
        </w:rPr>
        <w:t>sebenarnya</w:t>
      </w:r>
      <w:proofErr w:type="spellEnd"/>
      <w:r w:rsidR="00C22972" w:rsidRPr="698AA897">
        <w:rPr>
          <w:rStyle w:val="Emphasis"/>
        </w:rPr>
        <w:t xml:space="preserve"> </w:t>
      </w:r>
      <w:proofErr w:type="spellStart"/>
      <w:r w:rsidR="00C22972" w:rsidRPr="698AA897">
        <w:rPr>
          <w:rStyle w:val="Emphasis"/>
        </w:rPr>
        <w:t>bu</w:t>
      </w:r>
      <w:proofErr w:type="spellEnd"/>
      <w:r w:rsidR="00C22972" w:rsidRPr="698AA897">
        <w:rPr>
          <w:rStyle w:val="Emphasis"/>
        </w:rPr>
        <w:t>/</w:t>
      </w:r>
      <w:proofErr w:type="spellStart"/>
      <w:r w:rsidR="00C22972" w:rsidRPr="698AA897">
        <w:rPr>
          <w:rStyle w:val="Emphasis"/>
        </w:rPr>
        <w:t>pak</w:t>
      </w:r>
      <w:proofErr w:type="spellEnd"/>
      <w:r w:rsidR="00C22972" w:rsidRPr="698AA897">
        <w:rPr>
          <w:rStyle w:val="Emphasis"/>
        </w:rPr>
        <w:t xml:space="preserve"> </w:t>
      </w:r>
      <w:r w:rsidR="00C22972">
        <w:t>(actually)</w:t>
      </w:r>
      <w:r>
        <w:t>.</w:t>
      </w:r>
    </w:p>
    <w:p w14:paraId="293E35A4" w14:textId="77777777" w:rsidR="00B05F52" w:rsidRPr="00C441B1" w:rsidRDefault="00B05F52" w:rsidP="00C441B1">
      <w:pPr>
        <w:pStyle w:val="Heading2"/>
      </w:pPr>
      <w:r w:rsidRPr="00C441B1">
        <w:t>Areas for improvement</w:t>
      </w:r>
    </w:p>
    <w:p w14:paraId="529CA4C0" w14:textId="77777777" w:rsidR="00B05F52" w:rsidRPr="00BF3F79" w:rsidRDefault="00B05F52" w:rsidP="00B05F52">
      <w:pPr>
        <w:pStyle w:val="BodyText"/>
      </w:pPr>
      <w:r>
        <w:t>In preparation for the examination, students could:</w:t>
      </w:r>
    </w:p>
    <w:p w14:paraId="06F821FE" w14:textId="006D2206" w:rsidR="00B05F52" w:rsidRDefault="00B05F52" w:rsidP="00CD112F">
      <w:pPr>
        <w:pStyle w:val="Bullet"/>
      </w:pPr>
      <w:r w:rsidRPr="42F8528F">
        <w:t xml:space="preserve">ensure adequate preparation </w:t>
      </w:r>
      <w:r w:rsidR="00BC4DF1">
        <w:t>for</w:t>
      </w:r>
      <w:r w:rsidR="00BC4DF1" w:rsidRPr="42F8528F">
        <w:t xml:space="preserve"> </w:t>
      </w:r>
      <w:r w:rsidRPr="42F8528F">
        <w:t>the conversation with relevance, depth and range of information, ideas and opinions</w:t>
      </w:r>
      <w:r w:rsidR="00292D43">
        <w:t xml:space="preserve">. </w:t>
      </w:r>
      <w:r>
        <w:t xml:space="preserve">Students are encouraged to prepare well by spending time reflecting on their </w:t>
      </w:r>
      <w:r>
        <w:lastRenderedPageBreak/>
        <w:t>responses to their personal world and their interaction</w:t>
      </w:r>
      <w:r w:rsidR="00634099">
        <w:t>s</w:t>
      </w:r>
      <w:r>
        <w:t xml:space="preserve"> with the language and culture</w:t>
      </w:r>
      <w:r w:rsidR="79D77962">
        <w:t xml:space="preserve"> as learners</w:t>
      </w:r>
      <w:r>
        <w:t xml:space="preserve">. Students need to be familiar with the assessment criteria so they can prepare responses that show an excellent range of information, ideas and opinions, </w:t>
      </w:r>
      <w:r w:rsidR="00414675">
        <w:t xml:space="preserve">which </w:t>
      </w:r>
      <w:r>
        <w:t xml:space="preserve">will give them high marks. For example, </w:t>
      </w:r>
      <w:r w:rsidR="00C73110">
        <w:t>when a student is asked</w:t>
      </w:r>
      <w:r w:rsidR="00BC4DF1">
        <w:t>,</w:t>
      </w:r>
      <w:r w:rsidR="00C73110">
        <w:t xml:space="preserve"> </w:t>
      </w:r>
      <w:r w:rsidR="00260C0B" w:rsidRPr="00CD112F">
        <w:rPr>
          <w:rStyle w:val="Emphasis"/>
        </w:rPr>
        <w:t>‘</w:t>
      </w:r>
      <w:proofErr w:type="spellStart"/>
      <w:r w:rsidRPr="698AA897">
        <w:rPr>
          <w:rStyle w:val="Emphasis"/>
        </w:rPr>
        <w:t>Selain</w:t>
      </w:r>
      <w:proofErr w:type="spellEnd"/>
      <w:r w:rsidRPr="698AA897">
        <w:rPr>
          <w:rStyle w:val="Emphasis"/>
        </w:rPr>
        <w:t xml:space="preserve"> </w:t>
      </w:r>
      <w:proofErr w:type="spellStart"/>
      <w:r w:rsidRPr="698AA897">
        <w:rPr>
          <w:rStyle w:val="Emphasis"/>
        </w:rPr>
        <w:t>bahasa</w:t>
      </w:r>
      <w:proofErr w:type="spellEnd"/>
      <w:r w:rsidRPr="698AA897">
        <w:rPr>
          <w:rStyle w:val="Emphasis"/>
        </w:rPr>
        <w:t xml:space="preserve"> Indonesia, </w:t>
      </w:r>
      <w:proofErr w:type="spellStart"/>
      <w:r w:rsidRPr="698AA897">
        <w:rPr>
          <w:rStyle w:val="Emphasis"/>
        </w:rPr>
        <w:t>bahasa</w:t>
      </w:r>
      <w:proofErr w:type="spellEnd"/>
      <w:r w:rsidRPr="698AA897">
        <w:rPr>
          <w:rStyle w:val="Emphasis"/>
        </w:rPr>
        <w:t xml:space="preserve"> </w:t>
      </w:r>
      <w:proofErr w:type="spellStart"/>
      <w:r w:rsidRPr="698AA897">
        <w:rPr>
          <w:rStyle w:val="Emphasis"/>
        </w:rPr>
        <w:t>apa</w:t>
      </w:r>
      <w:proofErr w:type="spellEnd"/>
      <w:r w:rsidRPr="698AA897">
        <w:rPr>
          <w:rStyle w:val="Emphasis"/>
        </w:rPr>
        <w:t xml:space="preserve"> </w:t>
      </w:r>
      <w:proofErr w:type="spellStart"/>
      <w:r w:rsidRPr="698AA897">
        <w:rPr>
          <w:rStyle w:val="Emphasis"/>
        </w:rPr>
        <w:t>lagi</w:t>
      </w:r>
      <w:proofErr w:type="spellEnd"/>
      <w:r w:rsidRPr="698AA897">
        <w:rPr>
          <w:rStyle w:val="Emphasis"/>
        </w:rPr>
        <w:t xml:space="preserve"> yang </w:t>
      </w:r>
      <w:proofErr w:type="spellStart"/>
      <w:r w:rsidRPr="698AA897">
        <w:rPr>
          <w:rStyle w:val="Emphasis"/>
        </w:rPr>
        <w:t>anda</w:t>
      </w:r>
      <w:proofErr w:type="spellEnd"/>
      <w:r w:rsidRPr="698AA897">
        <w:rPr>
          <w:rStyle w:val="Emphasis"/>
        </w:rPr>
        <w:t xml:space="preserve"> </w:t>
      </w:r>
      <w:proofErr w:type="spellStart"/>
      <w:r w:rsidRPr="698AA897">
        <w:rPr>
          <w:rStyle w:val="Emphasis"/>
        </w:rPr>
        <w:t>pelajari</w:t>
      </w:r>
      <w:proofErr w:type="spellEnd"/>
      <w:r w:rsidRPr="698AA897">
        <w:rPr>
          <w:rStyle w:val="Emphasis"/>
        </w:rPr>
        <w:t>?</w:t>
      </w:r>
      <w:r w:rsidR="00260C0B">
        <w:rPr>
          <w:rStyle w:val="Emphasis"/>
        </w:rPr>
        <w:t>’</w:t>
      </w:r>
      <w:r w:rsidRPr="698AA897">
        <w:rPr>
          <w:rStyle w:val="Emphasis"/>
        </w:rPr>
        <w:t xml:space="preserve"> </w:t>
      </w:r>
      <w:r>
        <w:t>(</w:t>
      </w:r>
      <w:r w:rsidR="00260C0B">
        <w:t>‘</w:t>
      </w:r>
      <w:r>
        <w:t>Apart from Indonesian, what other language/s do you study?</w:t>
      </w:r>
      <w:r w:rsidR="00260C0B">
        <w:t>’</w:t>
      </w:r>
      <w:r>
        <w:t xml:space="preserve">) </w:t>
      </w:r>
      <w:r w:rsidR="00C73110">
        <w:t>they should demonstrate an understanding of</w:t>
      </w:r>
      <w:r>
        <w:t xml:space="preserve"> the</w:t>
      </w:r>
      <w:r w:rsidR="00260C0B">
        <w:t xml:space="preserve"> expected qualities within each descriptor of the</w:t>
      </w:r>
      <w:r>
        <w:t xml:space="preserve"> assessment criteria </w:t>
      </w:r>
      <w:r w:rsidR="00260C0B">
        <w:t>so that they can expand upon and defend their response, which should include</w:t>
      </w:r>
      <w:r w:rsidR="00C73110">
        <w:t xml:space="preserve"> </w:t>
      </w:r>
      <w:r>
        <w:t xml:space="preserve">information and ideas but also their opinion of this additional language. Familiarity with the assessment criteria will also motivate students to </w:t>
      </w:r>
      <w:r w:rsidR="00634099">
        <w:t xml:space="preserve">practise </w:t>
      </w:r>
      <w:r>
        <w:t>answering a range of questions that will promote confidence in their ability to understand and answer questions appropriately.</w:t>
      </w:r>
    </w:p>
    <w:p w14:paraId="503F3A74" w14:textId="1D08A430" w:rsidR="00B05F52" w:rsidRDefault="00B05F52" w:rsidP="00CD112F">
      <w:pPr>
        <w:pStyle w:val="Bullet"/>
      </w:pPr>
      <w:r w:rsidRPr="42F8528F">
        <w:t>revise grammar</w:t>
      </w:r>
      <w:r w:rsidR="00292D43">
        <w:t xml:space="preserve">. </w:t>
      </w:r>
      <w:r>
        <w:t>As part of the examination preparation, students should be aware of common grammatical mistakes such as</w:t>
      </w:r>
      <w:r w:rsidR="00BC4DF1">
        <w:t xml:space="preserve"> confusing</w:t>
      </w:r>
      <w:r>
        <w:t xml:space="preserve"> </w:t>
      </w:r>
      <w:proofErr w:type="spellStart"/>
      <w:r w:rsidRPr="763C0C3E">
        <w:rPr>
          <w:rStyle w:val="Emphasis"/>
        </w:rPr>
        <w:t>makan</w:t>
      </w:r>
      <w:proofErr w:type="spellEnd"/>
      <w:r w:rsidR="00BC4DF1">
        <w:t>/</w:t>
      </w:r>
      <w:proofErr w:type="spellStart"/>
      <w:r w:rsidRPr="763C0C3E">
        <w:rPr>
          <w:rStyle w:val="Emphasis"/>
        </w:rPr>
        <w:t>makanan</w:t>
      </w:r>
      <w:proofErr w:type="spellEnd"/>
      <w:r w:rsidRPr="763C0C3E">
        <w:rPr>
          <w:rStyle w:val="Emphasis"/>
        </w:rPr>
        <w:t xml:space="preserve"> </w:t>
      </w:r>
      <w:r>
        <w:t>(to eat</w:t>
      </w:r>
      <w:r w:rsidR="00BC4DF1">
        <w:t xml:space="preserve"> / </w:t>
      </w:r>
      <w:r>
        <w:t xml:space="preserve">food); </w:t>
      </w:r>
      <w:proofErr w:type="spellStart"/>
      <w:r w:rsidRPr="763C0C3E">
        <w:rPr>
          <w:rStyle w:val="Emphasis"/>
        </w:rPr>
        <w:t>supaya</w:t>
      </w:r>
      <w:proofErr w:type="spellEnd"/>
      <w:r w:rsidRPr="763C0C3E">
        <w:rPr>
          <w:rStyle w:val="Emphasis"/>
        </w:rPr>
        <w:t>/</w:t>
      </w:r>
      <w:proofErr w:type="spellStart"/>
      <w:r w:rsidRPr="763C0C3E">
        <w:rPr>
          <w:rStyle w:val="Emphasis"/>
        </w:rPr>
        <w:t>sehingga</w:t>
      </w:r>
      <w:proofErr w:type="spellEnd"/>
      <w:r w:rsidRPr="763C0C3E">
        <w:rPr>
          <w:rStyle w:val="Emphasis"/>
        </w:rPr>
        <w:t xml:space="preserve"> </w:t>
      </w:r>
      <w:r>
        <w:t xml:space="preserve">(so that, </w:t>
      </w:r>
      <w:proofErr w:type="gramStart"/>
      <w:r>
        <w:t>in order to</w:t>
      </w:r>
      <w:proofErr w:type="gramEnd"/>
      <w:r w:rsidR="00634099">
        <w:t xml:space="preserve"> </w:t>
      </w:r>
      <w:r>
        <w:t>/</w:t>
      </w:r>
      <w:r w:rsidR="00634099">
        <w:t xml:space="preserve"> </w:t>
      </w:r>
      <w:r>
        <w:t>so that, consequently)</w:t>
      </w:r>
      <w:r w:rsidR="00625EDE">
        <w:t>;</w:t>
      </w:r>
      <w:r>
        <w:t xml:space="preserve"> and </w:t>
      </w:r>
      <w:proofErr w:type="spellStart"/>
      <w:r w:rsidRPr="763C0C3E">
        <w:rPr>
          <w:rStyle w:val="Emphasis"/>
        </w:rPr>
        <w:t>ramai</w:t>
      </w:r>
      <w:proofErr w:type="spellEnd"/>
      <w:r w:rsidRPr="763C0C3E">
        <w:rPr>
          <w:rStyle w:val="Emphasis"/>
        </w:rPr>
        <w:t>/</w:t>
      </w:r>
      <w:proofErr w:type="spellStart"/>
      <w:r w:rsidRPr="763C0C3E">
        <w:rPr>
          <w:rStyle w:val="Emphasis"/>
        </w:rPr>
        <w:t>sibuk</w:t>
      </w:r>
      <w:proofErr w:type="spellEnd"/>
      <w:r>
        <w:t xml:space="preserve"> (crowded/busy</w:t>
      </w:r>
      <w:r w:rsidR="00634099">
        <w:t>)</w:t>
      </w:r>
      <w:r w:rsidR="00BC4DF1">
        <w:t>.</w:t>
      </w:r>
      <w:r w:rsidR="00634099">
        <w:t xml:space="preserve"> </w:t>
      </w:r>
      <w:r w:rsidR="00BC4DF1">
        <w:t xml:space="preserve">The </w:t>
      </w:r>
      <w:r>
        <w:t xml:space="preserve">correct position of </w:t>
      </w:r>
      <w:r w:rsidRPr="763C0C3E">
        <w:rPr>
          <w:rStyle w:val="Emphasis"/>
        </w:rPr>
        <w:t>jam</w:t>
      </w:r>
      <w:r>
        <w:t xml:space="preserve"> in the sentence</w:t>
      </w:r>
      <w:r w:rsidR="327ADA42">
        <w:t xml:space="preserve"> will </w:t>
      </w:r>
      <w:r w:rsidR="10A8C080">
        <w:t>change</w:t>
      </w:r>
      <w:r w:rsidR="327ADA42">
        <w:t xml:space="preserve"> the meaning</w:t>
      </w:r>
      <w:r w:rsidR="00BC4DF1">
        <w:t>,</w:t>
      </w:r>
      <w:r>
        <w:t xml:space="preserve"> as it can mean either ‘hours’ or ‘o’clock’ depending on whe</w:t>
      </w:r>
      <w:r w:rsidR="00BC4DF1">
        <w:t>ther</w:t>
      </w:r>
      <w:r>
        <w:t xml:space="preserve"> </w:t>
      </w:r>
      <w:r w:rsidRPr="763C0C3E">
        <w:rPr>
          <w:rStyle w:val="Emphasis"/>
        </w:rPr>
        <w:t>jam</w:t>
      </w:r>
      <w:r>
        <w:t xml:space="preserve"> </w:t>
      </w:r>
      <w:r w:rsidR="21A0A295">
        <w:t>is located before or after the number.</w:t>
      </w:r>
    </w:p>
    <w:p w14:paraId="66FEEC82" w14:textId="5F98587F" w:rsidR="00B05F52" w:rsidRDefault="00B05F52" w:rsidP="00B05F52">
      <w:pPr>
        <w:pStyle w:val="Bullet"/>
      </w:pPr>
      <w:r w:rsidRPr="52A9866E">
        <w:rPr>
          <w:lang w:val="en"/>
        </w:rPr>
        <w:t xml:space="preserve">build vocabulary specific to the </w:t>
      </w:r>
      <w:r w:rsidR="000A4F5F" w:rsidRPr="52A9866E">
        <w:rPr>
          <w:lang w:val="en"/>
        </w:rPr>
        <w:t xml:space="preserve">students’ </w:t>
      </w:r>
      <w:r w:rsidRPr="52A9866E">
        <w:rPr>
          <w:lang w:val="en"/>
        </w:rPr>
        <w:t xml:space="preserve">personal world </w:t>
      </w:r>
      <w:r>
        <w:t>and their interactions with the language and culture as learners</w:t>
      </w:r>
      <w:r w:rsidR="00BC4DF1">
        <w:t>.</w:t>
      </w:r>
    </w:p>
    <w:p w14:paraId="510692EC" w14:textId="77777777" w:rsidR="00B05F52" w:rsidRDefault="00B05F52" w:rsidP="00B05F52">
      <w:pPr>
        <w:pStyle w:val="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043F4061" w14:textId="77777777" w:rsidR="00B05F52" w:rsidRPr="00C441B1" w:rsidRDefault="00B05F52" w:rsidP="00C441B1">
      <w:pPr>
        <w:pStyle w:val="Heading2"/>
      </w:pPr>
      <w:r w:rsidRPr="00C441B1">
        <w:t>What students did well</w:t>
      </w:r>
    </w:p>
    <w:p w14:paraId="09957826" w14:textId="53786B88" w:rsidR="00B05F52" w:rsidRPr="00BF3F79" w:rsidRDefault="00B05F52" w:rsidP="00B05F52">
      <w:pPr>
        <w:pStyle w:val="BodyText"/>
      </w:pPr>
      <w:r>
        <w:t xml:space="preserve">In the </w:t>
      </w:r>
      <w:r w:rsidR="000A4F5F">
        <w:t xml:space="preserve">2025 </w:t>
      </w:r>
      <w:r>
        <w:t>examination, students:</w:t>
      </w:r>
    </w:p>
    <w:p w14:paraId="1208583B" w14:textId="6F8F844D" w:rsidR="00B05F52" w:rsidRDefault="00B05F52" w:rsidP="00CD112F">
      <w:pPr>
        <w:pStyle w:val="Bullet"/>
      </w:pPr>
      <w:r>
        <w:t xml:space="preserve">clearly introduced the focus of their subtopic, alerting assessors to the image brought to support the discussion of the subtopic. </w:t>
      </w:r>
      <w:proofErr w:type="gramStart"/>
      <w:r w:rsidR="000A4F5F">
        <w:t>On the whole</w:t>
      </w:r>
      <w:proofErr w:type="gramEnd"/>
      <w:r w:rsidR="000A4F5F">
        <w:t xml:space="preserve">, the images </w:t>
      </w:r>
      <w:r>
        <w:t xml:space="preserve">were clear </w:t>
      </w:r>
      <w:r w:rsidR="000A4F5F">
        <w:t xml:space="preserve">and </w:t>
      </w:r>
      <w:r>
        <w:t xml:space="preserve">reflected the subtopic chosen. It </w:t>
      </w:r>
      <w:r w:rsidR="00E324CE">
        <w:t xml:space="preserve">was </w:t>
      </w:r>
      <w:r>
        <w:t xml:space="preserve">pleasing to see a wide range of interesting topics; many </w:t>
      </w:r>
      <w:r w:rsidR="2CAE7C1E">
        <w:t>sub</w:t>
      </w:r>
      <w:r>
        <w:t>topics were concentrated on products or practices</w:t>
      </w:r>
      <w:r w:rsidR="00FE4C6B">
        <w:t xml:space="preserve"> of Indonesian culture</w:t>
      </w:r>
      <w:r>
        <w:t xml:space="preserve">, such as </w:t>
      </w:r>
      <w:r w:rsidRPr="00CD112F">
        <w:t>VOB</w:t>
      </w:r>
      <w:r>
        <w:t xml:space="preserve"> (</w:t>
      </w:r>
      <w:r w:rsidR="00E324CE">
        <w:t xml:space="preserve">Voice </w:t>
      </w:r>
      <w:r>
        <w:t xml:space="preserve">of </w:t>
      </w:r>
      <w:proofErr w:type="spellStart"/>
      <w:r>
        <w:t>Baceprot</w:t>
      </w:r>
      <w:proofErr w:type="spellEnd"/>
      <w:r>
        <w:t xml:space="preserve">, a </w:t>
      </w:r>
      <w:r w:rsidR="000A4F5F">
        <w:t>heavy</w:t>
      </w:r>
      <w:r w:rsidR="00CB2850">
        <w:t>-</w:t>
      </w:r>
      <w:r w:rsidR="000A4F5F">
        <w:t xml:space="preserve">metal </w:t>
      </w:r>
      <w:r>
        <w:t xml:space="preserve">trio from Java) or </w:t>
      </w:r>
      <w:proofErr w:type="spellStart"/>
      <w:r w:rsidRPr="698AA897">
        <w:rPr>
          <w:rStyle w:val="Emphasis"/>
        </w:rPr>
        <w:t>Selamatan</w:t>
      </w:r>
      <w:proofErr w:type="spellEnd"/>
      <w:r>
        <w:t xml:space="preserve"> (thanksgiving ceremony).</w:t>
      </w:r>
    </w:p>
    <w:p w14:paraId="1E996F98" w14:textId="1DDA1385" w:rsidR="00B05F52" w:rsidRDefault="00B05F52" w:rsidP="00CD112F">
      <w:pPr>
        <w:pStyle w:val="Bullet"/>
      </w:pPr>
      <w:r>
        <w:t xml:space="preserve">engaged in a discussion </w:t>
      </w:r>
      <w:r w:rsidR="000257AF">
        <w:t>and responded to questions with a range of</w:t>
      </w:r>
      <w:r>
        <w:t xml:space="preserve"> information, ideas and opinions</w:t>
      </w:r>
      <w:r w:rsidR="00292D43">
        <w:t xml:space="preserve">. </w:t>
      </w:r>
      <w:r w:rsidR="0056116C">
        <w:t>Responses that scored highly</w:t>
      </w:r>
      <w:r>
        <w:t xml:space="preserve"> elaborate</w:t>
      </w:r>
      <w:r w:rsidR="0056116C">
        <w:t>d</w:t>
      </w:r>
      <w:r>
        <w:t xml:space="preserve"> on the information and</w:t>
      </w:r>
      <w:r w:rsidR="007E3FCB">
        <w:t>,</w:t>
      </w:r>
      <w:r>
        <w:t xml:space="preserve"> in some cases, defended their opinions and ideas. </w:t>
      </w:r>
      <w:r w:rsidR="0056116C">
        <w:t xml:space="preserve">These students </w:t>
      </w:r>
      <w:r>
        <w:t xml:space="preserve">listened to the questions asked and repeated the phrasing used to ensure they were answering the questions. </w:t>
      </w:r>
      <w:r w:rsidR="0056116C">
        <w:t>Students whose responses scored highly</w:t>
      </w:r>
      <w:r>
        <w:t xml:space="preserve"> tackled the questions with enthusiasm and confidence; their responses reflected deep knowledge of their subtopic, demonstrating sophisticated vocabulary and deep cultural understanding. </w:t>
      </w:r>
    </w:p>
    <w:p w14:paraId="5BE21CB2" w14:textId="39348484" w:rsidR="00B05F52" w:rsidRDefault="00B05F52" w:rsidP="00CD112F">
      <w:pPr>
        <w:pStyle w:val="Bullet"/>
      </w:pPr>
      <w:r w:rsidRPr="00CE44CC">
        <w:t>use</w:t>
      </w:r>
      <w:r>
        <w:t xml:space="preserve">d appropriate </w:t>
      </w:r>
      <w:r w:rsidRPr="00CE44CC">
        <w:t>grammar and sentence structures</w:t>
      </w:r>
      <w:r w:rsidR="00292D43">
        <w:t xml:space="preserve">. </w:t>
      </w:r>
      <w:r w:rsidR="00B21738">
        <w:t>Responses that scored highly included</w:t>
      </w:r>
      <w:r>
        <w:t xml:space="preserve"> a range of grammar and sentence structure</w:t>
      </w:r>
      <w:r w:rsidR="00E43AB6">
        <w:t>s</w:t>
      </w:r>
      <w:r>
        <w:t xml:space="preserve">. The addition of proverbs was appropriately used and showed in-depth understanding of the language. </w:t>
      </w:r>
    </w:p>
    <w:p w14:paraId="4CC4D9D9" w14:textId="38899C60" w:rsidR="00B05F52" w:rsidRDefault="00B05F52" w:rsidP="00CD112F">
      <w:pPr>
        <w:pStyle w:val="Bullet"/>
      </w:pPr>
      <w:r w:rsidRPr="00CE44CC">
        <w:t>use</w:t>
      </w:r>
      <w:r>
        <w:t>d</w:t>
      </w:r>
      <w:r w:rsidRPr="00CE44CC">
        <w:t xml:space="preserve"> </w:t>
      </w:r>
      <w:r>
        <w:t>appropriate</w:t>
      </w:r>
      <w:r w:rsidRPr="00CE44CC">
        <w:t xml:space="preserve"> expression, including pronunciation, intonation, stress and tempo</w:t>
      </w:r>
      <w:r w:rsidR="00292D43">
        <w:t xml:space="preserve">. </w:t>
      </w:r>
      <w:r>
        <w:t>In general, students spoke with correct pronunciation and they enunciated words clearly.</w:t>
      </w:r>
    </w:p>
    <w:p w14:paraId="3D06622B" w14:textId="56A73A84" w:rsidR="00C441B1" w:rsidRDefault="00C441B1" w:rsidP="00C441B1">
      <w:pPr>
        <w:pStyle w:val="Heading2"/>
      </w:pPr>
      <w:r>
        <w:t>Areas for improvemen</w:t>
      </w:r>
      <w:r w:rsidR="00C669CE">
        <w:t>t</w:t>
      </w:r>
    </w:p>
    <w:p w14:paraId="38F0F33F" w14:textId="77777777" w:rsidR="00C441B1" w:rsidRPr="00BF3F79" w:rsidRDefault="00C441B1" w:rsidP="00C441B1">
      <w:pPr>
        <w:pStyle w:val="BodyText"/>
      </w:pPr>
      <w:r>
        <w:t>In preparation for the examination, students could:</w:t>
      </w:r>
    </w:p>
    <w:p w14:paraId="2806F068" w14:textId="3A5D7413" w:rsidR="00C441B1" w:rsidRPr="007D42F8" w:rsidRDefault="00C441B1" w:rsidP="00CD112F">
      <w:pPr>
        <w:pStyle w:val="Bullet"/>
      </w:pPr>
      <w:r>
        <w:t xml:space="preserve">choose an appropriate subtopic to suit </w:t>
      </w:r>
      <w:r w:rsidR="007E3FCB">
        <w:t xml:space="preserve">their </w:t>
      </w:r>
      <w:r>
        <w:t>ability and interests and an image that supports discussion about the selected subtopic</w:t>
      </w:r>
      <w:r w:rsidR="0012245D">
        <w:t xml:space="preserve">. </w:t>
      </w:r>
      <w:r>
        <w:t>Students are encouraged to choose subtopics that they are interested in</w:t>
      </w:r>
      <w:r w:rsidR="00B21738">
        <w:t>, and</w:t>
      </w:r>
      <w:r>
        <w:t xml:space="preserve"> that are suitable </w:t>
      </w:r>
      <w:r w:rsidR="007E3FCB">
        <w:t xml:space="preserve">for </w:t>
      </w:r>
      <w:r>
        <w:t xml:space="preserve">their language ability. General subtopics are to be avoided as </w:t>
      </w:r>
      <w:r w:rsidR="00F45319">
        <w:t>they cover</w:t>
      </w:r>
      <w:r>
        <w:t xml:space="preserve"> too wide an area to fully understand. For example, instead of </w:t>
      </w:r>
      <w:proofErr w:type="spellStart"/>
      <w:r w:rsidRPr="698AA897">
        <w:rPr>
          <w:rStyle w:val="Emphasis"/>
        </w:rPr>
        <w:t>kebanjiran</w:t>
      </w:r>
      <w:proofErr w:type="spellEnd"/>
      <w:r w:rsidRPr="698AA897">
        <w:rPr>
          <w:rStyle w:val="Emphasis"/>
        </w:rPr>
        <w:t xml:space="preserve"> </w:t>
      </w:r>
      <w:r>
        <w:t>(floods</w:t>
      </w:r>
      <w:r w:rsidR="00206D26">
        <w:t>)</w:t>
      </w:r>
      <w:r>
        <w:t xml:space="preserve"> in Indonesia, it </w:t>
      </w:r>
      <w:r w:rsidR="00206D26">
        <w:lastRenderedPageBreak/>
        <w:t xml:space="preserve">would be </w:t>
      </w:r>
      <w:r>
        <w:t xml:space="preserve">better to </w:t>
      </w:r>
      <w:r w:rsidR="00B21738">
        <w:t>focus on a</w:t>
      </w:r>
      <w:r>
        <w:t xml:space="preserve"> specific case study and talk about the impacts of floods such as the Semarang floods in February 2021. This </w:t>
      </w:r>
      <w:r w:rsidR="00206D26">
        <w:t xml:space="preserve">would </w:t>
      </w:r>
      <w:r>
        <w:t xml:space="preserve">help </w:t>
      </w:r>
      <w:r w:rsidR="00B21738">
        <w:t>students</w:t>
      </w:r>
      <w:r>
        <w:t xml:space="preserve"> to focus on acquiring the vocabulary and grammar </w:t>
      </w:r>
      <w:r w:rsidR="00B21738">
        <w:t>required</w:t>
      </w:r>
      <w:r>
        <w:t xml:space="preserve"> to discuss</w:t>
      </w:r>
      <w:r w:rsidR="00844AF1">
        <w:t xml:space="preserve"> </w:t>
      </w:r>
      <w:r w:rsidR="00B21738">
        <w:t xml:space="preserve">specific details of the subtopic </w:t>
      </w:r>
      <w:r>
        <w:t xml:space="preserve">in depth and from various angles and perspectives. </w:t>
      </w:r>
    </w:p>
    <w:p w14:paraId="46ACE9EE" w14:textId="463DFA05" w:rsidR="00C441B1" w:rsidRDefault="00C441B1" w:rsidP="00CD112F">
      <w:pPr>
        <w:pStyle w:val="Bullet"/>
      </w:pPr>
      <w:r>
        <w:t>use the image to support the discussion on the subtopic</w:t>
      </w:r>
      <w:r w:rsidR="0012245D">
        <w:t xml:space="preserve">. </w:t>
      </w:r>
      <w:r>
        <w:t xml:space="preserve">Students need to be </w:t>
      </w:r>
      <w:r w:rsidR="00C9767A">
        <w:t>familiar with</w:t>
      </w:r>
      <w:r>
        <w:t xml:space="preserve"> the assessment criteria</w:t>
      </w:r>
      <w:r w:rsidR="00C9767A">
        <w:t>, in particular the point</w:t>
      </w:r>
      <w:r>
        <w:t xml:space="preserve"> that </w:t>
      </w:r>
      <w:r w:rsidR="00C9767A">
        <w:t>high-scoring responses</w:t>
      </w:r>
      <w:r>
        <w:t xml:space="preserve"> use the image </w:t>
      </w:r>
      <w:r w:rsidR="00C9767A">
        <w:t xml:space="preserve">skilfully </w:t>
      </w:r>
      <w:r>
        <w:t xml:space="preserve">to support the discussion. </w:t>
      </w:r>
      <w:r w:rsidR="00C9767A">
        <w:t>Students whose responses scored highly had</w:t>
      </w:r>
      <w:r>
        <w:t xml:space="preserve"> selected appropriate images that enabled them to refer to the image and explain </w:t>
      </w:r>
      <w:r w:rsidR="00C9767A">
        <w:t xml:space="preserve">its </w:t>
      </w:r>
      <w:r>
        <w:t xml:space="preserve">significance in their discussion. </w:t>
      </w:r>
    </w:p>
    <w:p w14:paraId="2B016D31" w14:textId="43AEC2C6" w:rsidR="00C441B1" w:rsidRDefault="00C441B1" w:rsidP="00CD112F">
      <w:pPr>
        <w:pStyle w:val="Bullet"/>
      </w:pPr>
      <w:r>
        <w:t>a</w:t>
      </w:r>
      <w:r w:rsidRPr="004A5A17">
        <w:t xml:space="preserve">void relying on pre-learned </w:t>
      </w:r>
      <w:r>
        <w:t>responses that do not address an assessor’s question</w:t>
      </w:r>
      <w:r w:rsidR="0012245D">
        <w:t xml:space="preserve">. </w:t>
      </w:r>
      <w:r>
        <w:t>Students need to listen carefully to the questions being asked. In their preparation, students should</w:t>
      </w:r>
      <w:r w:rsidR="005A794C">
        <w:t>:</w:t>
      </w:r>
    </w:p>
    <w:p w14:paraId="70C6B402" w14:textId="21785245" w:rsidR="00C441B1" w:rsidRDefault="005A794C" w:rsidP="00CD112F">
      <w:pPr>
        <w:pStyle w:val="Bulletlevel2"/>
      </w:pPr>
      <w:r>
        <w:t xml:space="preserve">be made aware </w:t>
      </w:r>
      <w:r w:rsidR="00C441B1">
        <w:t xml:space="preserve">of key questions that might be used by assessors, as shown on page 13 of the </w:t>
      </w:r>
      <w:r w:rsidR="00206D26">
        <w:t>s</w:t>
      </w:r>
      <w:r w:rsidR="00C441B1">
        <w:t xml:space="preserve">tudy </w:t>
      </w:r>
      <w:r w:rsidR="00206D26">
        <w:t>g</w:t>
      </w:r>
      <w:r w:rsidR="00C441B1">
        <w:t>uide</w:t>
      </w:r>
    </w:p>
    <w:p w14:paraId="11F4AE4F" w14:textId="4702CD1F" w:rsidR="00C441B1" w:rsidRDefault="005A794C" w:rsidP="00CD112F">
      <w:pPr>
        <w:pStyle w:val="Bulletlevel2"/>
      </w:pPr>
      <w:r>
        <w:t xml:space="preserve">understand </w:t>
      </w:r>
      <w:r w:rsidR="00C441B1">
        <w:t xml:space="preserve">that pre-learned responses should be unpacked to anticipate further questions </w:t>
      </w:r>
    </w:p>
    <w:p w14:paraId="72CFD0A8" w14:textId="2D0275F1" w:rsidR="00C441B1" w:rsidRDefault="00C441B1" w:rsidP="00CD112F">
      <w:pPr>
        <w:pStyle w:val="Bulletlevel2"/>
      </w:pPr>
      <w:r>
        <w:t xml:space="preserve">practise asking and answering questions to familiarise themselves with the subtopic and </w:t>
      </w:r>
      <w:r w:rsidR="005A794C">
        <w:t xml:space="preserve">identify </w:t>
      </w:r>
      <w:r>
        <w:t xml:space="preserve">different ways to ask questions and </w:t>
      </w:r>
      <w:r w:rsidR="005A794C">
        <w:t xml:space="preserve">how </w:t>
      </w:r>
      <w:r>
        <w:t>to provide ‘</w:t>
      </w:r>
      <w:r w:rsidR="005A794C">
        <w:t>natural’-</w:t>
      </w:r>
      <w:r>
        <w:t>sounding responses</w:t>
      </w:r>
    </w:p>
    <w:p w14:paraId="2984B392" w14:textId="27A2AE4F" w:rsidR="00C441B1" w:rsidRDefault="00C441B1" w:rsidP="00CD112F">
      <w:pPr>
        <w:pStyle w:val="Bulletlevel2"/>
      </w:pPr>
      <w:r>
        <w:t>strive to provide responses that show a range of vocabulary and grammar</w:t>
      </w:r>
      <w:r w:rsidR="005A794C">
        <w:t>,</w:t>
      </w:r>
      <w:r>
        <w:t xml:space="preserve"> as the use of sophisticated phrasing adds another layer of complexity that </w:t>
      </w:r>
      <w:r w:rsidR="00E812C6">
        <w:t>will be rewarded with higher scores</w:t>
      </w:r>
    </w:p>
    <w:p w14:paraId="62E9A94D" w14:textId="77777777" w:rsidR="00C441B1" w:rsidRDefault="00C441B1" w:rsidP="00CD112F">
      <w:pPr>
        <w:pStyle w:val="Bulletlevel2"/>
      </w:pPr>
      <w:r>
        <w:t>constantly work to achieve excellence by revising key phrases and key ideas, and avoiding repetition of ideas and/or phrases</w:t>
      </w:r>
    </w:p>
    <w:p w14:paraId="55283765" w14:textId="251CF3D4" w:rsidR="00C441B1" w:rsidRDefault="00C441B1" w:rsidP="00CD112F">
      <w:pPr>
        <w:pStyle w:val="Bullet"/>
      </w:pPr>
      <w:r>
        <w:t>revise grammar</w:t>
      </w:r>
      <w:r w:rsidR="0012245D">
        <w:t xml:space="preserve">. </w:t>
      </w:r>
      <w:r>
        <w:t xml:space="preserve">Students </w:t>
      </w:r>
      <w:r w:rsidR="005A794C">
        <w:t>should refer</w:t>
      </w:r>
      <w:r>
        <w:t xml:space="preserve"> to pages 13</w:t>
      </w:r>
      <w:r w:rsidR="005A794C">
        <w:t>–</w:t>
      </w:r>
      <w:r>
        <w:t xml:space="preserve">15 of the </w:t>
      </w:r>
      <w:r w:rsidR="0053643D">
        <w:t>s</w:t>
      </w:r>
      <w:r>
        <w:t xml:space="preserve">tudy </w:t>
      </w:r>
      <w:r w:rsidR="0053643D">
        <w:t>d</w:t>
      </w:r>
      <w:r w:rsidR="73B4A423">
        <w:t>esign</w:t>
      </w:r>
      <w:r>
        <w:t xml:space="preserve"> to view the various grammar points that could be included in their responses. Grammar revision is encouraged to avoid making gramma</w:t>
      </w:r>
      <w:r w:rsidR="005A794C">
        <w:t>tical</w:t>
      </w:r>
      <w:r>
        <w:t xml:space="preserve"> mistakes. Some of the more common areas include:</w:t>
      </w:r>
    </w:p>
    <w:p w14:paraId="02E20A7E" w14:textId="2721D323" w:rsidR="00C441B1" w:rsidRDefault="00C441B1" w:rsidP="00CD112F">
      <w:pPr>
        <w:pStyle w:val="Bulletlevel2"/>
      </w:pPr>
      <w:r>
        <w:t xml:space="preserve">avoiding colloquial vocabulary, such as </w:t>
      </w:r>
      <w:proofErr w:type="spellStart"/>
      <w:r w:rsidRPr="00E324CE">
        <w:rPr>
          <w:rStyle w:val="Emphasis"/>
        </w:rPr>
        <w:t>bikin</w:t>
      </w:r>
      <w:proofErr w:type="spellEnd"/>
      <w:r w:rsidRPr="00E324CE">
        <w:rPr>
          <w:rStyle w:val="Emphasis"/>
        </w:rPr>
        <w:t xml:space="preserve"> </w:t>
      </w:r>
      <w:r>
        <w:t>(to make),</w:t>
      </w:r>
      <w:r w:rsidR="0053643D">
        <w:t xml:space="preserve"> or using the informal</w:t>
      </w:r>
      <w:r>
        <w:t xml:space="preserve"> </w:t>
      </w:r>
      <w:proofErr w:type="spellStart"/>
      <w:r w:rsidRPr="00E324CE">
        <w:rPr>
          <w:rStyle w:val="Emphasis"/>
        </w:rPr>
        <w:t>nggak</w:t>
      </w:r>
      <w:proofErr w:type="spellEnd"/>
      <w:r w:rsidRPr="00E324CE">
        <w:rPr>
          <w:rStyle w:val="Emphasis"/>
        </w:rPr>
        <w:t xml:space="preserve"> </w:t>
      </w:r>
      <w:r>
        <w:t xml:space="preserve">instead of the standard </w:t>
      </w:r>
      <w:proofErr w:type="spellStart"/>
      <w:r w:rsidRPr="00E324CE">
        <w:rPr>
          <w:rStyle w:val="Emphasis"/>
        </w:rPr>
        <w:t>tidak</w:t>
      </w:r>
      <w:proofErr w:type="spellEnd"/>
      <w:r w:rsidRPr="00E324CE">
        <w:rPr>
          <w:rStyle w:val="Emphasis"/>
        </w:rPr>
        <w:t xml:space="preserve"> </w:t>
      </w:r>
      <w:r>
        <w:t>(no, not)</w:t>
      </w:r>
    </w:p>
    <w:p w14:paraId="34B92D5C" w14:textId="62C2D55E" w:rsidR="00C441B1" w:rsidRDefault="00C441B1" w:rsidP="00CD112F">
      <w:pPr>
        <w:pStyle w:val="Bulletlevel2"/>
      </w:pPr>
      <w:r>
        <w:t>us</w:t>
      </w:r>
      <w:r w:rsidR="00997622">
        <w:t>ing</w:t>
      </w:r>
      <w:r>
        <w:t xml:space="preserve"> the correct parts of speech; for example, </w:t>
      </w:r>
      <w:proofErr w:type="spellStart"/>
      <w:r w:rsidRPr="00E324CE">
        <w:rPr>
          <w:rStyle w:val="Emphasis"/>
        </w:rPr>
        <w:t>belajar</w:t>
      </w:r>
      <w:proofErr w:type="spellEnd"/>
      <w:r w:rsidRPr="00E324CE">
        <w:rPr>
          <w:rStyle w:val="Emphasis"/>
        </w:rPr>
        <w:t>/</w:t>
      </w:r>
      <w:proofErr w:type="spellStart"/>
      <w:r w:rsidRPr="00E324CE">
        <w:rPr>
          <w:rStyle w:val="Emphasis"/>
        </w:rPr>
        <w:t>mempelajari</w:t>
      </w:r>
      <w:proofErr w:type="spellEnd"/>
      <w:r w:rsidRPr="00E324CE">
        <w:rPr>
          <w:rStyle w:val="Emphasis"/>
        </w:rPr>
        <w:t>/</w:t>
      </w:r>
      <w:proofErr w:type="spellStart"/>
      <w:r w:rsidRPr="00E324CE">
        <w:rPr>
          <w:rStyle w:val="Emphasis"/>
        </w:rPr>
        <w:t>pelajari</w:t>
      </w:r>
      <w:proofErr w:type="spellEnd"/>
      <w:r>
        <w:t xml:space="preserve"> (</w:t>
      </w:r>
      <w:r w:rsidR="005A794C">
        <w:t>‘</w:t>
      </w:r>
      <w:r>
        <w:t>to study</w:t>
      </w:r>
      <w:r w:rsidR="005A794C">
        <w:t>’</w:t>
      </w:r>
      <w:r>
        <w:t xml:space="preserve"> in its various form</w:t>
      </w:r>
      <w:r w:rsidR="005A794C">
        <w:t>s</w:t>
      </w:r>
      <w:r>
        <w:t>)</w:t>
      </w:r>
    </w:p>
    <w:p w14:paraId="3F0DF4FF" w14:textId="2A93FE50" w:rsidR="00C441B1" w:rsidRDefault="00C441B1" w:rsidP="00CD112F">
      <w:pPr>
        <w:pStyle w:val="Bulletlevel2"/>
      </w:pPr>
      <w:r>
        <w:t>us</w:t>
      </w:r>
      <w:r w:rsidR="00997622">
        <w:t>ing</w:t>
      </w:r>
      <w:r>
        <w:t xml:space="preserve"> the correct term for ‘when’</w:t>
      </w:r>
      <w:r w:rsidR="003A7B5A">
        <w:t>: for example,</w:t>
      </w:r>
      <w:r>
        <w:t xml:space="preserve"> </w:t>
      </w:r>
      <w:proofErr w:type="spellStart"/>
      <w:r w:rsidRPr="00E324CE">
        <w:rPr>
          <w:rStyle w:val="Emphasis"/>
        </w:rPr>
        <w:t>waktu</w:t>
      </w:r>
      <w:proofErr w:type="spellEnd"/>
      <w:r w:rsidRPr="00E324CE">
        <w:rPr>
          <w:rStyle w:val="Emphasis"/>
        </w:rPr>
        <w:t>/</w:t>
      </w:r>
      <w:proofErr w:type="spellStart"/>
      <w:r w:rsidRPr="00E324CE">
        <w:rPr>
          <w:rStyle w:val="Emphasis"/>
        </w:rPr>
        <w:t>ketika</w:t>
      </w:r>
      <w:proofErr w:type="spellEnd"/>
      <w:r>
        <w:t xml:space="preserve"> and </w:t>
      </w:r>
      <w:proofErr w:type="spellStart"/>
      <w:r w:rsidRPr="00E324CE">
        <w:rPr>
          <w:rStyle w:val="Emphasis"/>
        </w:rPr>
        <w:t>kapan</w:t>
      </w:r>
      <w:proofErr w:type="spellEnd"/>
    </w:p>
    <w:p w14:paraId="157CAB90" w14:textId="548F48A7" w:rsidR="00C441B1" w:rsidRDefault="00C441B1" w:rsidP="00CD112F">
      <w:pPr>
        <w:pStyle w:val="Bulletlevel2"/>
      </w:pPr>
      <w:r>
        <w:t>us</w:t>
      </w:r>
      <w:r w:rsidR="00997622">
        <w:t>ing</w:t>
      </w:r>
      <w:r>
        <w:t xml:space="preserve"> the passive sentence structure</w:t>
      </w:r>
      <w:r w:rsidR="00997622">
        <w:t xml:space="preserve"> correctly</w:t>
      </w:r>
    </w:p>
    <w:p w14:paraId="39B0576C" w14:textId="35A9F576" w:rsidR="00C441B1" w:rsidRPr="00C441B1" w:rsidRDefault="00C441B1" w:rsidP="00CD112F">
      <w:pPr>
        <w:pStyle w:val="Bulletlevel2"/>
      </w:pPr>
      <w:r>
        <w:t>us</w:t>
      </w:r>
      <w:r w:rsidR="00997622">
        <w:t>ing</w:t>
      </w:r>
      <w:r>
        <w:t xml:space="preserve"> affixation</w:t>
      </w:r>
      <w:r w:rsidR="00997622">
        <w:t xml:space="preserve"> correctly</w:t>
      </w:r>
      <w:r>
        <w:t xml:space="preserve">, </w:t>
      </w:r>
      <w:r w:rsidR="0005074A">
        <w:t xml:space="preserve">including </w:t>
      </w:r>
      <w:r>
        <w:t>the prefix</w:t>
      </w:r>
      <w:r w:rsidR="0005074A">
        <w:t>es</w:t>
      </w:r>
      <w:r>
        <w:t xml:space="preserve"> </w:t>
      </w:r>
      <w:proofErr w:type="spellStart"/>
      <w:r w:rsidRPr="00E324CE">
        <w:rPr>
          <w:rStyle w:val="Emphasis"/>
        </w:rPr>
        <w:t>ber</w:t>
      </w:r>
      <w:proofErr w:type="spellEnd"/>
      <w:r w:rsidRPr="00E324CE">
        <w:rPr>
          <w:rStyle w:val="Emphasis"/>
        </w:rPr>
        <w:t>-</w:t>
      </w:r>
      <w:r>
        <w:t xml:space="preserve"> or </w:t>
      </w:r>
      <w:r w:rsidRPr="00E324CE">
        <w:rPr>
          <w:rStyle w:val="Emphasis"/>
        </w:rPr>
        <w:t>me-</w:t>
      </w:r>
      <w:r>
        <w:t xml:space="preserve"> and suffixes such as </w:t>
      </w:r>
      <w:r w:rsidR="00631496">
        <w:noBreakHyphen/>
      </w:r>
      <w:proofErr w:type="spellStart"/>
      <w:r w:rsidRPr="00E324CE">
        <w:rPr>
          <w:rStyle w:val="Emphasis"/>
        </w:rPr>
        <w:t>kan</w:t>
      </w:r>
      <w:proofErr w:type="spellEnd"/>
      <w:r w:rsidRPr="00E324CE">
        <w:rPr>
          <w:rStyle w:val="Emphasis"/>
        </w:rPr>
        <w:t xml:space="preserve"> </w:t>
      </w:r>
      <w:r w:rsidRPr="00F5353E">
        <w:t>and</w:t>
      </w:r>
      <w:r w:rsidRPr="00E324CE">
        <w:rPr>
          <w:rStyle w:val="Emphasis"/>
        </w:rPr>
        <w:t xml:space="preserve"> -</w:t>
      </w:r>
      <w:proofErr w:type="spellStart"/>
      <w:r w:rsidRPr="00E324CE">
        <w:rPr>
          <w:rStyle w:val="Emphasis"/>
        </w:rPr>
        <w:t>i</w:t>
      </w:r>
      <w:proofErr w:type="spellEnd"/>
    </w:p>
    <w:p w14:paraId="2B976676" w14:textId="543A7AF2" w:rsidR="002647BB" w:rsidRPr="00C441B1" w:rsidRDefault="00C441B1" w:rsidP="00CD112F">
      <w:pPr>
        <w:pStyle w:val="Bulletlevel2"/>
      </w:pPr>
      <w:r>
        <w:t>avoiding repetition of phrases</w:t>
      </w:r>
      <w:r w:rsidR="003A7B5A">
        <w:t>: for example,</w:t>
      </w:r>
      <w:r>
        <w:t xml:space="preserve"> </w:t>
      </w:r>
      <w:proofErr w:type="spellStart"/>
      <w:r w:rsidRPr="698AA897">
        <w:rPr>
          <w:rStyle w:val="Emphasis"/>
        </w:rPr>
        <w:t>pertanyaan</w:t>
      </w:r>
      <w:proofErr w:type="spellEnd"/>
      <w:r w:rsidRPr="698AA897">
        <w:rPr>
          <w:rStyle w:val="Emphasis"/>
        </w:rPr>
        <w:t xml:space="preserve"> yang </w:t>
      </w:r>
      <w:proofErr w:type="spellStart"/>
      <w:r w:rsidRPr="698AA897">
        <w:rPr>
          <w:rStyle w:val="Emphasis"/>
        </w:rPr>
        <w:t>bagus</w:t>
      </w:r>
      <w:proofErr w:type="spellEnd"/>
      <w:r w:rsidRPr="698AA897">
        <w:rPr>
          <w:rStyle w:val="Emphasis"/>
        </w:rPr>
        <w:t xml:space="preserve"> </w:t>
      </w:r>
      <w:r>
        <w:t>(a good question)</w:t>
      </w:r>
      <w:r w:rsidR="0047039D">
        <w:t>; an alternative could be rephrasing the question</w:t>
      </w:r>
      <w:r w:rsidR="009B12D9">
        <w:t>.</w:t>
      </w:r>
    </w:p>
    <w:sectPr w:rsidR="002647BB" w:rsidRPr="00C441B1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22A8D07" w:rsidR="00FD29D3" w:rsidRPr="002B0664" w:rsidRDefault="00C669CE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53E3E">
          <w:rPr>
            <w:color w:val="auto"/>
          </w:rPr>
          <w:t>2025 VCE Indonesian Second Language oral external assessment report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84FD3"/>
    <w:multiLevelType w:val="hybridMultilevel"/>
    <w:tmpl w:val="40B25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EBB2531"/>
    <w:multiLevelType w:val="hybridMultilevel"/>
    <w:tmpl w:val="0714D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52509"/>
    <w:multiLevelType w:val="hybridMultilevel"/>
    <w:tmpl w:val="2A985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BCA0C6C4"/>
    <w:lvl w:ilvl="0" w:tplc="D90E6E06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7"/>
  </w:num>
  <w:num w:numId="2" w16cid:durableId="1678000311">
    <w:abstractNumId w:val="15"/>
  </w:num>
  <w:num w:numId="3" w16cid:durableId="1018848057">
    <w:abstractNumId w:val="12"/>
  </w:num>
  <w:num w:numId="4" w16cid:durableId="1304190575">
    <w:abstractNumId w:val="10"/>
  </w:num>
  <w:num w:numId="5" w16cid:durableId="2057312338">
    <w:abstractNumId w:val="16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687488472">
    <w:abstractNumId w:val="14"/>
  </w:num>
  <w:num w:numId="17" w16cid:durableId="1111437396">
    <w:abstractNumId w:val="13"/>
  </w:num>
  <w:num w:numId="18" w16cid:durableId="5434422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57AF"/>
    <w:rsid w:val="0005074A"/>
    <w:rsid w:val="0005780E"/>
    <w:rsid w:val="00060ECB"/>
    <w:rsid w:val="00065CC6"/>
    <w:rsid w:val="000A4F5F"/>
    <w:rsid w:val="000A71F7"/>
    <w:rsid w:val="000D691C"/>
    <w:rsid w:val="000F09E4"/>
    <w:rsid w:val="000F16FD"/>
    <w:rsid w:val="000F5AAF"/>
    <w:rsid w:val="0012245D"/>
    <w:rsid w:val="00135EE8"/>
    <w:rsid w:val="00143520"/>
    <w:rsid w:val="00153AD2"/>
    <w:rsid w:val="00160515"/>
    <w:rsid w:val="001779EA"/>
    <w:rsid w:val="001D3246"/>
    <w:rsid w:val="00206D26"/>
    <w:rsid w:val="002279BA"/>
    <w:rsid w:val="002329F3"/>
    <w:rsid w:val="00243F0D"/>
    <w:rsid w:val="00260767"/>
    <w:rsid w:val="00260C0B"/>
    <w:rsid w:val="002647BB"/>
    <w:rsid w:val="002754C1"/>
    <w:rsid w:val="0028194B"/>
    <w:rsid w:val="002841C8"/>
    <w:rsid w:val="0028516B"/>
    <w:rsid w:val="00287FE4"/>
    <w:rsid w:val="00292D43"/>
    <w:rsid w:val="002B0664"/>
    <w:rsid w:val="002C6F90"/>
    <w:rsid w:val="002D7A9B"/>
    <w:rsid w:val="002E4FB5"/>
    <w:rsid w:val="00302FB8"/>
    <w:rsid w:val="00304EA1"/>
    <w:rsid w:val="00314D81"/>
    <w:rsid w:val="00322FC6"/>
    <w:rsid w:val="0033605A"/>
    <w:rsid w:val="003442BF"/>
    <w:rsid w:val="0035293F"/>
    <w:rsid w:val="00381C75"/>
    <w:rsid w:val="00391986"/>
    <w:rsid w:val="003A00B4"/>
    <w:rsid w:val="003A06B2"/>
    <w:rsid w:val="003A7B5A"/>
    <w:rsid w:val="003C5E71"/>
    <w:rsid w:val="00414675"/>
    <w:rsid w:val="00417AA3"/>
    <w:rsid w:val="00425DFE"/>
    <w:rsid w:val="00426BDF"/>
    <w:rsid w:val="00434EDB"/>
    <w:rsid w:val="00440B32"/>
    <w:rsid w:val="0046078D"/>
    <w:rsid w:val="0047039D"/>
    <w:rsid w:val="00495C80"/>
    <w:rsid w:val="004A2ED8"/>
    <w:rsid w:val="004B5BD9"/>
    <w:rsid w:val="004C2F8A"/>
    <w:rsid w:val="004F5BDA"/>
    <w:rsid w:val="0051631E"/>
    <w:rsid w:val="00531DDC"/>
    <w:rsid w:val="0053643D"/>
    <w:rsid w:val="00537A1F"/>
    <w:rsid w:val="0056116C"/>
    <w:rsid w:val="00566029"/>
    <w:rsid w:val="005923CB"/>
    <w:rsid w:val="005A0EFC"/>
    <w:rsid w:val="005A794C"/>
    <w:rsid w:val="005B391B"/>
    <w:rsid w:val="005D3D78"/>
    <w:rsid w:val="005E2EF0"/>
    <w:rsid w:val="005F4092"/>
    <w:rsid w:val="00625EDE"/>
    <w:rsid w:val="00631496"/>
    <w:rsid w:val="00634099"/>
    <w:rsid w:val="00653E3E"/>
    <w:rsid w:val="00670825"/>
    <w:rsid w:val="0068471E"/>
    <w:rsid w:val="00684F98"/>
    <w:rsid w:val="00693FFD"/>
    <w:rsid w:val="00697CAF"/>
    <w:rsid w:val="006D2159"/>
    <w:rsid w:val="006F787C"/>
    <w:rsid w:val="00702636"/>
    <w:rsid w:val="00724507"/>
    <w:rsid w:val="0075103A"/>
    <w:rsid w:val="00773E6C"/>
    <w:rsid w:val="00781FB1"/>
    <w:rsid w:val="007D1B6D"/>
    <w:rsid w:val="007E3FCB"/>
    <w:rsid w:val="007E600C"/>
    <w:rsid w:val="008043C9"/>
    <w:rsid w:val="00813C37"/>
    <w:rsid w:val="008154B5"/>
    <w:rsid w:val="00823962"/>
    <w:rsid w:val="00844AF1"/>
    <w:rsid w:val="00850410"/>
    <w:rsid w:val="00852719"/>
    <w:rsid w:val="00860115"/>
    <w:rsid w:val="00870A89"/>
    <w:rsid w:val="0088783C"/>
    <w:rsid w:val="009370BC"/>
    <w:rsid w:val="00970580"/>
    <w:rsid w:val="0098739B"/>
    <w:rsid w:val="00997622"/>
    <w:rsid w:val="009B12D9"/>
    <w:rsid w:val="009B61E5"/>
    <w:rsid w:val="009D1E89"/>
    <w:rsid w:val="009D630C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5F52"/>
    <w:rsid w:val="00B0738F"/>
    <w:rsid w:val="00B13D3B"/>
    <w:rsid w:val="00B21738"/>
    <w:rsid w:val="00B230DB"/>
    <w:rsid w:val="00B26601"/>
    <w:rsid w:val="00B34E81"/>
    <w:rsid w:val="00B37475"/>
    <w:rsid w:val="00B41951"/>
    <w:rsid w:val="00B53229"/>
    <w:rsid w:val="00B62480"/>
    <w:rsid w:val="00B652F9"/>
    <w:rsid w:val="00B81B70"/>
    <w:rsid w:val="00B81BDA"/>
    <w:rsid w:val="00BB3BAB"/>
    <w:rsid w:val="00BB6B47"/>
    <w:rsid w:val="00BC4DF1"/>
    <w:rsid w:val="00BD008D"/>
    <w:rsid w:val="00BD0724"/>
    <w:rsid w:val="00BD2B91"/>
    <w:rsid w:val="00BE5521"/>
    <w:rsid w:val="00BF6C23"/>
    <w:rsid w:val="00C22972"/>
    <w:rsid w:val="00C441B1"/>
    <w:rsid w:val="00C53263"/>
    <w:rsid w:val="00C669CE"/>
    <w:rsid w:val="00C73110"/>
    <w:rsid w:val="00C75F1D"/>
    <w:rsid w:val="00C82409"/>
    <w:rsid w:val="00C95156"/>
    <w:rsid w:val="00C9767A"/>
    <w:rsid w:val="00CA004D"/>
    <w:rsid w:val="00CA0DC2"/>
    <w:rsid w:val="00CB2850"/>
    <w:rsid w:val="00CB68E8"/>
    <w:rsid w:val="00CD112F"/>
    <w:rsid w:val="00D04F01"/>
    <w:rsid w:val="00D06414"/>
    <w:rsid w:val="00D2172F"/>
    <w:rsid w:val="00D24E5A"/>
    <w:rsid w:val="00D272BA"/>
    <w:rsid w:val="00D338E4"/>
    <w:rsid w:val="00D51947"/>
    <w:rsid w:val="00D532F0"/>
    <w:rsid w:val="00D56E0F"/>
    <w:rsid w:val="00D76E10"/>
    <w:rsid w:val="00D77413"/>
    <w:rsid w:val="00D82759"/>
    <w:rsid w:val="00D86DE4"/>
    <w:rsid w:val="00D917F8"/>
    <w:rsid w:val="00D94D35"/>
    <w:rsid w:val="00DE1909"/>
    <w:rsid w:val="00DE51DB"/>
    <w:rsid w:val="00E0601F"/>
    <w:rsid w:val="00E208DF"/>
    <w:rsid w:val="00E23F1D"/>
    <w:rsid w:val="00E30E05"/>
    <w:rsid w:val="00E324CE"/>
    <w:rsid w:val="00E36361"/>
    <w:rsid w:val="00E43AB6"/>
    <w:rsid w:val="00E55AE9"/>
    <w:rsid w:val="00E71100"/>
    <w:rsid w:val="00E7229D"/>
    <w:rsid w:val="00E812C6"/>
    <w:rsid w:val="00EB0C84"/>
    <w:rsid w:val="00F17FDE"/>
    <w:rsid w:val="00F40D53"/>
    <w:rsid w:val="00F4525C"/>
    <w:rsid w:val="00F45319"/>
    <w:rsid w:val="00F50D86"/>
    <w:rsid w:val="00F723D7"/>
    <w:rsid w:val="00FC50AA"/>
    <w:rsid w:val="00FD29D3"/>
    <w:rsid w:val="00FE3F0B"/>
    <w:rsid w:val="00FE4C6B"/>
    <w:rsid w:val="052C2D03"/>
    <w:rsid w:val="06736A42"/>
    <w:rsid w:val="09E34888"/>
    <w:rsid w:val="103E4DA5"/>
    <w:rsid w:val="107FB936"/>
    <w:rsid w:val="10A8C080"/>
    <w:rsid w:val="1DF81EC8"/>
    <w:rsid w:val="20D54F6F"/>
    <w:rsid w:val="21A0A295"/>
    <w:rsid w:val="21ED77C1"/>
    <w:rsid w:val="2C0A0A41"/>
    <w:rsid w:val="2CAE7C1E"/>
    <w:rsid w:val="2FA11102"/>
    <w:rsid w:val="321133D8"/>
    <w:rsid w:val="327ADA42"/>
    <w:rsid w:val="3A74928B"/>
    <w:rsid w:val="3FE35F4B"/>
    <w:rsid w:val="464D6423"/>
    <w:rsid w:val="478C9E61"/>
    <w:rsid w:val="4C19E63D"/>
    <w:rsid w:val="52A9866E"/>
    <w:rsid w:val="541E160B"/>
    <w:rsid w:val="58A4D7F6"/>
    <w:rsid w:val="63795AE4"/>
    <w:rsid w:val="63F4752F"/>
    <w:rsid w:val="68C89761"/>
    <w:rsid w:val="698AA897"/>
    <w:rsid w:val="6A2AFAD9"/>
    <w:rsid w:val="6B576A42"/>
    <w:rsid w:val="6C19BF38"/>
    <w:rsid w:val="6DAAD3FA"/>
    <w:rsid w:val="73B4A423"/>
    <w:rsid w:val="763C0C3E"/>
    <w:rsid w:val="79D77962"/>
    <w:rsid w:val="7B20C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35EE8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C441B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5F52"/>
    <w:rPr>
      <w:sz w:val="16"/>
      <w:szCs w:val="16"/>
    </w:rPr>
  </w:style>
  <w:style w:type="paragraph" w:styleId="Revision">
    <w:name w:val="Revision"/>
    <w:hidden/>
    <w:uiPriority w:val="99"/>
    <w:semiHidden/>
    <w:rsid w:val="00292D4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324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assessment/vce/examination-specifications-past-examinations-and-examination-reports/languages/indonesian-second-langu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curriculum/vce-curriculum/vce-study-designs/languages/indonesian-second-language/indonesian-second-langua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287FE4"/>
    <w:rsid w:val="00425F90"/>
    <w:rsid w:val="00426BDF"/>
    <w:rsid w:val="0075103A"/>
    <w:rsid w:val="007562D0"/>
    <w:rsid w:val="007E600C"/>
    <w:rsid w:val="008043C9"/>
    <w:rsid w:val="008719AC"/>
    <w:rsid w:val="009325D2"/>
    <w:rsid w:val="009743FA"/>
    <w:rsid w:val="009D630C"/>
    <w:rsid w:val="00DE44EF"/>
    <w:rsid w:val="00E0479A"/>
    <w:rsid w:val="00E71100"/>
    <w:rsid w:val="00EC6861"/>
    <w:rsid w:val="00F7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4EF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Props1.xml><?xml version="1.0" encoding="utf-8"?>
<ds:datastoreItem xmlns:ds="http://schemas.openxmlformats.org/officeDocument/2006/customXml" ds:itemID="{D36EBBE4-73DB-4B66-A004-4C9106392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5e91c720-40cf-4a29-a59b-798f72d42987"/>
    <ds:schemaRef ds:uri="e9ccb2cb-7aa8-4bc9-a094-f008dabcc21d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Indonesian Second Language oral external assessment report</vt:lpstr>
    </vt:vector>
  </TitlesOfParts>
  <Company>Victorian Curriculum and Assessment Authority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Indonesian Second Language oral external assessment report</dc:title>
  <dc:creator>Derek Tolan</dc:creator>
  <cp:lastModifiedBy>Lauren Carta</cp:lastModifiedBy>
  <cp:revision>2</cp:revision>
  <cp:lastPrinted>2026-01-19T07:03:00Z</cp:lastPrinted>
  <dcterms:created xsi:type="dcterms:W3CDTF">2026-01-19T07:09:00Z</dcterms:created>
  <dcterms:modified xsi:type="dcterms:W3CDTF">2026-01-19T07:09:00Z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