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CE10" w14:textId="00996318" w:rsidR="001603BB" w:rsidRDefault="006B7672" w:rsidP="006B7672">
      <w:pPr>
        <w:pStyle w:val="Title"/>
      </w:pPr>
      <w:r w:rsidRPr="006B7672">
        <w:t xml:space="preserve">VCE </w:t>
      </w:r>
      <w:r w:rsidR="00EA3C57" w:rsidRPr="006B7672">
        <w:t>Mathematical Methods</w:t>
      </w:r>
      <w:r w:rsidR="00E50E8D">
        <w:t xml:space="preserve"> </w:t>
      </w:r>
      <w:r w:rsidR="00E50E8D" w:rsidRPr="006B7672">
        <w:t>Frequently asked questions</w:t>
      </w:r>
    </w:p>
    <w:p w14:paraId="03067994" w14:textId="77777777" w:rsidR="004A4D7E" w:rsidRPr="00201401" w:rsidRDefault="004A4D7E" w:rsidP="00E50E8D">
      <w:pPr>
        <w:pStyle w:val="Heading4"/>
      </w:pPr>
      <w:r w:rsidRPr="00201401">
        <w:t>Where can I find support materials?</w:t>
      </w:r>
    </w:p>
    <w:p w14:paraId="10923139" w14:textId="75F45333" w:rsidR="004A4D7E" w:rsidRPr="00810442" w:rsidRDefault="004A4D7E" w:rsidP="00936DF6">
      <w:pPr>
        <w:pStyle w:val="BodyText"/>
      </w:pPr>
      <w:r w:rsidRPr="006A420B">
        <w:t>Support materials can be found on the</w:t>
      </w:r>
      <w:r>
        <w:rPr>
          <w:szCs w:val="20"/>
        </w:rPr>
        <w:t xml:space="preserve"> </w:t>
      </w:r>
      <w:hyperlink r:id="rId8" w:history="1">
        <w:r w:rsidR="00EA793D" w:rsidRPr="00EA793D">
          <w:rPr>
            <w:rStyle w:val="Hyperlink"/>
          </w:rPr>
          <w:t xml:space="preserve">VCE Mathematical Methods </w:t>
        </w:r>
        <w:r w:rsidR="00CB34C3">
          <w:rPr>
            <w:rStyle w:val="Hyperlink"/>
          </w:rPr>
          <w:t xml:space="preserve">study design </w:t>
        </w:r>
        <w:r w:rsidR="00EA793D" w:rsidRPr="00EA793D">
          <w:rPr>
            <w:rStyle w:val="Hyperlink"/>
          </w:rPr>
          <w:t>webpage</w:t>
        </w:r>
      </w:hyperlink>
      <w:r w:rsidR="00EA793D">
        <w:t>, which</w:t>
      </w:r>
      <w:r w:rsidRPr="006A420B">
        <w:t xml:space="preserve"> contains links to the study design</w:t>
      </w:r>
      <w:r w:rsidR="00810442">
        <w:t xml:space="preserve"> and teacher support material covering planning, teaching and learning, and assessment. </w:t>
      </w:r>
      <w:r w:rsidR="00CB34C3">
        <w:t>Material relating to assessment, including past examinations, is published</w:t>
      </w:r>
      <w:r w:rsidRPr="006A420B">
        <w:t xml:space="preserve"> </w:t>
      </w:r>
      <w:r w:rsidR="00201401" w:rsidRPr="006A420B">
        <w:t>on the</w:t>
      </w:r>
      <w:r w:rsidR="00201401">
        <w:rPr>
          <w:szCs w:val="20"/>
        </w:rPr>
        <w:t xml:space="preserve"> </w:t>
      </w:r>
      <w:hyperlink r:id="rId9" w:history="1">
        <w:r w:rsidR="00D578CB">
          <w:rPr>
            <w:rStyle w:val="Hyperlink"/>
            <w:szCs w:val="20"/>
          </w:rPr>
          <w:t>VCE Mathematical Methods examination specifications, past examinations and external assessment reports webpage</w:t>
        </w:r>
      </w:hyperlink>
      <w:r w:rsidR="00201401">
        <w:rPr>
          <w:szCs w:val="20"/>
        </w:rPr>
        <w:t>.</w:t>
      </w:r>
      <w:r w:rsidR="00D578CB">
        <w:rPr>
          <w:szCs w:val="20"/>
        </w:rPr>
        <w:t xml:space="preserve"> </w:t>
      </w:r>
      <w:r w:rsidR="00D578CB" w:rsidRPr="00D578CB">
        <w:rPr>
          <w:szCs w:val="20"/>
          <w:lang w:val="en-US"/>
        </w:rPr>
        <w:t xml:space="preserve">Past </w:t>
      </w:r>
      <w:hyperlink r:id="rId10" w:history="1">
        <w:r w:rsidR="00D578CB" w:rsidRPr="00D578CB">
          <w:rPr>
            <w:rStyle w:val="Hyperlink"/>
            <w:szCs w:val="20"/>
            <w:lang w:val="en-US"/>
          </w:rPr>
          <w:t>Northen Hemisphere Timetable examinations</w:t>
        </w:r>
      </w:hyperlink>
      <w:r w:rsidR="00D578CB" w:rsidRPr="00D578CB">
        <w:rPr>
          <w:szCs w:val="20"/>
          <w:lang w:val="en-US"/>
        </w:rPr>
        <w:t xml:space="preserve"> are also available on the VCAA website.</w:t>
      </w:r>
    </w:p>
    <w:p w14:paraId="53770005" w14:textId="14CD7CFA" w:rsidR="004A4D7E" w:rsidRPr="00C344DB" w:rsidRDefault="004A4D7E" w:rsidP="00E50E8D">
      <w:pPr>
        <w:pStyle w:val="Heading4"/>
      </w:pPr>
      <w:r w:rsidRPr="00C344DB">
        <w:t>What calculations and interpretations of central measures and measures of spread are required</w:t>
      </w:r>
      <w:r w:rsidR="00FA0A71" w:rsidRPr="00C344DB">
        <w:t xml:space="preserve"> </w:t>
      </w:r>
      <w:r w:rsidR="00EA4F58">
        <w:t xml:space="preserve">key </w:t>
      </w:r>
      <w:r w:rsidR="00FA0A71" w:rsidRPr="00C344DB">
        <w:t>knowledge</w:t>
      </w:r>
      <w:r w:rsidRPr="00C344DB">
        <w:t>?</w:t>
      </w:r>
    </w:p>
    <w:p w14:paraId="50E05387" w14:textId="6DD877A1" w:rsidR="007F167C" w:rsidRPr="00C344DB" w:rsidRDefault="007F167C" w:rsidP="00936DF6">
      <w:pPr>
        <w:pStyle w:val="BodyText"/>
      </w:pPr>
      <w:r w:rsidRPr="00C344DB">
        <w:t xml:space="preserve">The study design </w:t>
      </w:r>
      <w:r w:rsidR="007D0813">
        <w:t>explicitly identifies</w:t>
      </w:r>
      <w:r w:rsidRPr="00C344DB">
        <w:t xml:space="preserve"> the mean, variance and standard deviation for all probability distributions. Percentiles, quartiles, interquartile range, median and mode are not formally required as part of the current study design</w:t>
      </w:r>
      <w:r w:rsidR="00EA3D72">
        <w:t>;</w:t>
      </w:r>
      <w:r w:rsidRPr="00C344DB">
        <w:t xml:space="preserve"> however, they may emerge through exploration of the content under the area of study.</w:t>
      </w:r>
    </w:p>
    <w:p w14:paraId="788F7D4E" w14:textId="77777777" w:rsidR="004A4D7E" w:rsidRPr="00201401" w:rsidRDefault="004A4D7E" w:rsidP="00E50E8D">
      <w:pPr>
        <w:pStyle w:val="Heading4"/>
      </w:pPr>
      <w:r w:rsidRPr="00201401">
        <w:t>Do students need to know linear transformations for a probability distribution?</w:t>
      </w:r>
    </w:p>
    <w:p w14:paraId="797892B5" w14:textId="0587347D" w:rsidR="007F167C" w:rsidRPr="00EA4478" w:rsidRDefault="007F167C" w:rsidP="00936DF6">
      <w:pPr>
        <w:pStyle w:val="BodyText"/>
      </w:pPr>
      <w:r w:rsidRPr="004A655E">
        <w:t>Formal definition of linear transformation of a probability distribution is not required as part of the current study design. However, students should be aware of the effect of variation in the value(s) of parameter(s) used to define a probability distribution and properties of probability distributions and their graphs.</w:t>
      </w:r>
    </w:p>
    <w:p w14:paraId="2BE63890" w14:textId="77777777" w:rsidR="004A4D7E" w:rsidRPr="00201401" w:rsidRDefault="004A4D7E" w:rsidP="00E50E8D">
      <w:pPr>
        <w:pStyle w:val="Heading4"/>
      </w:pPr>
      <w:r w:rsidRPr="00201401">
        <w:t>How are students expected to find and interpret a non-stationary point of inflection?</w:t>
      </w:r>
    </w:p>
    <w:p w14:paraId="7D2D185B" w14:textId="24725A6B" w:rsidR="007F167C" w:rsidRDefault="007F167C" w:rsidP="00936DF6">
      <w:pPr>
        <w:pStyle w:val="BodyText"/>
      </w:pPr>
      <w:r>
        <w:t>Students are expected to identify a graphical feature and determine the location of a non-stationary point of inflection of the graph of a function. They may find this point using the second derivative, other methods or through the use of technology as appropriate. A point of inflection should be viewed in the context of a maximum rate of increase or decrease (local maximum or minimum gradient). Consideration of concavity is not required.</w:t>
      </w:r>
    </w:p>
    <w:p w14:paraId="7E08324E" w14:textId="77777777" w:rsidR="004A4D7E" w:rsidRPr="00201401" w:rsidRDefault="004A4D7E" w:rsidP="00E50E8D">
      <w:pPr>
        <w:pStyle w:val="Heading4"/>
      </w:pPr>
      <w:r w:rsidRPr="00201401">
        <w:t>Are students expected to find the angle between two straight lines?</w:t>
      </w:r>
    </w:p>
    <w:p w14:paraId="6BF498EA" w14:textId="2502AC6E" w:rsidR="004A4D7E" w:rsidRDefault="004A4D7E" w:rsidP="006A420B">
      <w:pPr>
        <w:pStyle w:val="BodyText"/>
      </w:pPr>
      <w:r w:rsidRPr="006A420B">
        <w:t xml:space="preserve">The angle of a straight line with the positive </w:t>
      </w:r>
      <w:r w:rsidRPr="00936DF6">
        <w:rPr>
          <w:rStyle w:val="Emphasis"/>
        </w:rPr>
        <w:t>x</w:t>
      </w:r>
      <w:r w:rsidRPr="006A420B">
        <w:rPr>
          <w:i/>
          <w:iCs/>
        </w:rPr>
        <w:t>-</w:t>
      </w:r>
      <w:r w:rsidRPr="006A420B">
        <w:t>axis, and therefore the angle between two straight lines, is an accepted application within the study design.</w:t>
      </w:r>
    </w:p>
    <w:p w14:paraId="219B453E" w14:textId="77777777" w:rsidR="004A4D7E" w:rsidRPr="00201401" w:rsidRDefault="004A4D7E" w:rsidP="00E50E8D">
      <w:pPr>
        <w:pStyle w:val="Heading4"/>
      </w:pPr>
      <w:r w:rsidRPr="00201401">
        <w:t>How should students describe transformations of a graph?</w:t>
      </w:r>
    </w:p>
    <w:p w14:paraId="717C5138" w14:textId="4B077E75" w:rsidR="007F167C" w:rsidRDefault="007F167C" w:rsidP="006A420B">
      <w:pPr>
        <w:pStyle w:val="BodyText"/>
        <w:rPr>
          <w:szCs w:val="20"/>
        </w:rPr>
      </w:pPr>
      <w:r>
        <w:rPr>
          <w:szCs w:val="20"/>
        </w:rPr>
        <w:t xml:space="preserve">Transformations in the plane should be described within the context of the plane and, to avoid ambiguity, dilations are a factor ‘parallel to an axis’ or ‘from an axis’, reflections ‘in an axis’ and translations of a </w:t>
      </w:r>
      <w:r>
        <w:rPr>
          <w:szCs w:val="20"/>
        </w:rPr>
        <w:lastRenderedPageBreak/>
        <w:t>magnitude ‘in the direction of an axis’. Matrix notation of transformations is not a requirement of the study design</w:t>
      </w:r>
      <w:r w:rsidR="005F325D">
        <w:rPr>
          <w:szCs w:val="20"/>
        </w:rPr>
        <w:t>;</w:t>
      </w:r>
      <w:r>
        <w:rPr>
          <w:szCs w:val="20"/>
        </w:rPr>
        <w:t xml:space="preserve"> however, matrices may be used to describe transformations.</w:t>
      </w:r>
    </w:p>
    <w:p w14:paraId="039BD7A3" w14:textId="4DD1D745" w:rsidR="004A4D7E" w:rsidRPr="00201401" w:rsidRDefault="004A4D7E" w:rsidP="00E50E8D">
      <w:pPr>
        <w:pStyle w:val="Heading4"/>
      </w:pPr>
      <w:r w:rsidRPr="00201401">
        <w:t xml:space="preserve">When is a function </w:t>
      </w:r>
      <w:r w:rsidR="007F167C">
        <w:t xml:space="preserve">considered to be </w:t>
      </w:r>
      <w:r w:rsidRPr="00201401">
        <w:t>strictly increasing or strictly decreasing over an interval?</w:t>
      </w:r>
    </w:p>
    <w:p w14:paraId="0CAC38B2" w14:textId="422F60EF" w:rsidR="004A4D7E" w:rsidRPr="006A420B" w:rsidRDefault="004A4D7E" w:rsidP="006A420B">
      <w:pPr>
        <w:pStyle w:val="BodyText"/>
      </w:pPr>
      <w:r w:rsidRPr="006A420B">
        <w:t>A function</w:t>
      </w:r>
      <w:r w:rsidR="005F325D">
        <w:t>,</w:t>
      </w:r>
      <w:r w:rsidRPr="006A420B">
        <w:rPr>
          <w:i/>
          <w:iCs/>
        </w:rPr>
        <w:t xml:space="preserve"> </w:t>
      </w:r>
      <w:r w:rsidRPr="00936DF6">
        <w:rPr>
          <w:rStyle w:val="Emphasis"/>
        </w:rPr>
        <w:t>f</w:t>
      </w:r>
      <w:r w:rsidR="005F325D">
        <w:t xml:space="preserve">, </w:t>
      </w:r>
      <w:r w:rsidRPr="006A420B">
        <w:t xml:space="preserve">is said to be strictly increasing over an interval when </w:t>
      </w:r>
      <w:r w:rsidRPr="00936DF6">
        <w:rPr>
          <w:rStyle w:val="Emphasis"/>
        </w:rPr>
        <w:t>a</w:t>
      </w:r>
      <w:r w:rsidRPr="006A420B">
        <w:t xml:space="preserve"> &lt; </w:t>
      </w:r>
      <w:r w:rsidRPr="00936DF6">
        <w:rPr>
          <w:rStyle w:val="Emphasis"/>
        </w:rPr>
        <w:t>b</w:t>
      </w:r>
      <w:r w:rsidRPr="006A420B">
        <w:t xml:space="preserve"> implies </w:t>
      </w:r>
      <w:r w:rsidRPr="00936DF6">
        <w:rPr>
          <w:rStyle w:val="Emphasis"/>
        </w:rPr>
        <w:t>f</w:t>
      </w:r>
      <w:r w:rsidRPr="006A420B">
        <w:t>(</w:t>
      </w:r>
      <w:r w:rsidRPr="00936DF6">
        <w:rPr>
          <w:rStyle w:val="Emphasis"/>
        </w:rPr>
        <w:t>a</w:t>
      </w:r>
      <w:r w:rsidR="005F325D" w:rsidRPr="006A420B">
        <w:t>)</w:t>
      </w:r>
      <w:r w:rsidR="005F325D">
        <w:t> </w:t>
      </w:r>
      <w:r w:rsidR="005F325D" w:rsidRPr="006A420B">
        <w:t>&lt;</w:t>
      </w:r>
      <w:r w:rsidR="005F325D">
        <w:t> </w:t>
      </w:r>
      <w:r w:rsidRPr="00936DF6">
        <w:rPr>
          <w:rStyle w:val="Emphasis"/>
        </w:rPr>
        <w:t>f</w:t>
      </w:r>
      <w:r w:rsidRPr="006A420B">
        <w:t>(</w:t>
      </w:r>
      <w:r w:rsidRPr="00936DF6">
        <w:rPr>
          <w:rStyle w:val="Emphasis"/>
        </w:rPr>
        <w:t>b</w:t>
      </w:r>
      <w:r w:rsidRPr="006A420B">
        <w:t xml:space="preserve">) for all </w:t>
      </w:r>
      <w:r w:rsidRPr="00936DF6">
        <w:rPr>
          <w:rStyle w:val="Emphasis"/>
        </w:rPr>
        <w:t>a</w:t>
      </w:r>
      <w:r w:rsidRPr="006A420B">
        <w:t xml:space="preserve"> and </w:t>
      </w:r>
      <w:r w:rsidRPr="00936DF6">
        <w:rPr>
          <w:rStyle w:val="Emphasis"/>
        </w:rPr>
        <w:t>b</w:t>
      </w:r>
      <w:r w:rsidRPr="006A420B">
        <w:t xml:space="preserve"> in that interval. Similarly, a function</w:t>
      </w:r>
      <w:r w:rsidR="005F325D">
        <w:t>,</w:t>
      </w:r>
      <w:r w:rsidRPr="006A420B">
        <w:t xml:space="preserve"> </w:t>
      </w:r>
      <w:r w:rsidRPr="006A420B">
        <w:rPr>
          <w:i/>
          <w:iCs/>
        </w:rPr>
        <w:t>f</w:t>
      </w:r>
      <w:r w:rsidR="005F325D">
        <w:t xml:space="preserve">, </w:t>
      </w:r>
      <w:r w:rsidRPr="006A420B">
        <w:t xml:space="preserve">is said to be strictly decreasing over an interval when </w:t>
      </w:r>
      <w:r w:rsidRPr="00936DF6">
        <w:rPr>
          <w:rStyle w:val="Emphasis"/>
        </w:rPr>
        <w:t>a</w:t>
      </w:r>
      <w:r w:rsidRPr="006A420B">
        <w:rPr>
          <w:i/>
          <w:iCs/>
        </w:rPr>
        <w:t xml:space="preserve"> </w:t>
      </w:r>
      <w:r w:rsidRPr="006A420B">
        <w:t xml:space="preserve">&lt; </w:t>
      </w:r>
      <w:r w:rsidRPr="00936DF6">
        <w:rPr>
          <w:rStyle w:val="Emphasis"/>
        </w:rPr>
        <w:t>b</w:t>
      </w:r>
      <w:r w:rsidRPr="006A420B">
        <w:t xml:space="preserve"> implies </w:t>
      </w:r>
      <w:r w:rsidRPr="00936DF6">
        <w:rPr>
          <w:rStyle w:val="Emphasis"/>
        </w:rPr>
        <w:t>f</w:t>
      </w:r>
      <w:r w:rsidRPr="006A420B">
        <w:t>(</w:t>
      </w:r>
      <w:r w:rsidRPr="00936DF6">
        <w:rPr>
          <w:rStyle w:val="Emphasis"/>
        </w:rPr>
        <w:t>a</w:t>
      </w:r>
      <w:r w:rsidR="005F325D" w:rsidRPr="006A420B">
        <w:t>)</w:t>
      </w:r>
      <w:r w:rsidR="005F325D">
        <w:t> </w:t>
      </w:r>
      <w:r w:rsidR="005F325D" w:rsidRPr="006A420B">
        <w:t>&gt;</w:t>
      </w:r>
      <w:r w:rsidR="005F325D">
        <w:t> </w:t>
      </w:r>
      <w:r w:rsidRPr="00936DF6">
        <w:rPr>
          <w:rStyle w:val="Emphasis"/>
        </w:rPr>
        <w:t>f</w:t>
      </w:r>
      <w:r w:rsidRPr="006A420B">
        <w:t>(</w:t>
      </w:r>
      <w:r w:rsidRPr="00936DF6">
        <w:rPr>
          <w:rStyle w:val="Emphasis"/>
        </w:rPr>
        <w:t>b</w:t>
      </w:r>
      <w:r w:rsidRPr="006A420B">
        <w:t xml:space="preserve">) for all </w:t>
      </w:r>
      <w:r w:rsidRPr="00936DF6">
        <w:rPr>
          <w:rStyle w:val="Emphasis"/>
        </w:rPr>
        <w:t>a</w:t>
      </w:r>
      <w:r w:rsidRPr="006A420B">
        <w:t xml:space="preserve"> and </w:t>
      </w:r>
      <w:r w:rsidRPr="00936DF6">
        <w:rPr>
          <w:rStyle w:val="Emphasis"/>
        </w:rPr>
        <w:t>b</w:t>
      </w:r>
      <w:r w:rsidRPr="006A420B">
        <w:t xml:space="preserve"> in that interval.</w:t>
      </w:r>
    </w:p>
    <w:p w14:paraId="342F8C39" w14:textId="77777777" w:rsidR="004A4D7E" w:rsidRPr="00201401" w:rsidRDefault="004A4D7E" w:rsidP="00E50E8D">
      <w:pPr>
        <w:pStyle w:val="Heading4"/>
      </w:pPr>
      <w:r w:rsidRPr="00201401">
        <w:t>Are students expected to be familiar with the term ‘smooth’ to describe differentiability at a point?</w:t>
      </w:r>
    </w:p>
    <w:p w14:paraId="503328BB" w14:textId="48363581" w:rsidR="007F167C" w:rsidRDefault="005F325D" w:rsidP="00936DF6">
      <w:pPr>
        <w:pStyle w:val="BodyText"/>
      </w:pPr>
      <w:r>
        <w:t xml:space="preserve">VCE Mathematical Methods </w:t>
      </w:r>
      <w:r w:rsidR="007F167C">
        <w:t xml:space="preserve">Unit 1 requires students to be familiar with an informal consideration of continuity and smoothness. Therefore, students should be familiar with, yet guided through, the consideration of the continuity and differentiability for functions </w:t>
      </w:r>
      <w:r>
        <w:t>(</w:t>
      </w:r>
      <w:r w:rsidR="007F167C">
        <w:t>for example, a piece-wise function at its sub</w:t>
      </w:r>
      <w:r>
        <w:noBreakHyphen/>
      </w:r>
      <w:r w:rsidR="007F167C">
        <w:t>function partition value/s</w:t>
      </w:r>
      <w:r>
        <w:t>)</w:t>
      </w:r>
      <w:r w:rsidR="007F167C">
        <w:t>.</w:t>
      </w:r>
    </w:p>
    <w:p w14:paraId="47F8BF9C" w14:textId="77777777" w:rsidR="004A4D7E" w:rsidRPr="00201401" w:rsidRDefault="004A4D7E" w:rsidP="00E50E8D">
      <w:pPr>
        <w:pStyle w:val="Heading4"/>
      </w:pPr>
      <w:r w:rsidRPr="00201401">
        <w:t>Is there a specific method prescribed for polynomial division?</w:t>
      </w:r>
    </w:p>
    <w:p w14:paraId="1B670008" w14:textId="0006B670" w:rsidR="007F167C" w:rsidRDefault="007F167C" w:rsidP="00936DF6">
      <w:pPr>
        <w:pStyle w:val="BodyText"/>
      </w:pPr>
      <w:r>
        <w:t xml:space="preserve">No, there is no specified method. Students should be familiar with the expression of a polynomial, </w:t>
      </w:r>
      <w:r w:rsidRPr="00936DF6">
        <w:rPr>
          <w:rStyle w:val="Emphasis"/>
        </w:rPr>
        <w:t>p</w:t>
      </w:r>
      <w:r>
        <w:t>(</w:t>
      </w:r>
      <w:r w:rsidRPr="00936DF6">
        <w:rPr>
          <w:rStyle w:val="Emphasis"/>
        </w:rPr>
        <w:t>x</w:t>
      </w:r>
      <w:r>
        <w:t>) with integer coefficients, that may be written in the form (</w:t>
      </w:r>
      <w:r w:rsidRPr="00936DF6">
        <w:rPr>
          <w:rStyle w:val="Emphasis"/>
        </w:rPr>
        <w:t>x</w:t>
      </w:r>
      <w:r>
        <w:t xml:space="preserve"> </w:t>
      </w:r>
      <w:r w:rsidR="000055E8">
        <w:t>−</w:t>
      </w:r>
      <w:r>
        <w:t xml:space="preserve"> </w:t>
      </w:r>
      <w:r w:rsidRPr="00936DF6">
        <w:rPr>
          <w:rStyle w:val="Emphasis"/>
        </w:rPr>
        <w:t>a</w:t>
      </w:r>
      <w:r>
        <w:t>)</w:t>
      </w:r>
      <w:r w:rsidRPr="00936DF6">
        <w:rPr>
          <w:rStyle w:val="Emphasis"/>
        </w:rPr>
        <w:t>q</w:t>
      </w:r>
      <w:r>
        <w:t>(</w:t>
      </w:r>
      <w:r w:rsidRPr="00936DF6">
        <w:rPr>
          <w:rStyle w:val="Emphasis"/>
        </w:rPr>
        <w:t>x</w:t>
      </w:r>
      <w:r>
        <w:t xml:space="preserve">) + </w:t>
      </w:r>
      <w:r w:rsidRPr="00936DF6">
        <w:rPr>
          <w:rStyle w:val="Emphasis"/>
        </w:rPr>
        <w:t>r</w:t>
      </w:r>
      <w:r>
        <w:t xml:space="preserve"> and determine </w:t>
      </w:r>
      <w:r w:rsidRPr="00936DF6">
        <w:rPr>
          <w:rStyle w:val="Emphasis"/>
        </w:rPr>
        <w:t>p</w:t>
      </w:r>
      <w:r>
        <w:t>(</w:t>
      </w:r>
      <w:r w:rsidRPr="00936DF6">
        <w:rPr>
          <w:rStyle w:val="Emphasis"/>
        </w:rPr>
        <w:t>x</w:t>
      </w:r>
      <w:r>
        <w:t>)/(</w:t>
      </w:r>
      <w:r w:rsidRPr="00936DF6">
        <w:rPr>
          <w:rStyle w:val="Emphasis"/>
        </w:rPr>
        <w:t>x</w:t>
      </w:r>
      <w:r w:rsidR="000055E8">
        <w:rPr>
          <w:rStyle w:val="Emphasis"/>
        </w:rPr>
        <w:t xml:space="preserve"> − </w:t>
      </w:r>
      <w:r w:rsidRPr="00936DF6">
        <w:rPr>
          <w:rStyle w:val="Emphasis"/>
        </w:rPr>
        <w:t>a</w:t>
      </w:r>
      <w:r>
        <w:t>) by hand.</w:t>
      </w:r>
    </w:p>
    <w:p w14:paraId="19BEBED5" w14:textId="6D4D9D0B" w:rsidR="004A4D7E" w:rsidRPr="00201401" w:rsidRDefault="004A4D7E" w:rsidP="00E50E8D">
      <w:pPr>
        <w:pStyle w:val="Heading4"/>
      </w:pPr>
      <w:r w:rsidRPr="00201401">
        <w:t>Do students need to know about odd, even and absolute value functions?</w:t>
      </w:r>
    </w:p>
    <w:p w14:paraId="0271D5F3" w14:textId="61C32296" w:rsidR="007F167C" w:rsidRPr="00936DF6" w:rsidRDefault="007F167C" w:rsidP="00936DF6">
      <w:pPr>
        <w:pStyle w:val="BodyText"/>
      </w:pPr>
      <w:r>
        <w:t xml:space="preserve">Absolute value functions are not part of the study design. Prescribing functions as odd or even </w:t>
      </w:r>
      <w:r w:rsidR="008734EA">
        <w:t>is</w:t>
      </w:r>
      <w:r>
        <w:t xml:space="preserve"> not explicitly identified within the study design</w:t>
      </w:r>
      <w:r w:rsidR="00ED62F2">
        <w:t>;</w:t>
      </w:r>
      <w:r>
        <w:t xml:space="preserve"> however, their properties may be explored as an </w:t>
      </w:r>
      <w:r w:rsidRPr="008D5F23">
        <w:t>application of transformations in the plane</w:t>
      </w:r>
      <w:r w:rsidRPr="00986212">
        <w:t>.</w:t>
      </w:r>
      <w:r w:rsidRPr="00936DF6">
        <w:t xml:space="preserve"> </w:t>
      </w:r>
    </w:p>
    <w:p w14:paraId="5F3F0E6D" w14:textId="77777777" w:rsidR="004A4D7E" w:rsidRPr="00201401" w:rsidRDefault="004A4D7E" w:rsidP="00E50E8D">
      <w:pPr>
        <w:pStyle w:val="Heading4"/>
      </w:pPr>
      <w:r w:rsidRPr="00201401">
        <w:t>What are the necessary components for students to include when determining the rule and domain of an inverse function?</w:t>
      </w:r>
    </w:p>
    <w:p w14:paraId="2F82F8B9" w14:textId="5574DE3D" w:rsidR="007F167C" w:rsidRDefault="007F167C" w:rsidP="00936DF6">
      <w:pPr>
        <w:pStyle w:val="BodyText"/>
      </w:pPr>
      <w:r>
        <w:t xml:space="preserve">To find the inverse of function </w:t>
      </w:r>
      <w:r w:rsidRPr="00936DF6">
        <w:rPr>
          <w:rStyle w:val="Emphasis"/>
        </w:rPr>
        <w:t>f</w:t>
      </w:r>
      <w:r>
        <w:t xml:space="preserve">, a valid algebraic process should be shown to determine the rule of </w:t>
      </w:r>
      <w:r w:rsidRPr="00936DF6">
        <w:rPr>
          <w:rStyle w:val="Emphasis"/>
        </w:rPr>
        <w:t>f</w:t>
      </w:r>
      <w:r w:rsidR="003A7E81">
        <w:rPr>
          <w:rStyle w:val="Emphasis"/>
        </w:rPr>
        <w:t xml:space="preserve"> </w:t>
      </w:r>
      <w:r w:rsidRPr="00936DF6">
        <w:rPr>
          <w:rStyle w:val="Superscript"/>
        </w:rPr>
        <w:sym w:font="Symbol" w:char="F02D"/>
      </w:r>
      <w:r w:rsidRPr="00936DF6">
        <w:rPr>
          <w:rStyle w:val="Superscript"/>
        </w:rPr>
        <w:t>1</w:t>
      </w:r>
      <w:r>
        <w:t xml:space="preserve">. The rule should be written as </w:t>
      </w:r>
      <w:r w:rsidRPr="00936DF6">
        <w:rPr>
          <w:rStyle w:val="Emphasis"/>
        </w:rPr>
        <w:t>f</w:t>
      </w:r>
      <w:r w:rsidR="003A7E81">
        <w:rPr>
          <w:rStyle w:val="Emphasis"/>
        </w:rPr>
        <w:t xml:space="preserve"> </w:t>
      </w:r>
      <w:r w:rsidRPr="00936DF6">
        <w:rPr>
          <w:rStyle w:val="Superscript"/>
        </w:rPr>
        <w:sym w:font="Symbol" w:char="F02D"/>
      </w:r>
      <w:r w:rsidRPr="00936DF6">
        <w:rPr>
          <w:rStyle w:val="Superscript"/>
        </w:rPr>
        <w:t>1</w:t>
      </w:r>
      <w:r>
        <w:t xml:space="preserve"> and the domain and range of </w:t>
      </w:r>
      <w:r w:rsidRPr="00936DF6">
        <w:rPr>
          <w:rStyle w:val="Emphasis"/>
        </w:rPr>
        <w:t>f</w:t>
      </w:r>
      <w:r w:rsidR="003A7E81">
        <w:rPr>
          <w:rStyle w:val="Emphasis"/>
        </w:rPr>
        <w:t xml:space="preserve"> </w:t>
      </w:r>
      <w:r w:rsidRPr="00936DF6">
        <w:rPr>
          <w:rStyle w:val="Superscript"/>
        </w:rPr>
        <w:sym w:font="Symbol" w:char="F02D"/>
      </w:r>
      <w:r w:rsidRPr="00936DF6">
        <w:rPr>
          <w:rStyle w:val="Superscript"/>
        </w:rPr>
        <w:t>1</w:t>
      </w:r>
      <w:r>
        <w:t xml:space="preserve"> stated accurately when required. Students are also required from Unit 1</w:t>
      </w:r>
      <w:r w:rsidR="00BE4BEA">
        <w:t xml:space="preserve"> onwards</w:t>
      </w:r>
      <w:r>
        <w:t xml:space="preserve"> to be able to sketch the graph of the inverse function of a one-to-one function given its graph.</w:t>
      </w:r>
    </w:p>
    <w:p w14:paraId="06839333" w14:textId="507622C9" w:rsidR="004A4D7E" w:rsidRPr="00201401" w:rsidRDefault="004A4D7E" w:rsidP="00E50E8D">
      <w:pPr>
        <w:pStyle w:val="Heading4"/>
      </w:pPr>
      <w:r w:rsidRPr="00201401">
        <w:t xml:space="preserve">Is </w:t>
      </w:r>
      <w:r w:rsidR="00354400">
        <w:t>k</w:t>
      </w:r>
      <w:r w:rsidRPr="00201401">
        <w:t xml:space="preserve">inematics </w:t>
      </w:r>
      <w:r w:rsidR="00354400">
        <w:t>a</w:t>
      </w:r>
      <w:r w:rsidRPr="00201401">
        <w:t xml:space="preserve"> required part of the study design?</w:t>
      </w:r>
    </w:p>
    <w:p w14:paraId="4A431B47" w14:textId="40E8C512" w:rsidR="007F167C" w:rsidRPr="000E159C" w:rsidRDefault="007F167C" w:rsidP="00936DF6">
      <w:pPr>
        <w:pStyle w:val="BodyText"/>
      </w:pPr>
      <w:r>
        <w:t xml:space="preserve">The analysis of motion graphs, as a context and application of differentiation, is </w:t>
      </w:r>
      <w:r w:rsidR="00BE4BEA">
        <w:t>i</w:t>
      </w:r>
      <w:r>
        <w:t xml:space="preserve">n the study design for </w:t>
      </w:r>
      <w:r w:rsidR="00BE4BEA">
        <w:t xml:space="preserve">VCE Mathematical Methods </w:t>
      </w:r>
      <w:r>
        <w:t xml:space="preserve">Unit 1 and therefore is part of the assumed knowledge for Units 3 </w:t>
      </w:r>
      <w:r w:rsidR="00BE4BEA">
        <w:t>and</w:t>
      </w:r>
      <w:r>
        <w:t xml:space="preserve"> 4</w:t>
      </w:r>
      <w:r w:rsidR="00BE4BEA">
        <w:t>.</w:t>
      </w:r>
    </w:p>
    <w:p w14:paraId="5262908E" w14:textId="343E0498" w:rsidR="007F167C" w:rsidRPr="000E159C" w:rsidRDefault="007F167C" w:rsidP="00E50E8D">
      <w:pPr>
        <w:pStyle w:val="Heading4"/>
      </w:pPr>
      <w:r w:rsidRPr="000E159C">
        <w:t>Can students use CAS syntax to demonstrate appropriate working in school-based and external assessment tasks?</w:t>
      </w:r>
    </w:p>
    <w:p w14:paraId="2A508B0D" w14:textId="3BBEF143" w:rsidR="007F167C" w:rsidRDefault="007F167C" w:rsidP="00936DF6">
      <w:pPr>
        <w:pStyle w:val="BodyText"/>
      </w:pPr>
      <w:r>
        <w:t xml:space="preserve">No. Students should use conventional mathematical notation in developing their responses. It should also be noted that the various calculators have different syntax and therefore </w:t>
      </w:r>
      <w:r w:rsidR="008734EA">
        <w:t xml:space="preserve">CAS syntax </w:t>
      </w:r>
      <w:r>
        <w:t>is not considered to be standard.</w:t>
      </w:r>
      <w:r w:rsidR="008734EA">
        <w:t xml:space="preserve"> </w:t>
      </w:r>
    </w:p>
    <w:p w14:paraId="14BB4793" w14:textId="77777777" w:rsidR="00176BA3" w:rsidRPr="0058084B" w:rsidRDefault="00176BA3" w:rsidP="00E50E8D">
      <w:pPr>
        <w:pStyle w:val="Heading4"/>
      </w:pPr>
      <w:r w:rsidRPr="00BD4BF3">
        <w:lastRenderedPageBreak/>
        <w:t>What alternative notations can be used for the derivative?</w:t>
      </w:r>
    </w:p>
    <w:p w14:paraId="6FB580DB" w14:textId="77777777" w:rsidR="00176BA3" w:rsidRPr="008F04E0" w:rsidRDefault="00176BA3" w:rsidP="00176BA3">
      <w:pPr>
        <w:pStyle w:val="BodyText"/>
      </w:pPr>
      <w:r>
        <w:t xml:space="preserve">Students should be familiar with </w:t>
      </w:r>
      <w:r w:rsidR="009C4BDD" w:rsidRPr="00E56A8C">
        <w:rPr>
          <w:noProof/>
          <w:position w:val="-22"/>
        </w:rPr>
        <w:object w:dxaOrig="320" w:dyaOrig="580" w14:anchorId="5DBD9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6pt;height:29.6pt;mso-width-percent:0;mso-height-percent:0;mso-width-percent:0;mso-height-percent:0" o:ole="">
            <v:imagedata r:id="rId11" o:title=""/>
          </v:shape>
          <o:OLEObject Type="Embed" ProgID="Equation.DSMT4" ShapeID="_x0000_i1026" DrawAspect="Content" ObjectID="_1833712012" r:id="rId12"/>
        </w:object>
      </w:r>
      <w:r>
        <w:t xml:space="preserve"> and </w:t>
      </w:r>
      <w:r w:rsidR="009C4BDD" w:rsidRPr="00E56A8C">
        <w:rPr>
          <w:noProof/>
          <w:position w:val="-10"/>
        </w:rPr>
        <w:object w:dxaOrig="540" w:dyaOrig="300" w14:anchorId="1C293782">
          <v:shape id="_x0000_i1025" type="#_x0000_t75" alt="" style="width:27.2pt;height:15.2pt;mso-width-percent:0;mso-height-percent:0;mso-width-percent:0;mso-height-percent:0" o:ole="">
            <v:imagedata r:id="rId13" o:title=""/>
          </v:shape>
          <o:OLEObject Type="Embed" ProgID="Equation.DSMT4" ShapeID="_x0000_i1025" DrawAspect="Content" ObjectID="_1833712013" r:id="rId14"/>
        </w:object>
      </w:r>
      <w:r>
        <w:t xml:space="preserve"> notations. They may also use other conventional notation within their working.</w:t>
      </w:r>
    </w:p>
    <w:p w14:paraId="061F8B11" w14:textId="03324A2B" w:rsidR="007F167C" w:rsidRPr="000E159C" w:rsidRDefault="007F167C" w:rsidP="00E50E8D">
      <w:pPr>
        <w:pStyle w:val="Heading4"/>
      </w:pPr>
      <w:r w:rsidRPr="000E159C">
        <w:t>Is Units 1 and 2 content assessable in Unit</w:t>
      </w:r>
      <w:r w:rsidR="001F00FD">
        <w:t>s</w:t>
      </w:r>
      <w:r w:rsidRPr="000E159C">
        <w:t xml:space="preserve"> 3</w:t>
      </w:r>
      <w:r w:rsidR="001F00FD">
        <w:t xml:space="preserve"> and </w:t>
      </w:r>
      <w:r w:rsidRPr="000E159C">
        <w:t>4 examinations?</w:t>
      </w:r>
    </w:p>
    <w:p w14:paraId="66D19E74" w14:textId="5BEB9B8C" w:rsidR="004A4D7E" w:rsidRPr="006A420B" w:rsidRDefault="007F167C" w:rsidP="007F167C">
      <w:pPr>
        <w:pStyle w:val="BodyText"/>
      </w:pPr>
      <w:r>
        <w:rPr>
          <w:szCs w:val="20"/>
        </w:rPr>
        <w:t xml:space="preserve">Assumed knowledge and skills for </w:t>
      </w:r>
      <w:r w:rsidR="001F00FD">
        <w:rPr>
          <w:szCs w:val="20"/>
        </w:rPr>
        <w:t xml:space="preserve">VCE </w:t>
      </w:r>
      <w:r>
        <w:rPr>
          <w:szCs w:val="20"/>
        </w:rPr>
        <w:t xml:space="preserve">Mathematical </w:t>
      </w:r>
      <w:r w:rsidR="001F00FD">
        <w:rPr>
          <w:szCs w:val="20"/>
        </w:rPr>
        <w:t xml:space="preserve">Methods </w:t>
      </w:r>
      <w:r>
        <w:rPr>
          <w:szCs w:val="20"/>
        </w:rPr>
        <w:t>Units 3</w:t>
      </w:r>
      <w:r w:rsidR="001F00FD">
        <w:rPr>
          <w:szCs w:val="20"/>
        </w:rPr>
        <w:t xml:space="preserve"> and </w:t>
      </w:r>
      <w:r>
        <w:rPr>
          <w:szCs w:val="20"/>
        </w:rPr>
        <w:t>4 are contained in Units 1</w:t>
      </w:r>
      <w:r w:rsidR="001F00FD">
        <w:rPr>
          <w:szCs w:val="20"/>
        </w:rPr>
        <w:t xml:space="preserve"> and </w:t>
      </w:r>
      <w:r>
        <w:rPr>
          <w:szCs w:val="20"/>
        </w:rPr>
        <w:t xml:space="preserve">2 and may be drawn on as applicable. Similarly, content from the Victorian Curriculum </w:t>
      </w:r>
      <w:r w:rsidR="001F00FD">
        <w:rPr>
          <w:szCs w:val="20"/>
        </w:rPr>
        <w:t>F</w:t>
      </w:r>
      <w:r>
        <w:rPr>
          <w:szCs w:val="20"/>
        </w:rPr>
        <w:t>–</w:t>
      </w:r>
      <w:r w:rsidR="001F00FD">
        <w:rPr>
          <w:szCs w:val="20"/>
        </w:rPr>
        <w:t>10</w:t>
      </w:r>
      <w:r>
        <w:rPr>
          <w:szCs w:val="20"/>
        </w:rPr>
        <w:t xml:space="preserve"> </w:t>
      </w:r>
      <w:r w:rsidR="001F00FD">
        <w:rPr>
          <w:szCs w:val="20"/>
        </w:rPr>
        <w:t xml:space="preserve">Version 2.0 </w:t>
      </w:r>
      <w:r>
        <w:rPr>
          <w:szCs w:val="20"/>
        </w:rPr>
        <w:t>Mathematics may also be drawn on as applicable.</w:t>
      </w:r>
    </w:p>
    <w:p w14:paraId="0F72EB75" w14:textId="41209CA2" w:rsidR="0054375A" w:rsidRPr="00201401" w:rsidRDefault="0054375A" w:rsidP="00E50E8D">
      <w:pPr>
        <w:pStyle w:val="Heading4"/>
      </w:pPr>
      <w:r w:rsidRPr="00201401">
        <w:t>Can a student write in pencil on the examination?</w:t>
      </w:r>
    </w:p>
    <w:p w14:paraId="46BF97E8" w14:textId="4B80154D" w:rsidR="0054375A" w:rsidRDefault="0054375A" w:rsidP="0054375A">
      <w:pPr>
        <w:pStyle w:val="BodyText"/>
        <w:keepLines/>
        <w:rPr>
          <w:szCs w:val="20"/>
        </w:rPr>
      </w:pPr>
      <w:r w:rsidRPr="007A7E79">
        <w:t xml:space="preserve">It is recommended that students write responses in blue or black pen. This is to ensure </w:t>
      </w:r>
      <w:r>
        <w:t>clear</w:t>
      </w:r>
      <w:r w:rsidRPr="007A7E79">
        <w:t xml:space="preserve"> and </w:t>
      </w:r>
      <w:r>
        <w:t>legible</w:t>
      </w:r>
      <w:r w:rsidRPr="007A7E79">
        <w:t xml:space="preserve"> responses, especially for those examinations that are scanned and delivered to assessors through the computer-based marking system. </w:t>
      </w:r>
      <w:r>
        <w:t>P</w:t>
      </w:r>
      <w:r w:rsidRPr="007A7E79">
        <w:t>encils may be used provided that they are dark lead (</w:t>
      </w:r>
      <w:r>
        <w:t>such as a</w:t>
      </w:r>
      <w:r w:rsidRPr="007A7E79">
        <w:t xml:space="preserve"> 2B pencil); however, when writing, please ensure that the response is not smudged.</w:t>
      </w:r>
    </w:p>
    <w:p w14:paraId="3F338628" w14:textId="77777777" w:rsidR="0054375A" w:rsidRPr="007A7E79" w:rsidRDefault="0054375A" w:rsidP="00E50E8D">
      <w:pPr>
        <w:pStyle w:val="Heading4"/>
      </w:pPr>
      <w:r w:rsidRPr="007A7E79">
        <w:t>Can a student write outside the lines on the examination? What happens when they run out of space?</w:t>
      </w:r>
    </w:p>
    <w:p w14:paraId="519806E5" w14:textId="4BC3C943" w:rsidR="004A4D7E" w:rsidRPr="002B0213" w:rsidRDefault="0054375A" w:rsidP="006A420B">
      <w:pPr>
        <w:pStyle w:val="BodyText"/>
        <w:rPr>
          <w:noProof/>
          <w:sz w:val="18"/>
          <w:szCs w:val="18"/>
        </w:rPr>
      </w:pPr>
      <w:r w:rsidRPr="007A7E79">
        <w:t xml:space="preserve">The instructions on the examinations state </w:t>
      </w:r>
      <w:r>
        <w:t>‘A</w:t>
      </w:r>
      <w:r w:rsidRPr="007A7E79">
        <w:t xml:space="preserve">nswer </w:t>
      </w:r>
      <w:r w:rsidRPr="006427CF">
        <w:rPr>
          <w:rStyle w:val="EmphasisBold"/>
        </w:rPr>
        <w:t>all</w:t>
      </w:r>
      <w:r w:rsidRPr="007A7E79">
        <w:t xml:space="preserve"> questions in the spaces provided</w:t>
      </w:r>
      <w:r>
        <w:t>’</w:t>
      </w:r>
      <w:r w:rsidRPr="007A7E79">
        <w:t>. This is usually the lined space directly below the question. If a student requires more space for their response, they should clearly indicate to the assessor where the extra working can be found.</w:t>
      </w:r>
    </w:p>
    <w:sectPr w:rsidR="004A4D7E" w:rsidRPr="002B0213" w:rsidSect="00936DF6">
      <w:headerReference w:type="default" r:id="rId15"/>
      <w:footerReference w:type="default" r:id="rId16"/>
      <w:headerReference w:type="first" r:id="rId17"/>
      <w:footerReference w:type="first" r:id="rId18"/>
      <w:pgSz w:w="11907" w:h="16840" w:code="9"/>
      <w:pgMar w:top="1440" w:right="1134" w:bottom="1440"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8BB1" w14:textId="77777777" w:rsidR="009C4BDD" w:rsidRDefault="009C4BDD" w:rsidP="00304EA1">
      <w:pPr>
        <w:spacing w:after="0" w:line="240" w:lineRule="auto"/>
      </w:pPr>
      <w:r>
        <w:separator/>
      </w:r>
    </w:p>
  </w:endnote>
  <w:endnote w:type="continuationSeparator" w:id="0">
    <w:p w14:paraId="1DCD42F3" w14:textId="77777777" w:rsidR="009C4BDD" w:rsidRDefault="009C4BDD" w:rsidP="00304EA1">
      <w:pPr>
        <w:spacing w:after="0" w:line="240" w:lineRule="auto"/>
      </w:pPr>
      <w:r>
        <w:continuationSeparator/>
      </w:r>
    </w:p>
  </w:endnote>
  <w:endnote w:type="continuationNotice" w:id="1">
    <w:p w14:paraId="78BB6489" w14:textId="77777777" w:rsidR="009C4BDD" w:rsidRDefault="009C4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2A71C8" w:rsidRPr="00D06414" w14:paraId="644E29C7" w14:textId="77777777" w:rsidTr="006427CF">
      <w:tc>
        <w:tcPr>
          <w:tcW w:w="1459" w:type="pct"/>
          <w:tcMar>
            <w:left w:w="0" w:type="dxa"/>
            <w:right w:w="0" w:type="dxa"/>
          </w:tcMar>
        </w:tcPr>
        <w:p w14:paraId="42A09F2C" w14:textId="77777777" w:rsidR="002A71C8" w:rsidRPr="00D87BB7" w:rsidRDefault="002A71C8" w:rsidP="00936DF6">
          <w:pPr>
            <w:tabs>
              <w:tab w:val="right" w:pos="9639"/>
            </w:tabs>
            <w:spacing w:before="120" w:after="0" w:line="240" w:lineRule="exact"/>
            <w:rPr>
              <w:rFonts w:ascii="Arial" w:hAnsi="Arial" w:cs="Arial"/>
              <w:color w:val="999999" w:themeColor="accent2"/>
              <w:sz w:val="18"/>
              <w:szCs w:val="18"/>
            </w:rPr>
          </w:pPr>
          <w:r w:rsidRPr="00D87BB7">
            <w:rPr>
              <w:rFonts w:ascii="Arial" w:hAnsi="Arial" w:cs="Arial"/>
              <w:color w:val="FFFFFF" w:themeColor="background1"/>
              <w:sz w:val="18"/>
              <w:szCs w:val="18"/>
            </w:rPr>
            <w:t xml:space="preserve">© </w:t>
          </w:r>
          <w:hyperlink r:id="rId1" w:history="1">
            <w:r w:rsidRPr="00D87BB7">
              <w:rPr>
                <w:rStyle w:val="Hyperlink"/>
                <w:rFonts w:ascii="Arial" w:hAnsi="Arial" w:cs="Arial"/>
                <w:color w:val="FFFFFF" w:themeColor="background1"/>
                <w:sz w:val="18"/>
                <w:szCs w:val="18"/>
              </w:rPr>
              <w:t>VCAA</w:t>
            </w:r>
          </w:hyperlink>
        </w:p>
      </w:tc>
      <w:tc>
        <w:tcPr>
          <w:tcW w:w="1771" w:type="pct"/>
          <w:tcMar>
            <w:left w:w="0" w:type="dxa"/>
            <w:right w:w="0" w:type="dxa"/>
          </w:tcMar>
        </w:tcPr>
        <w:p w14:paraId="27074319" w14:textId="77777777" w:rsidR="002A71C8" w:rsidRPr="00D06414" w:rsidRDefault="002A71C8" w:rsidP="00936DF6">
          <w:pPr>
            <w:tabs>
              <w:tab w:val="right" w:pos="9639"/>
            </w:tabs>
            <w:spacing w:before="120" w:after="0" w:line="240" w:lineRule="exact"/>
            <w:rPr>
              <w:rFonts w:asciiTheme="majorHAnsi" w:hAnsiTheme="majorHAnsi" w:cs="Arial"/>
              <w:color w:val="999999" w:themeColor="accent2"/>
              <w:sz w:val="18"/>
              <w:szCs w:val="18"/>
            </w:rPr>
          </w:pPr>
        </w:p>
      </w:tc>
      <w:tc>
        <w:tcPr>
          <w:tcW w:w="1770" w:type="pct"/>
          <w:tcMar>
            <w:left w:w="0" w:type="dxa"/>
            <w:right w:w="0" w:type="dxa"/>
          </w:tcMar>
        </w:tcPr>
        <w:p w14:paraId="5CA5EBA6" w14:textId="77777777" w:rsidR="002A71C8" w:rsidRPr="00D87BB7" w:rsidRDefault="002A71C8" w:rsidP="00936DF6">
          <w:pPr>
            <w:tabs>
              <w:tab w:val="right" w:pos="9639"/>
            </w:tabs>
            <w:spacing w:before="120" w:after="0" w:line="240" w:lineRule="exact"/>
            <w:jc w:val="right"/>
            <w:rPr>
              <w:rFonts w:ascii="Arial" w:hAnsi="Arial" w:cs="Arial"/>
              <w:color w:val="999999" w:themeColor="accent2"/>
              <w:sz w:val="18"/>
              <w:szCs w:val="18"/>
            </w:rPr>
          </w:pPr>
          <w:r w:rsidRPr="00D87BB7">
            <w:rPr>
              <w:rFonts w:ascii="Arial" w:hAnsi="Arial" w:cs="Arial"/>
              <w:sz w:val="18"/>
              <w:szCs w:val="18"/>
            </w:rPr>
            <w:t xml:space="preserve">Page </w:t>
          </w:r>
          <w:r w:rsidRPr="00D87BB7">
            <w:rPr>
              <w:rFonts w:ascii="Arial" w:hAnsi="Arial" w:cs="Arial"/>
              <w:sz w:val="18"/>
              <w:szCs w:val="18"/>
            </w:rPr>
            <w:fldChar w:fldCharType="begin"/>
          </w:r>
          <w:r w:rsidRPr="00D87BB7">
            <w:rPr>
              <w:rFonts w:ascii="Arial" w:hAnsi="Arial" w:cs="Arial"/>
              <w:sz w:val="18"/>
              <w:szCs w:val="18"/>
            </w:rPr>
            <w:instrText xml:space="preserve"> PAGE   \* MERGEFORMAT </w:instrText>
          </w:r>
          <w:r w:rsidRPr="00D87BB7">
            <w:rPr>
              <w:rFonts w:ascii="Arial" w:hAnsi="Arial" w:cs="Arial"/>
              <w:sz w:val="18"/>
              <w:szCs w:val="18"/>
            </w:rPr>
            <w:fldChar w:fldCharType="separate"/>
          </w:r>
          <w:r w:rsidRPr="00D87BB7">
            <w:rPr>
              <w:rFonts w:ascii="Arial" w:hAnsi="Arial" w:cs="Arial"/>
              <w:sz w:val="18"/>
              <w:szCs w:val="18"/>
            </w:rPr>
            <w:t>4</w:t>
          </w:r>
          <w:r w:rsidRPr="00D87BB7">
            <w:rPr>
              <w:rFonts w:ascii="Arial" w:hAnsi="Arial" w:cs="Arial"/>
              <w:sz w:val="18"/>
              <w:szCs w:val="18"/>
            </w:rPr>
            <w:fldChar w:fldCharType="end"/>
          </w:r>
        </w:p>
      </w:tc>
    </w:tr>
  </w:tbl>
  <w:p w14:paraId="45D0B6BF" w14:textId="53DC10A8" w:rsidR="002A71C8" w:rsidRDefault="002A71C8">
    <w:pPr>
      <w:pStyle w:val="Footer"/>
    </w:pPr>
    <w:r>
      <w:rPr>
        <w:rFonts w:asciiTheme="majorHAnsi" w:hAnsiTheme="majorHAnsi" w:cs="Arial"/>
        <w:noProof/>
        <w:color w:val="999999" w:themeColor="accent2"/>
        <w:sz w:val="18"/>
        <w:szCs w:val="18"/>
        <w:lang w:eastAsia="en-AU"/>
      </w:rPr>
      <w:drawing>
        <wp:anchor distT="0" distB="0" distL="114300" distR="114300" simplePos="0" relativeHeight="251658242" behindDoc="1" locked="1" layoutInCell="1" allowOverlap="1" wp14:anchorId="3C77E196" wp14:editId="1EA50A58">
          <wp:simplePos x="0" y="0"/>
          <wp:positionH relativeFrom="page">
            <wp:align>left</wp:align>
          </wp:positionH>
          <wp:positionV relativeFrom="page">
            <wp:align>bottom</wp:align>
          </wp:positionV>
          <wp:extent cx="7583170" cy="537845"/>
          <wp:effectExtent l="0" t="0" r="0" b="0"/>
          <wp:wrapNone/>
          <wp:docPr id="1518344707" name="Picture 15183447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084CE2" w:rsidRPr="00D06414" w14:paraId="35EF57D6" w14:textId="77777777" w:rsidTr="006427CF">
      <w:tc>
        <w:tcPr>
          <w:tcW w:w="1459" w:type="pct"/>
          <w:tcMar>
            <w:left w:w="0" w:type="dxa"/>
            <w:right w:w="0" w:type="dxa"/>
          </w:tcMar>
        </w:tcPr>
        <w:p w14:paraId="45D062C9" w14:textId="77777777" w:rsidR="00084CE2" w:rsidRPr="00D87BB7" w:rsidRDefault="00084CE2" w:rsidP="00084CE2">
          <w:pPr>
            <w:tabs>
              <w:tab w:val="right" w:pos="9639"/>
            </w:tabs>
            <w:spacing w:before="120" w:after="0" w:line="240" w:lineRule="exact"/>
            <w:rPr>
              <w:rFonts w:ascii="Arial" w:hAnsi="Arial" w:cs="Arial"/>
              <w:color w:val="999999" w:themeColor="accent2"/>
              <w:sz w:val="18"/>
              <w:szCs w:val="18"/>
            </w:rPr>
          </w:pPr>
          <w:r w:rsidRPr="00D87BB7">
            <w:rPr>
              <w:rFonts w:ascii="Arial" w:hAnsi="Arial" w:cs="Arial"/>
              <w:color w:val="FFFFFF" w:themeColor="background1"/>
              <w:sz w:val="18"/>
              <w:szCs w:val="18"/>
            </w:rPr>
            <w:t xml:space="preserve">© </w:t>
          </w:r>
          <w:hyperlink r:id="rId1" w:history="1">
            <w:r w:rsidRPr="00D87BB7">
              <w:rPr>
                <w:rStyle w:val="Hyperlink"/>
                <w:rFonts w:ascii="Arial" w:hAnsi="Arial" w:cs="Arial"/>
                <w:color w:val="FFFFFF" w:themeColor="background1"/>
                <w:sz w:val="18"/>
                <w:szCs w:val="18"/>
              </w:rPr>
              <w:t>VCAA</w:t>
            </w:r>
          </w:hyperlink>
        </w:p>
      </w:tc>
      <w:tc>
        <w:tcPr>
          <w:tcW w:w="1771" w:type="pct"/>
          <w:tcMar>
            <w:left w:w="0" w:type="dxa"/>
            <w:right w:w="0" w:type="dxa"/>
          </w:tcMar>
        </w:tcPr>
        <w:p w14:paraId="666AA5E3" w14:textId="77777777" w:rsidR="00084CE2" w:rsidRPr="00D06414" w:rsidRDefault="00084CE2" w:rsidP="00084CE2">
          <w:pPr>
            <w:tabs>
              <w:tab w:val="right" w:pos="9639"/>
            </w:tabs>
            <w:spacing w:before="120" w:after="0" w:line="240" w:lineRule="exact"/>
            <w:rPr>
              <w:rFonts w:asciiTheme="majorHAnsi" w:hAnsiTheme="majorHAnsi" w:cs="Arial"/>
              <w:color w:val="999999" w:themeColor="accent2"/>
              <w:sz w:val="18"/>
              <w:szCs w:val="18"/>
            </w:rPr>
          </w:pPr>
        </w:p>
      </w:tc>
      <w:tc>
        <w:tcPr>
          <w:tcW w:w="1770" w:type="pct"/>
          <w:tcMar>
            <w:left w:w="0" w:type="dxa"/>
            <w:right w:w="0" w:type="dxa"/>
          </w:tcMar>
        </w:tcPr>
        <w:p w14:paraId="246AF2BF" w14:textId="77777777" w:rsidR="00084CE2" w:rsidRPr="00D87BB7" w:rsidRDefault="00084CE2" w:rsidP="00084CE2">
          <w:pPr>
            <w:tabs>
              <w:tab w:val="right" w:pos="9639"/>
            </w:tabs>
            <w:spacing w:before="120" w:after="0" w:line="240" w:lineRule="exact"/>
            <w:jc w:val="right"/>
            <w:rPr>
              <w:rFonts w:ascii="Arial" w:hAnsi="Arial" w:cs="Arial"/>
              <w:color w:val="999999" w:themeColor="accent2"/>
              <w:sz w:val="18"/>
              <w:szCs w:val="18"/>
            </w:rPr>
          </w:pPr>
          <w:r w:rsidRPr="00D87BB7">
            <w:rPr>
              <w:rFonts w:ascii="Arial" w:hAnsi="Arial" w:cs="Arial"/>
              <w:sz w:val="18"/>
              <w:szCs w:val="18"/>
            </w:rPr>
            <w:t xml:space="preserve">Page </w:t>
          </w:r>
          <w:r w:rsidRPr="00D87BB7">
            <w:rPr>
              <w:rFonts w:ascii="Arial" w:hAnsi="Arial" w:cs="Arial"/>
              <w:sz w:val="18"/>
              <w:szCs w:val="18"/>
            </w:rPr>
            <w:fldChar w:fldCharType="begin"/>
          </w:r>
          <w:r w:rsidRPr="00D87BB7">
            <w:rPr>
              <w:rFonts w:ascii="Arial" w:hAnsi="Arial" w:cs="Arial"/>
              <w:sz w:val="18"/>
              <w:szCs w:val="18"/>
            </w:rPr>
            <w:instrText xml:space="preserve"> PAGE   \* MERGEFORMAT </w:instrText>
          </w:r>
          <w:r w:rsidRPr="00D87BB7">
            <w:rPr>
              <w:rFonts w:ascii="Arial" w:hAnsi="Arial" w:cs="Arial"/>
              <w:sz w:val="18"/>
              <w:szCs w:val="18"/>
            </w:rPr>
            <w:fldChar w:fldCharType="separate"/>
          </w:r>
          <w:r w:rsidRPr="00D87BB7">
            <w:rPr>
              <w:rFonts w:ascii="Arial" w:hAnsi="Arial" w:cs="Arial"/>
              <w:sz w:val="18"/>
              <w:szCs w:val="18"/>
            </w:rPr>
            <w:t>4</w:t>
          </w:r>
          <w:r w:rsidRPr="00D87BB7">
            <w:rPr>
              <w:rFonts w:ascii="Arial" w:hAnsi="Arial" w:cs="Arial"/>
              <w:sz w:val="18"/>
              <w:szCs w:val="18"/>
            </w:rPr>
            <w:fldChar w:fldCharType="end"/>
          </w:r>
        </w:p>
      </w:tc>
    </w:tr>
  </w:tbl>
  <w:p w14:paraId="5A341528" w14:textId="25A3BE7A" w:rsidR="002A71C8" w:rsidRDefault="002A71C8" w:rsidP="00936DF6">
    <w:pPr>
      <w:pStyle w:val="Footer"/>
      <w:tabs>
        <w:tab w:val="clear" w:pos="4513"/>
        <w:tab w:val="clear" w:pos="9026"/>
        <w:tab w:val="left" w:pos="3890"/>
      </w:tabs>
    </w:pPr>
    <w:r>
      <w:rPr>
        <w:rFonts w:asciiTheme="majorHAnsi" w:hAnsiTheme="majorHAnsi" w:cs="Arial"/>
        <w:noProof/>
        <w:color w:val="999999" w:themeColor="accent2"/>
        <w:sz w:val="18"/>
        <w:szCs w:val="18"/>
        <w:lang w:eastAsia="en-AU"/>
      </w:rPr>
      <w:drawing>
        <wp:anchor distT="0" distB="0" distL="114300" distR="114300" simplePos="0" relativeHeight="251658241" behindDoc="1" locked="1" layoutInCell="1" allowOverlap="1" wp14:anchorId="2A5DB055" wp14:editId="5F0E2590">
          <wp:simplePos x="0" y="0"/>
          <wp:positionH relativeFrom="page">
            <wp:align>left</wp:align>
          </wp:positionH>
          <wp:positionV relativeFrom="page">
            <wp:posOffset>10138410</wp:posOffset>
          </wp:positionV>
          <wp:extent cx="7583170" cy="537845"/>
          <wp:effectExtent l="0" t="0" r="0" b="0"/>
          <wp:wrapNone/>
          <wp:docPr id="306953227" name="Picture 306953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224B" w14:textId="77777777" w:rsidR="009C4BDD" w:rsidRDefault="009C4BDD" w:rsidP="00304EA1">
      <w:pPr>
        <w:spacing w:after="0" w:line="240" w:lineRule="auto"/>
      </w:pPr>
      <w:r>
        <w:separator/>
      </w:r>
    </w:p>
  </w:footnote>
  <w:footnote w:type="continuationSeparator" w:id="0">
    <w:p w14:paraId="3BD912B3" w14:textId="77777777" w:rsidR="009C4BDD" w:rsidRDefault="009C4BDD" w:rsidP="00304EA1">
      <w:pPr>
        <w:spacing w:after="0" w:line="240" w:lineRule="auto"/>
      </w:pPr>
      <w:r>
        <w:continuationSeparator/>
      </w:r>
    </w:p>
  </w:footnote>
  <w:footnote w:type="continuationNotice" w:id="1">
    <w:p w14:paraId="08D5FFF7" w14:textId="77777777" w:rsidR="009C4BDD" w:rsidRDefault="009C4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3DC2" w14:textId="4DF10214" w:rsidR="002B0213" w:rsidRDefault="002B0213">
    <w:pPr>
      <w:pStyle w:val="Header"/>
    </w:pPr>
    <w:r>
      <w:t>VCE Mathematical Methods frequently asked questions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A690" w14:textId="5D1C013D" w:rsidR="006A420B" w:rsidRPr="009370BC" w:rsidRDefault="005E3897" w:rsidP="00970580">
    <w:pPr>
      <w:spacing w:after="0"/>
      <w:ind w:right="-142"/>
      <w:jc w:val="right"/>
    </w:pPr>
    <w:r>
      <w:rPr>
        <w:rFonts w:ascii="Arial" w:hAnsi="Arial" w:cs="Arial"/>
        <w:noProof/>
        <w:color w:val="000000" w:themeColor="text1"/>
        <w:sz w:val="18"/>
        <w:szCs w:val="18"/>
        <w:lang w:eastAsia="en-AU"/>
      </w:rPr>
      <w:drawing>
        <wp:anchor distT="0" distB="0" distL="114300" distR="114300" simplePos="0" relativeHeight="251658240" behindDoc="1" locked="1" layoutInCell="1" allowOverlap="1" wp14:anchorId="78A45F31" wp14:editId="39D686E2">
          <wp:simplePos x="0" y="0"/>
          <wp:positionH relativeFrom="page">
            <wp:align>right</wp:align>
          </wp:positionH>
          <wp:positionV relativeFrom="page">
            <wp:align>top</wp:align>
          </wp:positionV>
          <wp:extent cx="7539990" cy="716915"/>
          <wp:effectExtent l="0" t="0" r="3810" b="6985"/>
          <wp:wrapNone/>
          <wp:docPr id="565012454" name="Picture 56501245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55E8"/>
    <w:rsid w:val="00017421"/>
    <w:rsid w:val="00044101"/>
    <w:rsid w:val="0005780E"/>
    <w:rsid w:val="00060DBD"/>
    <w:rsid w:val="00065CC6"/>
    <w:rsid w:val="00084130"/>
    <w:rsid w:val="00084CE2"/>
    <w:rsid w:val="000A71F7"/>
    <w:rsid w:val="000E159C"/>
    <w:rsid w:val="000F09E4"/>
    <w:rsid w:val="000F16FD"/>
    <w:rsid w:val="000F5AAF"/>
    <w:rsid w:val="000F79BB"/>
    <w:rsid w:val="00143520"/>
    <w:rsid w:val="00152F7B"/>
    <w:rsid w:val="00153AD2"/>
    <w:rsid w:val="001603BB"/>
    <w:rsid w:val="00165056"/>
    <w:rsid w:val="00176BA3"/>
    <w:rsid w:val="001779EA"/>
    <w:rsid w:val="001A4AB3"/>
    <w:rsid w:val="001D3246"/>
    <w:rsid w:val="001F00FD"/>
    <w:rsid w:val="00201401"/>
    <w:rsid w:val="00212AC2"/>
    <w:rsid w:val="002279BA"/>
    <w:rsid w:val="002323C8"/>
    <w:rsid w:val="002329F3"/>
    <w:rsid w:val="00243F0D"/>
    <w:rsid w:val="002556EC"/>
    <w:rsid w:val="00260767"/>
    <w:rsid w:val="002647BB"/>
    <w:rsid w:val="0027045B"/>
    <w:rsid w:val="002754C1"/>
    <w:rsid w:val="002841C8"/>
    <w:rsid w:val="0028516B"/>
    <w:rsid w:val="002A71C8"/>
    <w:rsid w:val="002B0213"/>
    <w:rsid w:val="002B0664"/>
    <w:rsid w:val="002C6F90"/>
    <w:rsid w:val="002E4FB5"/>
    <w:rsid w:val="002F7C91"/>
    <w:rsid w:val="00302FB8"/>
    <w:rsid w:val="00304EA1"/>
    <w:rsid w:val="00314D81"/>
    <w:rsid w:val="00322FC6"/>
    <w:rsid w:val="0035293F"/>
    <w:rsid w:val="00354400"/>
    <w:rsid w:val="00354B19"/>
    <w:rsid w:val="00360F9E"/>
    <w:rsid w:val="00362620"/>
    <w:rsid w:val="00381C75"/>
    <w:rsid w:val="00391986"/>
    <w:rsid w:val="003A00B4"/>
    <w:rsid w:val="003A06B2"/>
    <w:rsid w:val="003A7E81"/>
    <w:rsid w:val="003C5E71"/>
    <w:rsid w:val="003D3814"/>
    <w:rsid w:val="003F3F59"/>
    <w:rsid w:val="00400B8B"/>
    <w:rsid w:val="00417AA3"/>
    <w:rsid w:val="00425DFE"/>
    <w:rsid w:val="00434EDB"/>
    <w:rsid w:val="00440B32"/>
    <w:rsid w:val="0046078D"/>
    <w:rsid w:val="00495C80"/>
    <w:rsid w:val="004A2ED8"/>
    <w:rsid w:val="004A4D7E"/>
    <w:rsid w:val="004A655E"/>
    <w:rsid w:val="004F0FD6"/>
    <w:rsid w:val="004F5BDA"/>
    <w:rsid w:val="00511B4B"/>
    <w:rsid w:val="0051631E"/>
    <w:rsid w:val="005247CD"/>
    <w:rsid w:val="00531DDC"/>
    <w:rsid w:val="00537A1F"/>
    <w:rsid w:val="0054375A"/>
    <w:rsid w:val="00566029"/>
    <w:rsid w:val="00574213"/>
    <w:rsid w:val="005923CB"/>
    <w:rsid w:val="005A14B4"/>
    <w:rsid w:val="005B391B"/>
    <w:rsid w:val="005D3D78"/>
    <w:rsid w:val="005E2EF0"/>
    <w:rsid w:val="005E3897"/>
    <w:rsid w:val="005F325D"/>
    <w:rsid w:val="005F4092"/>
    <w:rsid w:val="00631A80"/>
    <w:rsid w:val="006539B6"/>
    <w:rsid w:val="00672A9E"/>
    <w:rsid w:val="0068471E"/>
    <w:rsid w:val="00684F98"/>
    <w:rsid w:val="00693FFD"/>
    <w:rsid w:val="006A420B"/>
    <w:rsid w:val="006B7672"/>
    <w:rsid w:val="006D2159"/>
    <w:rsid w:val="006E762A"/>
    <w:rsid w:val="006F787C"/>
    <w:rsid w:val="00702636"/>
    <w:rsid w:val="007079E5"/>
    <w:rsid w:val="00724507"/>
    <w:rsid w:val="0075679D"/>
    <w:rsid w:val="00773E6C"/>
    <w:rsid w:val="00781FB1"/>
    <w:rsid w:val="007A60D5"/>
    <w:rsid w:val="007A7E79"/>
    <w:rsid w:val="007D0813"/>
    <w:rsid w:val="007D1B6D"/>
    <w:rsid w:val="007F167C"/>
    <w:rsid w:val="00810442"/>
    <w:rsid w:val="00813C37"/>
    <w:rsid w:val="008154B5"/>
    <w:rsid w:val="00823962"/>
    <w:rsid w:val="008357C6"/>
    <w:rsid w:val="00850410"/>
    <w:rsid w:val="00852719"/>
    <w:rsid w:val="00860115"/>
    <w:rsid w:val="00870A89"/>
    <w:rsid w:val="008734EA"/>
    <w:rsid w:val="0088783C"/>
    <w:rsid w:val="008A0A9F"/>
    <w:rsid w:val="008A1ED6"/>
    <w:rsid w:val="008D674A"/>
    <w:rsid w:val="008F3743"/>
    <w:rsid w:val="00905BF3"/>
    <w:rsid w:val="00936DF6"/>
    <w:rsid w:val="009370BC"/>
    <w:rsid w:val="0094036A"/>
    <w:rsid w:val="0096430B"/>
    <w:rsid w:val="0096486C"/>
    <w:rsid w:val="00970580"/>
    <w:rsid w:val="00986212"/>
    <w:rsid w:val="0098739B"/>
    <w:rsid w:val="00997E0A"/>
    <w:rsid w:val="009B61E5"/>
    <w:rsid w:val="009C4BDD"/>
    <w:rsid w:val="009D1921"/>
    <w:rsid w:val="009D1E89"/>
    <w:rsid w:val="009E5707"/>
    <w:rsid w:val="009F31F5"/>
    <w:rsid w:val="00A17661"/>
    <w:rsid w:val="00A24B2D"/>
    <w:rsid w:val="00A314BB"/>
    <w:rsid w:val="00A40966"/>
    <w:rsid w:val="00A921E0"/>
    <w:rsid w:val="00A922F4"/>
    <w:rsid w:val="00A94FDD"/>
    <w:rsid w:val="00AA210C"/>
    <w:rsid w:val="00AE5526"/>
    <w:rsid w:val="00AF051B"/>
    <w:rsid w:val="00AF4D2E"/>
    <w:rsid w:val="00AF6289"/>
    <w:rsid w:val="00B01578"/>
    <w:rsid w:val="00B03581"/>
    <w:rsid w:val="00B0738F"/>
    <w:rsid w:val="00B13D3B"/>
    <w:rsid w:val="00B22F0E"/>
    <w:rsid w:val="00B230DB"/>
    <w:rsid w:val="00B26601"/>
    <w:rsid w:val="00B41951"/>
    <w:rsid w:val="00B4489D"/>
    <w:rsid w:val="00B53229"/>
    <w:rsid w:val="00B53F2D"/>
    <w:rsid w:val="00B62480"/>
    <w:rsid w:val="00B81B70"/>
    <w:rsid w:val="00BB3BAB"/>
    <w:rsid w:val="00BD0724"/>
    <w:rsid w:val="00BD2B91"/>
    <w:rsid w:val="00BE4BEA"/>
    <w:rsid w:val="00BE5521"/>
    <w:rsid w:val="00BF6C23"/>
    <w:rsid w:val="00C307FA"/>
    <w:rsid w:val="00C344DB"/>
    <w:rsid w:val="00C374F2"/>
    <w:rsid w:val="00C473A5"/>
    <w:rsid w:val="00C53263"/>
    <w:rsid w:val="00C5635F"/>
    <w:rsid w:val="00C62A83"/>
    <w:rsid w:val="00C75F1D"/>
    <w:rsid w:val="00C848A7"/>
    <w:rsid w:val="00C92492"/>
    <w:rsid w:val="00C93DF6"/>
    <w:rsid w:val="00C95156"/>
    <w:rsid w:val="00C965CD"/>
    <w:rsid w:val="00CA0DC2"/>
    <w:rsid w:val="00CB345C"/>
    <w:rsid w:val="00CB34C3"/>
    <w:rsid w:val="00CB68E8"/>
    <w:rsid w:val="00D04F01"/>
    <w:rsid w:val="00D06414"/>
    <w:rsid w:val="00D24E5A"/>
    <w:rsid w:val="00D338E4"/>
    <w:rsid w:val="00D51947"/>
    <w:rsid w:val="00D532F0"/>
    <w:rsid w:val="00D56E0F"/>
    <w:rsid w:val="00D578CB"/>
    <w:rsid w:val="00D70CAC"/>
    <w:rsid w:val="00D76E10"/>
    <w:rsid w:val="00D77413"/>
    <w:rsid w:val="00D82759"/>
    <w:rsid w:val="00D860E8"/>
    <w:rsid w:val="00D86DE4"/>
    <w:rsid w:val="00DE1909"/>
    <w:rsid w:val="00DE51DB"/>
    <w:rsid w:val="00E0145A"/>
    <w:rsid w:val="00E208DF"/>
    <w:rsid w:val="00E209ED"/>
    <w:rsid w:val="00E213EA"/>
    <w:rsid w:val="00E23F1D"/>
    <w:rsid w:val="00E25DE4"/>
    <w:rsid w:val="00E30E05"/>
    <w:rsid w:val="00E36361"/>
    <w:rsid w:val="00E50E8D"/>
    <w:rsid w:val="00E546F6"/>
    <w:rsid w:val="00E55AE9"/>
    <w:rsid w:val="00E5734A"/>
    <w:rsid w:val="00E6785B"/>
    <w:rsid w:val="00E71100"/>
    <w:rsid w:val="00E7229D"/>
    <w:rsid w:val="00E72553"/>
    <w:rsid w:val="00EA3C57"/>
    <w:rsid w:val="00EA3D72"/>
    <w:rsid w:val="00EA4F58"/>
    <w:rsid w:val="00EA793D"/>
    <w:rsid w:val="00EB0C84"/>
    <w:rsid w:val="00EB2192"/>
    <w:rsid w:val="00ED62F2"/>
    <w:rsid w:val="00F17FDE"/>
    <w:rsid w:val="00F40D53"/>
    <w:rsid w:val="00F4525C"/>
    <w:rsid w:val="00F50D86"/>
    <w:rsid w:val="00F72FEA"/>
    <w:rsid w:val="00FA0789"/>
    <w:rsid w:val="00FA0A71"/>
    <w:rsid w:val="00FA532D"/>
    <w:rsid w:val="00FA58E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styleId="Revision">
    <w:name w:val="Revision"/>
    <w:hidden/>
    <w:uiPriority w:val="99"/>
    <w:semiHidden/>
    <w:rsid w:val="00FA0A71"/>
    <w:pPr>
      <w:spacing w:after="0" w:line="240" w:lineRule="auto"/>
    </w:pPr>
  </w:style>
  <w:style w:type="character" w:styleId="CommentReference">
    <w:name w:val="annotation reference"/>
    <w:basedOn w:val="DefaultParagraphFont"/>
    <w:uiPriority w:val="99"/>
    <w:semiHidden/>
    <w:unhideWhenUsed/>
    <w:rsid w:val="00FA0A71"/>
    <w:rPr>
      <w:sz w:val="16"/>
      <w:szCs w:val="16"/>
    </w:rPr>
  </w:style>
  <w:style w:type="character" w:styleId="Emphasis">
    <w:name w:val="Emphasis"/>
    <w:basedOn w:val="DefaultParagraphFont"/>
    <w:uiPriority w:val="20"/>
    <w:qFormat/>
    <w:rsid w:val="00EA3D72"/>
    <w:rPr>
      <w:i/>
      <w:iCs/>
    </w:rPr>
  </w:style>
  <w:style w:type="character" w:customStyle="1" w:styleId="Superscript">
    <w:name w:val="Superscript"/>
    <w:basedOn w:val="DefaultParagraphFont"/>
    <w:uiPriority w:val="1"/>
    <w:qFormat/>
    <w:rsid w:val="00ED62F2"/>
    <w:rPr>
      <w:caps w:val="0"/>
      <w:smallCaps w:val="0"/>
      <w:strike w:val="0"/>
      <w:dstrike w:val="0"/>
      <w:vanish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mathematical-methods/vce-mathematical-methods"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caa.vic.edu.au/assessment/vce/examination-specifications-past-examinations-and-examination-reports/nht-examination-specifications-past-examinations-and-examination-repor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assessment/vce/examination-specifications-past-examinations-and-examination-reports/mathematical-methods" TargetMode="External"/><Relationship Id="rId14" Type="http://schemas.openxmlformats.org/officeDocument/2006/relationships/oleObject" Target="embeddings/oleObject2.bin"/></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VCE Mathematical Methods FAQs</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Mathematical Methods FAQs</dc:title>
  <dc:creator/>
  <cp:lastModifiedBy/>
  <cp:revision>1</cp:revision>
  <dcterms:created xsi:type="dcterms:W3CDTF">2026-02-27T04:38:00Z</dcterms:created>
  <dcterms:modified xsi:type="dcterms:W3CDTF">2026-02-27T04:39:00Z</dcterms:modified>
</cp:coreProperties>
</file>