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255A" w14:textId="77777777" w:rsidR="00F12AE4" w:rsidRPr="00F12AE4" w:rsidRDefault="00F12AE4" w:rsidP="004F419E">
      <w:pPr>
        <w:pStyle w:val="Title"/>
      </w:pPr>
      <w:r w:rsidRPr="00F12AE4">
        <w:t>School-based Assessment Report</w:t>
      </w:r>
    </w:p>
    <w:p w14:paraId="4B72D7B8" w14:textId="77777777" w:rsidR="00F12AE4" w:rsidRPr="00F12AE4" w:rsidRDefault="00F12AE4" w:rsidP="004F419E">
      <w:pPr>
        <w:pStyle w:val="Heading1"/>
      </w:pPr>
      <w:r w:rsidRPr="00F12AE4">
        <w:t>VCE General Mathematics</w:t>
      </w:r>
    </w:p>
    <w:p w14:paraId="0FCA8896" w14:textId="77777777" w:rsidR="00F12AE4" w:rsidRPr="003406BF" w:rsidRDefault="00F12AE4" w:rsidP="003406BF">
      <w:pPr>
        <w:pStyle w:val="BodyText"/>
        <w:rPr>
          <w:rStyle w:val="Strong"/>
        </w:rPr>
      </w:pPr>
      <w:r w:rsidRPr="003406BF">
        <w:rPr>
          <w:rStyle w:val="Strong"/>
        </w:rPr>
        <w:t>Accreditation period from 2023</w:t>
      </w:r>
    </w:p>
    <w:p w14:paraId="67E694B1" w14:textId="77777777" w:rsidR="00F12AE4" w:rsidRPr="00F12AE4" w:rsidRDefault="00F12AE4" w:rsidP="004F419E">
      <w:pPr>
        <w:pStyle w:val="Heading2"/>
      </w:pPr>
      <w:r w:rsidRPr="00F12AE4">
        <w:t>Introduction</w:t>
      </w:r>
    </w:p>
    <w:p w14:paraId="13E33EF8" w14:textId="77777777" w:rsidR="00F12AE4" w:rsidRPr="00F12AE4" w:rsidRDefault="00F12AE4" w:rsidP="003406BF">
      <w:pPr>
        <w:pStyle w:val="BodyText"/>
      </w:pPr>
      <w:r w:rsidRPr="00F12AE4">
        <w:t xml:space="preserve">Schools must deliver the Victorian Certificate of Education (VCE) to the standards and requirements established by the VCAA. Study-specific standards and requirements are stated in the relevant VCE study design. The School-based Assessment Audit verifies that the standards and requirements set out in study designs are being followed and that assessment is being carried out in line with the </w:t>
      </w:r>
      <w:hyperlink r:id="rId8" w:history="1">
        <w:r w:rsidRPr="00F12AE4">
          <w:rPr>
            <w:color w:val="0000FF"/>
            <w:u w:val="single"/>
          </w:rPr>
          <w:t>VCE assessment principles</w:t>
        </w:r>
      </w:hyperlink>
      <w:r w:rsidRPr="00F12AE4">
        <w:t>.</w:t>
      </w:r>
    </w:p>
    <w:p w14:paraId="0FF35C74" w14:textId="77777777" w:rsidR="00F12AE4" w:rsidRPr="00F12AE4" w:rsidRDefault="00F12AE4" w:rsidP="003406BF">
      <w:pPr>
        <w:pStyle w:val="BodyText"/>
        <w:rPr>
          <w:bCs/>
          <w:color w:val="000000"/>
        </w:rPr>
      </w:pPr>
      <w:r w:rsidRPr="00F12AE4">
        <w:rPr>
          <w:bCs/>
          <w:color w:val="000000"/>
        </w:rPr>
        <w:t>This report reflects the first year of implementation of this study design and is based on the findings of the 2023 School-based Assessment Audit.</w:t>
      </w:r>
    </w:p>
    <w:p w14:paraId="062E9600" w14:textId="77777777" w:rsidR="00F12AE4" w:rsidRPr="00F12AE4" w:rsidRDefault="00F12AE4" w:rsidP="004F419E">
      <w:pPr>
        <w:pStyle w:val="Heading2"/>
        <w:spacing w:before="240"/>
        <w:contextualSpacing w:val="0"/>
      </w:pPr>
      <w:r w:rsidRPr="00F12AE4">
        <w:t>General comments</w:t>
      </w:r>
    </w:p>
    <w:p w14:paraId="443D38E5" w14:textId="5A74ABF7" w:rsidR="00F12AE4" w:rsidRPr="00F12AE4" w:rsidRDefault="00F12AE4" w:rsidP="003406BF">
      <w:pPr>
        <w:pStyle w:val="BodyText"/>
      </w:pPr>
      <w:r w:rsidRPr="00F12AE4">
        <w:t>The General Mathematics study was introduced in 2023 in place of the discontinued Further Mathematics study.</w:t>
      </w:r>
      <w:r w:rsidRPr="00F12AE4">
        <w:rPr>
          <w:bCs/>
          <w:color w:val="000000"/>
        </w:rPr>
        <w:t xml:space="preserve"> </w:t>
      </w:r>
      <w:r w:rsidRPr="00F12AE4">
        <w:t xml:space="preserve">Units 3 and 4 focus on real-life application of mathematics and consist of </w:t>
      </w:r>
      <w:r w:rsidR="007863A7">
        <w:t>2</w:t>
      </w:r>
      <w:r w:rsidRPr="00F12AE4">
        <w:t xml:space="preserve"> Areas of Study: Data </w:t>
      </w:r>
      <w:r w:rsidR="004F419E" w:rsidRPr="00F12AE4">
        <w:t xml:space="preserve">Analysis, Probability </w:t>
      </w:r>
      <w:r w:rsidR="004F419E">
        <w:t>a</w:t>
      </w:r>
      <w:r w:rsidR="004F419E" w:rsidRPr="00F12AE4">
        <w:t>nd Statistics</w:t>
      </w:r>
      <w:r w:rsidR="004F419E">
        <w:t>,</w:t>
      </w:r>
      <w:r w:rsidR="004F419E" w:rsidRPr="00F12AE4">
        <w:t xml:space="preserve"> </w:t>
      </w:r>
      <w:r w:rsidRPr="00F12AE4">
        <w:t xml:space="preserve">and Discrete </w:t>
      </w:r>
      <w:r w:rsidR="004F419E">
        <w:t>M</w:t>
      </w:r>
      <w:r w:rsidRPr="00F12AE4">
        <w:t>athematics. The content under the areas of study for General Mathematics is fully prescribed.</w:t>
      </w:r>
    </w:p>
    <w:p w14:paraId="7BBC7A30" w14:textId="7EE19B6E" w:rsidR="00F12AE4" w:rsidRPr="00F12AE4" w:rsidRDefault="00F12AE4" w:rsidP="003406BF">
      <w:pPr>
        <w:pStyle w:val="BodyText"/>
      </w:pPr>
      <w:r w:rsidRPr="00F12AE4">
        <w:t>Unit 3 comprises Data Analysis from Area of Study 1 and Recursion and Financial Modelling from Area of Study 2, and Unit 4 comprises Matrices and Ne</w:t>
      </w:r>
      <w:r w:rsidR="004F419E">
        <w:t>two</w:t>
      </w:r>
      <w:r w:rsidRPr="00F12AE4">
        <w:t xml:space="preserve">rks and </w:t>
      </w:r>
      <w:r w:rsidR="004F419E">
        <w:t>D</w:t>
      </w:r>
      <w:r w:rsidRPr="00F12AE4">
        <w:t xml:space="preserve">ecision </w:t>
      </w:r>
      <w:r w:rsidR="004F419E">
        <w:t>M</w:t>
      </w:r>
      <w:r w:rsidRPr="00F12AE4">
        <w:t>athematics</w:t>
      </w:r>
      <w:r w:rsidRPr="00F12AE4">
        <w:rPr>
          <w:i/>
          <w:iCs/>
        </w:rPr>
        <w:t xml:space="preserve">, </w:t>
      </w:r>
      <w:r w:rsidRPr="00F12AE4">
        <w:t>both from Area of Study 2.</w:t>
      </w:r>
    </w:p>
    <w:p w14:paraId="08A86AD8" w14:textId="77777777" w:rsidR="00F12AE4" w:rsidRPr="00F12AE4" w:rsidRDefault="00F12AE4" w:rsidP="003406BF">
      <w:pPr>
        <w:pStyle w:val="BodyText"/>
      </w:pPr>
      <w:r w:rsidRPr="00F12AE4">
        <w:t>Each unit requires students to demonstrate achievement of Outcomes 1, 2 and 3. These outcomes, as a set, encompass all of the prescribed areas of study for each unit.</w:t>
      </w:r>
      <w:r w:rsidRPr="00F12AE4">
        <w:rPr>
          <w:b/>
          <w:color w:val="000000"/>
          <w:sz w:val="32"/>
          <w:szCs w:val="28"/>
        </w:rPr>
        <w:t xml:space="preserve"> </w:t>
      </w:r>
      <w:r w:rsidRPr="00F12AE4">
        <w:t>For Units 3 and 4, the outcomes apply to the content under the areas of study for that unit.</w:t>
      </w:r>
    </w:p>
    <w:p w14:paraId="4017870F" w14:textId="2859085E" w:rsidR="00F12AE4" w:rsidRPr="00F12AE4" w:rsidRDefault="008F5D45" w:rsidP="004F419E">
      <w:pPr>
        <w:pStyle w:val="Heading2"/>
        <w:spacing w:before="240"/>
        <w:contextualSpacing w:val="0"/>
      </w:pPr>
      <w:r>
        <w:t>Audit s</w:t>
      </w:r>
      <w:r w:rsidR="00B64D42">
        <w:t>ummary</w:t>
      </w:r>
    </w:p>
    <w:p w14:paraId="61A512D4" w14:textId="2129303B" w:rsidR="00F12AE4" w:rsidRPr="00B64D42" w:rsidRDefault="00F12AE4" w:rsidP="003406BF">
      <w:pPr>
        <w:pStyle w:val="Bullet"/>
      </w:pPr>
      <w:r w:rsidRPr="00B64D42">
        <w:t xml:space="preserve">The tasks submitted to audit generally used engaging and relevant scenarios and data sources. </w:t>
      </w:r>
    </w:p>
    <w:p w14:paraId="14D03AB1" w14:textId="37710505" w:rsidR="00F12AE4" w:rsidRPr="00B64D42" w:rsidRDefault="009334AE" w:rsidP="003406BF">
      <w:pPr>
        <w:pStyle w:val="Bullet"/>
      </w:pPr>
      <w:r>
        <w:t>S</w:t>
      </w:r>
      <w:r w:rsidR="00F12AE4" w:rsidRPr="00B64D42">
        <w:t>chools did not always ensure their assessment tasks covered Outcomes 1, 2 and 3 in the ratio specified by the study design.</w:t>
      </w:r>
    </w:p>
    <w:p w14:paraId="13684C74" w14:textId="2A79BD10" w:rsidR="00F12AE4" w:rsidRPr="00B64D42" w:rsidRDefault="00F12AE4" w:rsidP="003406BF">
      <w:pPr>
        <w:pStyle w:val="Bullet"/>
      </w:pPr>
      <w:r w:rsidRPr="00B64D42">
        <w:t xml:space="preserve">A </w:t>
      </w:r>
      <w:r w:rsidR="00B64D42">
        <w:t>high proportion</w:t>
      </w:r>
      <w:r w:rsidRPr="00B64D42">
        <w:t xml:space="preserve"> of tasks submitted to audit did not allow for open</w:t>
      </w:r>
      <w:r w:rsidR="00B64D42">
        <w:t>-</w:t>
      </w:r>
      <w:r w:rsidRPr="00B64D42">
        <w:t xml:space="preserve">ended or self-directed student investigation, and as such did not provide opportunities for students to address Outcome 2. </w:t>
      </w:r>
    </w:p>
    <w:p w14:paraId="2349C1CE" w14:textId="4748E77A" w:rsidR="00F12AE4" w:rsidRPr="00B64D42" w:rsidRDefault="00F12AE4" w:rsidP="003406BF">
      <w:pPr>
        <w:pStyle w:val="Bullet"/>
      </w:pPr>
      <w:r w:rsidRPr="00B64D42">
        <w:t xml:space="preserve">Many non-compliant tasks submitted for audit tended to follow a format of structured questions or examination-style extended response questions, neither of which provide students sufficient opportunity to develop responses that demonstrate proficiency against all </w:t>
      </w:r>
      <w:r w:rsidR="007863A7">
        <w:t>3</w:t>
      </w:r>
      <w:r w:rsidRPr="00B64D42">
        <w:t xml:space="preserve"> outcomes, and as such </w:t>
      </w:r>
      <w:r w:rsidR="00B64D42">
        <w:t>did not</w:t>
      </w:r>
      <w:r w:rsidRPr="00B64D42">
        <w:t xml:space="preserve"> meet the requirements of the task types for this study. </w:t>
      </w:r>
    </w:p>
    <w:p w14:paraId="5F9CB022" w14:textId="77777777" w:rsidR="00F12AE4" w:rsidRPr="00F12AE4" w:rsidRDefault="00F12AE4" w:rsidP="003406BF">
      <w:pPr>
        <w:pStyle w:val="Heading2"/>
        <w:keepNext/>
      </w:pPr>
      <w:r w:rsidRPr="00F12AE4">
        <w:lastRenderedPageBreak/>
        <w:t xml:space="preserve">Units 3 </w:t>
      </w:r>
      <w:bookmarkStart w:id="0" w:name="_Hlk216782183"/>
      <w:r w:rsidRPr="00F12AE4">
        <w:t>and 4 School-based Assessment</w:t>
      </w:r>
      <w:bookmarkEnd w:id="0"/>
    </w:p>
    <w:p w14:paraId="191E0051" w14:textId="7B0E22D3" w:rsidR="00F12AE4" w:rsidRPr="00F12AE4" w:rsidRDefault="00F12AE4" w:rsidP="003406BF">
      <w:pPr>
        <w:pStyle w:val="BodyText"/>
      </w:pPr>
      <w:r w:rsidRPr="00F12AE4">
        <w:t xml:space="preserve">In undertaking Units 3 and 4, students are expected to be able to apply techniques, routines and processes involving rational and real arithmetic, sets, lists, tables and matrices, diagrams, </w:t>
      </w:r>
      <w:r w:rsidR="004F419E">
        <w:t>networks</w:t>
      </w:r>
      <w:r w:rsidRPr="00F12AE4">
        <w:t>, algorithms, algebraic manipulation, recurrence relations, equations and graphs. They should have facility with relevant mental and by-hand approaches to estimation and computation. The use of numerical, graphical, geometric, symbolic statistical and financial functionality of technology for teaching and learning mathematics, for working mathematically, and in related assessment, is to be incorporated throughout each unit as applicable.</w:t>
      </w:r>
    </w:p>
    <w:p w14:paraId="2EFECF7C" w14:textId="77777777" w:rsidR="00F12AE4" w:rsidRPr="00F12AE4" w:rsidRDefault="00F12AE4" w:rsidP="004F419E">
      <w:pPr>
        <w:pStyle w:val="Heading3"/>
        <w:spacing w:before="240"/>
      </w:pPr>
      <w:r w:rsidRPr="00F12AE4">
        <w:t>Outcome statements</w:t>
      </w:r>
    </w:p>
    <w:p w14:paraId="006A9A66" w14:textId="17DC73EE" w:rsidR="00F12AE4" w:rsidRPr="005E3994" w:rsidRDefault="00F12AE4" w:rsidP="005E3994">
      <w:pPr>
        <w:pStyle w:val="BodyText"/>
      </w:pPr>
      <w:r w:rsidRPr="005E3994">
        <w:t xml:space="preserve">All </w:t>
      </w:r>
      <w:r w:rsidR="007863A7" w:rsidRPr="005E3994">
        <w:t>3</w:t>
      </w:r>
      <w:r w:rsidRPr="005E3994">
        <w:t xml:space="preserve"> outcomes are applicable to all both areas of study and must all be addressed in all </w:t>
      </w:r>
      <w:r w:rsidR="007863A7" w:rsidRPr="005E3994">
        <w:t>4</w:t>
      </w:r>
      <w:r w:rsidRPr="005E3994">
        <w:t xml:space="preserve"> school-based assessment tasks.</w:t>
      </w:r>
    </w:p>
    <w:p w14:paraId="14B1E012" w14:textId="77777777" w:rsidR="00F12AE4" w:rsidRPr="00F12AE4" w:rsidRDefault="00F12AE4" w:rsidP="004F419E">
      <w:pPr>
        <w:pStyle w:val="Heading4"/>
        <w:spacing w:before="240"/>
      </w:pPr>
      <w:r w:rsidRPr="00F12AE4">
        <w:t xml:space="preserve">Outcome 1 </w:t>
      </w:r>
    </w:p>
    <w:p w14:paraId="06EDE20B" w14:textId="77777777" w:rsidR="00F12AE4" w:rsidRPr="003406BF" w:rsidRDefault="00F12AE4" w:rsidP="003406BF">
      <w:pPr>
        <w:pStyle w:val="BodyText"/>
      </w:pPr>
      <w:r w:rsidRPr="003406BF">
        <w:t>On completion of this unit the student should be able to define and explain key concepts as specified in the content from the areas of study and apply a range of related mathematical routines and procedures.</w:t>
      </w:r>
    </w:p>
    <w:p w14:paraId="6F057442" w14:textId="77777777" w:rsidR="00F12AE4" w:rsidRPr="00F12AE4" w:rsidRDefault="00F12AE4" w:rsidP="004F419E">
      <w:pPr>
        <w:pStyle w:val="Heading4"/>
        <w:spacing w:before="240"/>
      </w:pPr>
      <w:r w:rsidRPr="00F12AE4">
        <w:t>Outcome 2</w:t>
      </w:r>
    </w:p>
    <w:p w14:paraId="3F49E945" w14:textId="77777777" w:rsidR="00F12AE4" w:rsidRPr="00F12AE4" w:rsidRDefault="00F12AE4" w:rsidP="005E3994">
      <w:pPr>
        <w:pStyle w:val="BodyText"/>
      </w:pPr>
      <w:r w:rsidRPr="00F12AE4">
        <w:t>On completion of this unit the student should be able to apply mathematical processes in non-routine contexts, including situations with some open-ended aspects requiring investigative, modelling, or problem-solving techniques or approaches and analyse and discuss these applications of mathematics.</w:t>
      </w:r>
    </w:p>
    <w:p w14:paraId="1186E3D8" w14:textId="77777777" w:rsidR="00F12AE4" w:rsidRPr="00F12AE4" w:rsidRDefault="00F12AE4" w:rsidP="004F419E">
      <w:pPr>
        <w:pStyle w:val="Heading4"/>
        <w:spacing w:before="240"/>
      </w:pPr>
      <w:r w:rsidRPr="00F12AE4">
        <w:t>Outcome 3</w:t>
      </w:r>
    </w:p>
    <w:p w14:paraId="7EDF9EE5" w14:textId="76793B3B" w:rsidR="00F12AE4" w:rsidRPr="00F12AE4" w:rsidRDefault="00F12AE4" w:rsidP="005E3994">
      <w:pPr>
        <w:pStyle w:val="BodyText"/>
      </w:pPr>
      <w:r w:rsidRPr="00F12AE4">
        <w:t xml:space="preserve">On completion of this unit the student should be able to apply computational thinking and use numerical, graphical, symbolic, and statistical functionalities of technology to develop mathematical ideas, produce results and </w:t>
      </w:r>
      <w:r w:rsidR="007863A7" w:rsidRPr="00F12AE4">
        <w:t>conduct</w:t>
      </w:r>
      <w:r w:rsidRPr="00F12AE4">
        <w:t xml:space="preserve"> analysis in situations requiring investigative, modelling, or problem-solving techniques or approaches.</w:t>
      </w:r>
    </w:p>
    <w:p w14:paraId="63DFB7B1" w14:textId="77777777" w:rsidR="00F12AE4" w:rsidRPr="00F12AE4" w:rsidRDefault="00F12AE4" w:rsidP="004F419E">
      <w:pPr>
        <w:pStyle w:val="Heading3"/>
        <w:spacing w:before="240"/>
      </w:pPr>
      <w:r w:rsidRPr="00F12AE4">
        <w:t>Assessment specifications</w:t>
      </w:r>
    </w:p>
    <w:p w14:paraId="1896EEEC" w14:textId="46FA2772" w:rsidR="00F12AE4" w:rsidRPr="00F12AE4" w:rsidRDefault="004F419E" w:rsidP="005E3994">
      <w:pPr>
        <w:pStyle w:val="BodyText"/>
      </w:pPr>
      <w:r>
        <w:t>The Unit 3 and 4 s</w:t>
      </w:r>
      <w:r w:rsidR="00F12AE4" w:rsidRPr="00F12AE4">
        <w:t xml:space="preserve">chool-based assessment makes up 40 per cent of the overall score for the study. </w:t>
      </w:r>
    </w:p>
    <w:p w14:paraId="7158A39B" w14:textId="2D3A32D2" w:rsidR="00F12AE4" w:rsidRPr="00F12AE4" w:rsidRDefault="00F12AE4" w:rsidP="005E3994">
      <w:pPr>
        <w:pStyle w:val="BodyText"/>
      </w:pPr>
      <w:r w:rsidRPr="00F12AE4">
        <w:t xml:space="preserve">The </w:t>
      </w:r>
      <w:r w:rsidR="004F419E">
        <w:t>s</w:t>
      </w:r>
      <w:r w:rsidR="004F419E" w:rsidRPr="004F419E">
        <w:t xml:space="preserve">chool-based assessment </w:t>
      </w:r>
      <w:r w:rsidRPr="00F12AE4">
        <w:t xml:space="preserve">for Unit 3 consists of an Application task and a Modelling or Problem-solving task (Modelling or Problem-solving task 1). The Application task is </w:t>
      </w:r>
      <w:r w:rsidR="004F419E">
        <w:t xml:space="preserve">a </w:t>
      </w:r>
      <w:r w:rsidRPr="00F12AE4">
        <w:t>guided investigation of a given data set with several variables</w:t>
      </w:r>
      <w:r w:rsidR="004F419E">
        <w:t>,</w:t>
      </w:r>
      <w:r w:rsidRPr="00F12AE4">
        <w:t xml:space="preserve"> and should address Outcomes 1, 2 and 3 in the ratio of 10-20-10 respectively. Modelling or Problem-solving task 1 focuses on Recursion and </w:t>
      </w:r>
      <w:r w:rsidR="004F419E" w:rsidRPr="00F12AE4">
        <w:t xml:space="preserve">Financial Modelling </w:t>
      </w:r>
      <w:r w:rsidRPr="00F12AE4">
        <w:t>and should address Outcomes 1, 2 and 3 in the ratio 5-10-5 respectively (note that the mark distribution indicates that the contribution of the Application task to the overall Unit 3 score should be twice that of Modelling or Problem-solving task 1).</w:t>
      </w:r>
    </w:p>
    <w:p w14:paraId="70896346" w14:textId="441DA2B3" w:rsidR="00F12AE4" w:rsidRPr="00F12AE4" w:rsidRDefault="00F12AE4" w:rsidP="005E3994">
      <w:pPr>
        <w:pStyle w:val="BodyText"/>
      </w:pPr>
      <w:r w:rsidRPr="00F12AE4">
        <w:t xml:space="preserve">The </w:t>
      </w:r>
      <w:r w:rsidR="004F419E" w:rsidRPr="004F419E">
        <w:t xml:space="preserve">school-based assessment </w:t>
      </w:r>
      <w:r w:rsidRPr="00F12AE4">
        <w:t xml:space="preserve">for Unit 4 consists of </w:t>
      </w:r>
      <w:r w:rsidR="007863A7">
        <w:t>2</w:t>
      </w:r>
      <w:r w:rsidRPr="00F12AE4">
        <w:t xml:space="preserve"> Modelling or Problem-solving tasks (Modelling or Problem-solving tasks 2 and 3), one of which is to relate to Matrices, and the other to </w:t>
      </w:r>
      <w:r w:rsidR="004F419E">
        <w:t>Networks</w:t>
      </w:r>
      <w:r w:rsidRPr="00F12AE4">
        <w:t xml:space="preserve"> and Decision Mathematics. Modelling or Problem-solving tasks 2 and 3 should each address Outcomes 1, 2 and 3 in a ratio of 5-10-5 respectively.</w:t>
      </w:r>
    </w:p>
    <w:p w14:paraId="61B258E8" w14:textId="77777777" w:rsidR="00F12AE4" w:rsidRPr="005F5BE8" w:rsidRDefault="00F12AE4" w:rsidP="005E3994">
      <w:pPr>
        <w:pStyle w:val="Heading3"/>
        <w:keepNext/>
        <w:rPr>
          <w:sz w:val="36"/>
          <w:szCs w:val="36"/>
        </w:rPr>
      </w:pPr>
      <w:r w:rsidRPr="005F5BE8">
        <w:rPr>
          <w:sz w:val="36"/>
          <w:szCs w:val="36"/>
        </w:rPr>
        <w:t>Audit findings</w:t>
      </w:r>
    </w:p>
    <w:p w14:paraId="18298E66" w14:textId="77777777" w:rsidR="00F12AE4" w:rsidRPr="00B64D42" w:rsidRDefault="00F12AE4" w:rsidP="005E3994">
      <w:pPr>
        <w:pStyle w:val="Heading4"/>
        <w:keepNext/>
        <w:spacing w:before="120"/>
      </w:pPr>
      <w:r w:rsidRPr="00B64D42">
        <w:t>Mark allocations</w:t>
      </w:r>
    </w:p>
    <w:p w14:paraId="0D4891A2" w14:textId="0C3007CF" w:rsidR="00F12AE4" w:rsidRPr="00F12AE4" w:rsidRDefault="00F12AE4" w:rsidP="005E3994">
      <w:pPr>
        <w:pStyle w:val="BodyText"/>
      </w:pPr>
      <w:r w:rsidRPr="00F12AE4">
        <w:t xml:space="preserve">A number of schools were non-compliant in ensuring the mark allocations or weightings across the </w:t>
      </w:r>
      <w:r w:rsidR="007863A7">
        <w:t>3</w:t>
      </w:r>
      <w:r w:rsidRPr="00F12AE4">
        <w:t xml:space="preserve"> outcomes aligned with the allocations or weightings specified in the study design. In some cases, this was because the </w:t>
      </w:r>
      <w:r w:rsidRPr="00F12AE4">
        <w:lastRenderedPageBreak/>
        <w:t>marking scheme did not accurately reflect the demands of the task, but more commonly it was because the task did not address one or more of the outcomes to the level required.</w:t>
      </w:r>
    </w:p>
    <w:p w14:paraId="3407BEA2" w14:textId="77777777" w:rsidR="00F12AE4" w:rsidRPr="00B64D42" w:rsidRDefault="00F12AE4" w:rsidP="004F419E">
      <w:pPr>
        <w:pStyle w:val="Heading4"/>
        <w:spacing w:before="120"/>
      </w:pPr>
      <w:r w:rsidRPr="00B64D42">
        <w:t>Coverage of Outcome 2</w:t>
      </w:r>
    </w:p>
    <w:p w14:paraId="28290AF8" w14:textId="77777777" w:rsidR="00F12AE4" w:rsidRPr="00F12AE4" w:rsidRDefault="00F12AE4" w:rsidP="005E3994">
      <w:pPr>
        <w:pStyle w:val="BodyText"/>
      </w:pPr>
      <w:r w:rsidRPr="00F12AE4">
        <w:t xml:space="preserve">The most common issue noted in the school-based assessment audit was that schools submitted tasks that did not provide students with sufficient opportunity to develop responses that meet the requirements of Outcome 2. To meet the requirements of Outcome 2, each of the school-based assessment tasks must include open-ended aspects requiring investigative, modelling, or problem-solving techniques or approaches, where students can analyse and discuss these applications of mathematics. Many of the submitted tasks were in the format of structured or examination-style extended response questions, which do not provide sufficient scope for open-ended investigation. </w:t>
      </w:r>
    </w:p>
    <w:p w14:paraId="499695D3" w14:textId="77777777" w:rsidR="00F12AE4" w:rsidRPr="00F12AE4" w:rsidRDefault="00F12AE4" w:rsidP="005E3994">
      <w:pPr>
        <w:pStyle w:val="BodyText"/>
      </w:pPr>
      <w:r w:rsidRPr="00F12AE4">
        <w:t>The open-ended aspect should allow students to produce a variety of individual responses, and the assessment task and rubric should be structured in such a way that a range of responses can be considered correct.</w:t>
      </w:r>
    </w:p>
    <w:p w14:paraId="30FE8F4D" w14:textId="77777777" w:rsidR="00F12AE4" w:rsidRPr="00B64D42" w:rsidRDefault="00F12AE4" w:rsidP="004F419E">
      <w:pPr>
        <w:pStyle w:val="Heading4"/>
        <w:spacing w:before="120"/>
      </w:pPr>
      <w:r w:rsidRPr="00B64D42">
        <w:t>Selection of contexts and scenarios</w:t>
      </w:r>
    </w:p>
    <w:p w14:paraId="30CC5A09" w14:textId="77777777" w:rsidR="00F12AE4" w:rsidRPr="00F12AE4" w:rsidRDefault="00F12AE4" w:rsidP="005E3994">
      <w:pPr>
        <w:pStyle w:val="BodyText"/>
      </w:pPr>
      <w:r w:rsidRPr="00F12AE4">
        <w:t>Most of the submissions received to audit indicated the use by schools of appropriate contexts and scenarios for their school-based assessment tasks.</w:t>
      </w:r>
    </w:p>
    <w:p w14:paraId="2AA6D5AD" w14:textId="77777777" w:rsidR="00F12AE4" w:rsidRPr="00B64D42" w:rsidRDefault="00F12AE4" w:rsidP="004F419E">
      <w:pPr>
        <w:pStyle w:val="Heading4"/>
        <w:spacing w:before="120"/>
      </w:pPr>
      <w:r w:rsidRPr="00B64D42">
        <w:t>Instructions for students</w:t>
      </w:r>
    </w:p>
    <w:p w14:paraId="5D600F7C" w14:textId="77777777" w:rsidR="00F12AE4" w:rsidRPr="00F12AE4" w:rsidRDefault="00F12AE4" w:rsidP="005E3994">
      <w:pPr>
        <w:pStyle w:val="BodyText"/>
      </w:pPr>
      <w:r w:rsidRPr="00F12AE4">
        <w:t>Some submissions did not provide explicit instructions on how students could approach the task including equipment information, how the task would be marked, and the timeline for students to complete the task. It is important that schools adhere to mark allocations and provide students with clear instructions to promote student outcomes.</w:t>
      </w:r>
    </w:p>
    <w:p w14:paraId="493EE662" w14:textId="77777777" w:rsidR="00F12AE4" w:rsidRPr="00B64D42" w:rsidRDefault="00F12AE4" w:rsidP="004F419E">
      <w:pPr>
        <w:pStyle w:val="Heading4"/>
        <w:spacing w:before="120"/>
      </w:pPr>
      <w:r w:rsidRPr="00B64D42">
        <w:t>Authentication</w:t>
      </w:r>
    </w:p>
    <w:p w14:paraId="0D190B61" w14:textId="77777777" w:rsidR="00F12AE4" w:rsidRPr="00F12AE4" w:rsidRDefault="00F12AE4" w:rsidP="005E3994">
      <w:pPr>
        <w:pStyle w:val="BodyText"/>
      </w:pPr>
      <w:r w:rsidRPr="00F12AE4">
        <w:t>Most tasks were held to rigorous standards including authentication, log sheets, cross marking and internal moderation. Some submissions included components that were provided to students as a take-home task which would reduce the ability of the school to effectively authenticate student work and potentially make the task inequitable. School-assessed Coursework should be completed in controlled conditions to ensure student work can be authenticated and ensure that all students complete the set task under the same conditions.</w:t>
      </w:r>
    </w:p>
    <w:p w14:paraId="7C818219" w14:textId="161B92FC" w:rsidR="004F419E" w:rsidRPr="005E3994" w:rsidRDefault="00F12AE4" w:rsidP="005E3994">
      <w:pPr>
        <w:pStyle w:val="BodyText"/>
      </w:pPr>
      <w:r w:rsidRPr="00F12AE4">
        <w:t>A number of task submissions were found to be based on commercially available assessment resources. These had generally been modified sufficiently to ensure that the assessment was unique to the school.</w:t>
      </w:r>
    </w:p>
    <w:p w14:paraId="7CDCC932" w14:textId="77777777" w:rsidR="00F12AE4" w:rsidRPr="00F12AE4" w:rsidRDefault="00F12AE4" w:rsidP="004F419E">
      <w:pPr>
        <w:pStyle w:val="Heading3"/>
      </w:pPr>
      <w:r w:rsidRPr="00F12AE4">
        <w:t>Unit 3</w:t>
      </w:r>
    </w:p>
    <w:p w14:paraId="3D1F882A" w14:textId="77777777" w:rsidR="00F12AE4" w:rsidRPr="00F12AE4" w:rsidRDefault="00F12AE4" w:rsidP="004F419E">
      <w:pPr>
        <w:pStyle w:val="Heading4"/>
        <w:spacing w:before="120"/>
      </w:pPr>
      <w:r w:rsidRPr="00F12AE4">
        <w:t xml:space="preserve">Application task </w:t>
      </w:r>
    </w:p>
    <w:p w14:paraId="7DB7769D" w14:textId="77777777" w:rsidR="00F12AE4" w:rsidRPr="00F12AE4" w:rsidRDefault="00F12AE4" w:rsidP="005E3994">
      <w:pPr>
        <w:pStyle w:val="BodyText"/>
      </w:pPr>
      <w:r w:rsidRPr="00F12AE4">
        <w:t>The Application task should include a data set and related natural or topical questions of interest that allow students to choose and apply techniques to identify key characteristics of data, investigate possible trends and make comparisons.</w:t>
      </w:r>
    </w:p>
    <w:p w14:paraId="024E708E" w14:textId="77777777" w:rsidR="00F12AE4" w:rsidRPr="00F12AE4" w:rsidRDefault="00F12AE4" w:rsidP="005E3994">
      <w:pPr>
        <w:pStyle w:val="BodyText"/>
      </w:pPr>
      <w:r w:rsidRPr="00F12AE4">
        <w:t>The application task is to be of 4–6 hours’ duration over a period of 1–2 weeks.</w:t>
      </w:r>
    </w:p>
    <w:p w14:paraId="1640B375" w14:textId="77777777" w:rsidR="00F12AE4" w:rsidRPr="00F12AE4" w:rsidRDefault="00F12AE4" w:rsidP="005E3994">
      <w:pPr>
        <w:pStyle w:val="BodyText"/>
      </w:pPr>
      <w:r w:rsidRPr="00F12AE4">
        <w:t xml:space="preserve">Most of the Application tasks submitted to audit demonstrated appropriate coverage of the Data Analysis area of study and enabled students to demonstrate achievement of the outcomes. A wide range of contexts/data sets was used, including GDP, population characteristics, and the weather. </w:t>
      </w:r>
    </w:p>
    <w:p w14:paraId="4B314800" w14:textId="77777777" w:rsidR="00F12AE4" w:rsidRPr="00F12AE4" w:rsidRDefault="00F12AE4" w:rsidP="005E3994">
      <w:pPr>
        <w:pStyle w:val="BodyText"/>
      </w:pPr>
      <w:r w:rsidRPr="00F12AE4">
        <w:t>However, a number of the tasks submitted to audit consisted primarily of directed and prescriptive examination-style extended response questions, and as such did not reflect the expectation that the Application task should be constructed as an in-depth and self-directed statistical investigation of a given context.</w:t>
      </w:r>
      <w:r w:rsidRPr="00F12AE4">
        <w:rPr>
          <w:rFonts w:ascii="Times New Roman" w:eastAsia="Times New Roman" w:hAnsi="Times New Roman" w:cs="Times New Roman"/>
          <w:szCs w:val="20"/>
        </w:rPr>
        <w:t xml:space="preserve"> </w:t>
      </w:r>
      <w:r w:rsidRPr="00F12AE4">
        <w:t xml:space="preserve">The Application task should provide opportunities for students to draw together observations, predictions, interpretation of results </w:t>
      </w:r>
      <w:r w:rsidRPr="00F12AE4">
        <w:lastRenderedPageBreak/>
        <w:t xml:space="preserve">or concluding remarks with respect to the analysis carried out. Decisions about method, suitable scale, accuracy and the like should be made by the student. </w:t>
      </w:r>
    </w:p>
    <w:p w14:paraId="3CA41732" w14:textId="77777777" w:rsidR="00F12AE4" w:rsidRPr="00B64D42" w:rsidRDefault="00F12AE4" w:rsidP="004F419E">
      <w:pPr>
        <w:pStyle w:val="Heading4"/>
      </w:pPr>
      <w:r w:rsidRPr="00B64D42">
        <w:t>Modelling or Problem-solving task 1</w:t>
      </w:r>
    </w:p>
    <w:p w14:paraId="7E1AA1EA" w14:textId="77777777" w:rsidR="00F12AE4" w:rsidRPr="00F12AE4" w:rsidRDefault="00F12AE4" w:rsidP="005E3994">
      <w:pPr>
        <w:pStyle w:val="BodyText"/>
        <w:rPr>
          <w:b/>
          <w:bCs/>
        </w:rPr>
      </w:pPr>
      <w:r w:rsidRPr="00F12AE4">
        <w:t>Modelling or Problem-solving task 1 relates to Recursion and financial Modelling</w:t>
      </w:r>
      <w:r w:rsidRPr="00F12AE4">
        <w:rPr>
          <w:b/>
          <w:bCs/>
        </w:rPr>
        <w:t>.</w:t>
      </w:r>
    </w:p>
    <w:p w14:paraId="5EC29C85" w14:textId="77777777" w:rsidR="00F12AE4" w:rsidRPr="00F12AE4" w:rsidRDefault="00F12AE4" w:rsidP="005E3994">
      <w:pPr>
        <w:pStyle w:val="BodyText"/>
        <w:rPr>
          <w:bCs/>
          <w:lang w:val="en"/>
        </w:rPr>
      </w:pPr>
      <w:r w:rsidRPr="00F12AE4">
        <w:rPr>
          <w:bCs/>
          <w:lang w:val="en"/>
        </w:rPr>
        <w:t>The modelling or problem-solving task is to be of 2–3 hours’ duration over a period of 1 week.</w:t>
      </w:r>
    </w:p>
    <w:p w14:paraId="6AFB86BC" w14:textId="77777777" w:rsidR="00F12AE4" w:rsidRPr="00F12AE4" w:rsidRDefault="00F12AE4" w:rsidP="005E3994">
      <w:pPr>
        <w:pStyle w:val="BodyText"/>
        <w:rPr>
          <w:color w:val="000000"/>
        </w:rPr>
      </w:pPr>
      <w:r w:rsidRPr="00F12AE4">
        <w:rPr>
          <w:color w:val="000000"/>
        </w:rPr>
        <w:t>Based on the audit submissions received, school approaches to this assessment task were generally appropriate. However, some of the submitted tasks did not reflect the appropriate weightings of the outcomes. This is an area requiring detail and accuracy to ensure students are fairly assessed.</w:t>
      </w:r>
    </w:p>
    <w:p w14:paraId="4E6CD421" w14:textId="77777777" w:rsidR="00F12AE4" w:rsidRPr="00F12AE4" w:rsidRDefault="00F12AE4" w:rsidP="005E3994">
      <w:pPr>
        <w:pStyle w:val="BodyText"/>
        <w:rPr>
          <w:bCs/>
          <w:color w:val="000000"/>
        </w:rPr>
      </w:pPr>
      <w:r w:rsidRPr="00F12AE4">
        <w:t xml:space="preserve">Many of the tasks submitted to audit focused on key themes such as cars, retail or property purchases, financing renovations or other projects, and investments. Most of these scenarios had good potential. For future reference, schools may also wish to consider scenarios and contexts such as salary packaging, retirement funds, stock and share portfolios, </w:t>
      </w:r>
      <w:r w:rsidRPr="00F12AE4">
        <w:rPr>
          <w:color w:val="000000"/>
        </w:rPr>
        <w:t xml:space="preserve">exchange rates, insurance, financial problems, and debt consolidation as a basis for this task. </w:t>
      </w:r>
    </w:p>
    <w:p w14:paraId="4012DD51" w14:textId="77777777" w:rsidR="00F12AE4" w:rsidRPr="00F12AE4" w:rsidRDefault="00F12AE4" w:rsidP="005E3994">
      <w:pPr>
        <w:pStyle w:val="BodyText"/>
        <w:rPr>
          <w:bCs/>
          <w:color w:val="000000"/>
        </w:rPr>
      </w:pPr>
      <w:r w:rsidRPr="00F12AE4">
        <w:t xml:space="preserve">A number of schools developed their tasks as a series of examination-style extended response questions rather than providing scope for a more open-ended exploration of aspects of the context that permit engagement with mathematical modelling or problem-solving. For several tasks, this compromised the coverage of Outcome 2, which specifies that the assessment should include </w:t>
      </w:r>
      <w:r w:rsidRPr="00F12AE4">
        <w:rPr>
          <w:rFonts w:eastAsia="Times New Roman"/>
          <w:color w:val="000000"/>
          <w:kern w:val="22"/>
          <w:lang w:val="en-GB" w:eastAsia="ja-JP"/>
        </w:rPr>
        <w:t>open-ended aspects requiring investigative, modelling or problem-solving techniques or approaches, where students can analyse and discuss the mathematics.</w:t>
      </w:r>
    </w:p>
    <w:p w14:paraId="2EC13269" w14:textId="77777777" w:rsidR="00F12AE4" w:rsidRPr="00F12AE4" w:rsidRDefault="00F12AE4" w:rsidP="004F419E">
      <w:pPr>
        <w:pStyle w:val="Heading3"/>
      </w:pPr>
      <w:r w:rsidRPr="00F12AE4">
        <w:t>Unit 4</w:t>
      </w:r>
    </w:p>
    <w:p w14:paraId="564D4F3D" w14:textId="7AA2BD62" w:rsidR="00F12AE4" w:rsidRPr="008F5D45" w:rsidRDefault="00F12AE4" w:rsidP="004F419E">
      <w:pPr>
        <w:pStyle w:val="Heading4"/>
        <w:spacing w:before="240"/>
      </w:pPr>
      <w:r w:rsidRPr="00B64D42">
        <w:t>Modelling or Problem-solving tasks 2 and 3</w:t>
      </w:r>
    </w:p>
    <w:p w14:paraId="6EE5B531" w14:textId="1DAA981D" w:rsidR="00F12AE4" w:rsidRPr="00F12AE4" w:rsidRDefault="00F12AE4" w:rsidP="005E3994">
      <w:pPr>
        <w:pStyle w:val="BodyText"/>
      </w:pPr>
      <w:r w:rsidRPr="00F12AE4">
        <w:t xml:space="preserve">School-assessed coursework for Unit 4 includes Modelling or Problem-solving task 2 and Modelling or Problem-solving task 3. </w:t>
      </w:r>
      <w:r w:rsidRPr="00F12AE4">
        <w:rPr>
          <w:rFonts w:ascii="Times New Roman" w:eastAsia="Times New Roman" w:hAnsi="Times New Roman" w:cs="Times New Roman"/>
          <w:szCs w:val="20"/>
        </w:rPr>
        <w:t xml:space="preserve"> </w:t>
      </w:r>
      <w:r w:rsidRPr="00F12AE4">
        <w:t xml:space="preserve">One of the Modelling or problem-solving tasks is to relate to Matrices and the other Modelling or problem-solving task is to relate to </w:t>
      </w:r>
      <w:r w:rsidR="004F419E">
        <w:t>Networks</w:t>
      </w:r>
      <w:r w:rsidRPr="00F12AE4">
        <w:t xml:space="preserve"> and decision mathematics.</w:t>
      </w:r>
    </w:p>
    <w:p w14:paraId="7D65176D" w14:textId="77777777" w:rsidR="00F12AE4" w:rsidRPr="00F12AE4" w:rsidRDefault="00F12AE4" w:rsidP="005E3994">
      <w:pPr>
        <w:pStyle w:val="BodyText"/>
      </w:pPr>
      <w:r w:rsidRPr="00F12AE4">
        <w:t>Each Modelling or problem-solving task is to be of 2–3 hours’ duration over a period of 1 week.</w:t>
      </w:r>
    </w:p>
    <w:p w14:paraId="2A40AFE7" w14:textId="77777777" w:rsidR="00F12AE4" w:rsidRPr="00F12AE4" w:rsidRDefault="00F12AE4" w:rsidP="005E3994">
      <w:pPr>
        <w:pStyle w:val="BodyText"/>
      </w:pPr>
      <w:r w:rsidRPr="00F12AE4">
        <w:t xml:space="preserve">In many cases a modelling scenario or a problem was suitably developed, progressing from easier routine aspects at the beginning to more sophisticated analysis of non-routine aspects. </w:t>
      </w:r>
    </w:p>
    <w:p w14:paraId="0EA8FBC6" w14:textId="77777777" w:rsidR="00F12AE4" w:rsidRPr="00F12AE4" w:rsidRDefault="00F12AE4" w:rsidP="005E3994">
      <w:pPr>
        <w:pStyle w:val="BodyText"/>
      </w:pPr>
      <w:r w:rsidRPr="00F12AE4">
        <w:t>As with Modelling or Problem-solving task 1 a number of schools developed their Unit 4 tasks as a series of examination-style extended response questions rather than a more open-ended exploration of aspects of the context. Again, this compromised the coverage of Outcome 2, which specifies that the assessment should include open-ended aspects requiring investigative, modelling or problem-solving techniques or approaches</w:t>
      </w:r>
      <w:r w:rsidRPr="00F12AE4">
        <w:rPr>
          <w:b/>
          <w:bCs/>
        </w:rPr>
        <w:t>.</w:t>
      </w:r>
      <w:r w:rsidRPr="00F12AE4">
        <w:t xml:space="preserve"> However, most of these tasks could have been readily adapted to be more open-ended and therefore meet the requirements of Outcome 2.</w:t>
      </w:r>
    </w:p>
    <w:p w14:paraId="03CFA004" w14:textId="77777777" w:rsidR="00F12AE4" w:rsidRPr="00F12AE4" w:rsidRDefault="00F12AE4" w:rsidP="005E3994">
      <w:pPr>
        <w:pStyle w:val="BodyText"/>
      </w:pPr>
      <w:r w:rsidRPr="00F12AE4">
        <w:t>It was also noted that some of tasks and marking schemes submitted did not reflect the mark weightings for each outcome as stated in the study design.</w:t>
      </w:r>
    </w:p>
    <w:p w14:paraId="4F3A7F10" w14:textId="77777777" w:rsidR="00F12AE4" w:rsidRPr="00F12AE4" w:rsidRDefault="00F12AE4" w:rsidP="004F419E">
      <w:pPr>
        <w:pStyle w:val="Heading2"/>
      </w:pPr>
      <w:r w:rsidRPr="00F12AE4">
        <w:t>Resources and further information</w:t>
      </w:r>
    </w:p>
    <w:p w14:paraId="122958D7" w14:textId="77777777" w:rsidR="00F12AE4" w:rsidRPr="00F12AE4" w:rsidRDefault="00F12AE4" w:rsidP="005E3994">
      <w:pPr>
        <w:pStyle w:val="BodyText"/>
      </w:pPr>
      <w:r w:rsidRPr="00F12AE4">
        <w:rPr>
          <w:color w:val="000000"/>
        </w:rPr>
        <w:t xml:space="preserve">The </w:t>
      </w:r>
      <w:hyperlink r:id="rId9" w:history="1">
        <w:r w:rsidRPr="00F12AE4">
          <w:rPr>
            <w:color w:val="0000FF"/>
            <w:u w:val="single"/>
          </w:rPr>
          <w:t>VCAA General Mathematics Support Materials</w:t>
        </w:r>
      </w:hyperlink>
      <w:r w:rsidRPr="00F12AE4">
        <w:t xml:space="preserve"> include advice about School-assessed Coursework, sample Application tasks and Modelling or Problem-solving tasks. These are presented in an editable word document format that can be used as a template from which teachers can develop their own tasks. </w:t>
      </w:r>
    </w:p>
    <w:p w14:paraId="5741E348" w14:textId="77777777" w:rsidR="00F12AE4" w:rsidRPr="00F12AE4" w:rsidRDefault="00F12AE4" w:rsidP="005E3994">
      <w:pPr>
        <w:pStyle w:val="BodyText"/>
      </w:pPr>
      <w:r w:rsidRPr="00F12AE4">
        <w:lastRenderedPageBreak/>
        <w:t xml:space="preserve">The support materials also include on-demand videos, which provide a step-by-step guide through the tasks, general assessment advice and performance descriptors. </w:t>
      </w:r>
    </w:p>
    <w:p w14:paraId="06E0D4B4" w14:textId="6F92087D" w:rsidR="00F12AE4" w:rsidRPr="00F12AE4" w:rsidRDefault="00F12AE4" w:rsidP="005E3994">
      <w:pPr>
        <w:pStyle w:val="BodyText"/>
        <w:rPr>
          <w:rFonts w:eastAsia="Times New Roman"/>
          <w:iCs/>
        </w:rPr>
      </w:pPr>
      <w:r w:rsidRPr="00F12AE4">
        <w:rPr>
          <w:rFonts w:eastAsia="Times New Roman"/>
        </w:rPr>
        <w:t xml:space="preserve">All official communications regarding VCE study designs are provided in the </w:t>
      </w:r>
      <w:bookmarkStart w:id="1" w:name="_Hlk161147939"/>
      <w:r w:rsidRPr="00F12AE4">
        <w:rPr>
          <w:rFonts w:eastAsia="Times New Roman"/>
        </w:rPr>
        <w:fldChar w:fldCharType="begin"/>
      </w:r>
      <w:r w:rsidRPr="00F12AE4">
        <w:rPr>
          <w:rFonts w:eastAsia="Times New Roman"/>
        </w:rPr>
        <w:instrText>HYPERLINK "https://www.vcaa.vic.edu.au/news-and-events/bulletins-and-updates/seniorsecondaryupdate/Pages/index.aspx"</w:instrText>
      </w:r>
      <w:r w:rsidRPr="00F12AE4">
        <w:rPr>
          <w:rFonts w:eastAsia="Times New Roman"/>
        </w:rPr>
      </w:r>
      <w:r w:rsidRPr="00F12AE4">
        <w:rPr>
          <w:rFonts w:eastAsia="Times New Roman"/>
        </w:rPr>
        <w:fldChar w:fldCharType="separate"/>
      </w:r>
      <w:r w:rsidRPr="00F12AE4">
        <w:rPr>
          <w:rFonts w:eastAsia="Times New Roman"/>
          <w:color w:val="0000FF"/>
          <w:u w:val="single"/>
        </w:rPr>
        <w:t>Senior Secondary update</w:t>
      </w:r>
      <w:r w:rsidRPr="00F12AE4">
        <w:rPr>
          <w:rFonts w:eastAsia="Times New Roman"/>
        </w:rPr>
        <w:fldChar w:fldCharType="end"/>
      </w:r>
      <w:r w:rsidRPr="00F12AE4">
        <w:rPr>
          <w:rFonts w:eastAsia="Times New Roman"/>
        </w:rPr>
        <w:t xml:space="preserve"> </w:t>
      </w:r>
      <w:bookmarkEnd w:id="1"/>
      <w:r w:rsidRPr="00F12AE4">
        <w:rPr>
          <w:rFonts w:eastAsia="Times New Roman"/>
          <w:iCs/>
        </w:rPr>
        <w:t xml:space="preserve">and </w:t>
      </w:r>
      <w:bookmarkStart w:id="2" w:name="_Hlk160713415"/>
      <w:bookmarkStart w:id="3" w:name="_Hlk161148288"/>
      <w:r w:rsidRPr="00F12AE4">
        <w:rPr>
          <w:rFonts w:eastAsia="Times New Roman"/>
        </w:rPr>
        <w:fldChar w:fldCharType="begin"/>
      </w:r>
      <w:r w:rsidRPr="00F12AE4">
        <w:rPr>
          <w:rFonts w:eastAsia="Times New Roman"/>
        </w:rPr>
        <w:instrText>HYPERLINK "https://www.vcaa.vic.edu.au/administration/schooladministration/notices/Pages/index.aspx"</w:instrText>
      </w:r>
      <w:r w:rsidRPr="00F12AE4">
        <w:rPr>
          <w:rFonts w:eastAsia="Times New Roman"/>
        </w:rPr>
      </w:r>
      <w:r w:rsidRPr="00F12AE4">
        <w:rPr>
          <w:rFonts w:eastAsia="Times New Roman"/>
        </w:rPr>
        <w:fldChar w:fldCharType="separate"/>
      </w:r>
      <w:r w:rsidRPr="00F12AE4">
        <w:rPr>
          <w:rFonts w:eastAsia="Times New Roman"/>
          <w:color w:val="0000FF"/>
          <w:u w:val="single"/>
        </w:rPr>
        <w:t>Notices to Schools</w:t>
      </w:r>
      <w:bookmarkEnd w:id="2"/>
      <w:r w:rsidRPr="00F12AE4">
        <w:rPr>
          <w:rFonts w:eastAsia="Times New Roman"/>
        </w:rPr>
        <w:fldChar w:fldCharType="end"/>
      </w:r>
      <w:bookmarkEnd w:id="3"/>
      <w:r w:rsidRPr="00F12AE4">
        <w:rPr>
          <w:rFonts w:eastAsia="Times New Roman"/>
        </w:rPr>
        <w:t xml:space="preserve">. It is recommended that teachers subscribe to the </w:t>
      </w:r>
      <w:hyperlink r:id="rId10" w:history="1">
        <w:r w:rsidRPr="00F12AE4">
          <w:rPr>
            <w:rFonts w:eastAsia="Times New Roman"/>
            <w:iCs/>
            <w:color w:val="0000FF"/>
            <w:u w:val="single"/>
          </w:rPr>
          <w:t>Senior Secondary update</w:t>
        </w:r>
      </w:hyperlink>
      <w:r w:rsidRPr="00F12AE4">
        <w:rPr>
          <w:rFonts w:eastAsia="Times New Roman"/>
          <w:iCs/>
        </w:rPr>
        <w:t xml:space="preserve"> and the </w:t>
      </w:r>
      <w:hyperlink r:id="rId11" w:history="1">
        <w:r w:rsidRPr="00F12AE4">
          <w:rPr>
            <w:rFonts w:eastAsia="Times New Roman"/>
            <w:color w:val="0000FF"/>
            <w:u w:val="single"/>
          </w:rPr>
          <w:t>VCAA Bulletin</w:t>
        </w:r>
      </w:hyperlink>
      <w:r w:rsidRPr="00F12AE4">
        <w:rPr>
          <w:rFonts w:eastAsia="Times New Roman"/>
        </w:rPr>
        <w:t xml:space="preserve"> to receive updated information regarding the study. Important administrative dates and assessment schedules are published on the School administration page of the </w:t>
      </w:r>
      <w:bookmarkStart w:id="4" w:name="_Hlk160700954"/>
      <w:r w:rsidRPr="00F12AE4">
        <w:rPr>
          <w:rFonts w:eastAsia="Times New Roman"/>
        </w:rPr>
        <w:fldChar w:fldCharType="begin"/>
      </w:r>
      <w:r w:rsidRPr="00F12AE4">
        <w:rPr>
          <w:rFonts w:eastAsia="Times New Roman"/>
        </w:rPr>
        <w:instrText>HYPERLINK "https://www.vcaa.vic.edu.au/administration/schooladministration/Pages/Index.aspx"</w:instrText>
      </w:r>
      <w:r w:rsidRPr="00F12AE4">
        <w:rPr>
          <w:rFonts w:eastAsia="Times New Roman"/>
        </w:rPr>
      </w:r>
      <w:r w:rsidRPr="00F12AE4">
        <w:rPr>
          <w:rFonts w:eastAsia="Times New Roman"/>
        </w:rPr>
        <w:fldChar w:fldCharType="separate"/>
      </w:r>
      <w:r w:rsidRPr="00F12AE4">
        <w:rPr>
          <w:rFonts w:eastAsia="Times New Roman"/>
          <w:iCs/>
          <w:color w:val="0000FF"/>
          <w:u w:val="single"/>
        </w:rPr>
        <w:t>VCAA website</w:t>
      </w:r>
      <w:r w:rsidRPr="00F12AE4">
        <w:rPr>
          <w:rFonts w:eastAsia="Times New Roman"/>
        </w:rPr>
        <w:fldChar w:fldCharType="end"/>
      </w:r>
      <w:bookmarkEnd w:id="4"/>
      <w:r w:rsidRPr="00F12AE4">
        <w:rPr>
          <w:rFonts w:eastAsia="Times New Roman"/>
          <w:iCs/>
        </w:rPr>
        <w:t>.</w:t>
      </w:r>
    </w:p>
    <w:sectPr w:rsidR="00F12AE4" w:rsidRPr="00F12AE4"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FB16" w14:textId="77777777" w:rsidR="00AD0CEE" w:rsidRDefault="00AD0CEE" w:rsidP="00304EA1">
      <w:pPr>
        <w:spacing w:after="0" w:line="240" w:lineRule="auto"/>
      </w:pPr>
      <w:r>
        <w:separator/>
      </w:r>
    </w:p>
  </w:endnote>
  <w:endnote w:type="continuationSeparator" w:id="0">
    <w:p w14:paraId="1BADE6D1" w14:textId="77777777" w:rsidR="00AD0CEE" w:rsidRDefault="00AD0CE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5F5BE8" w14:paraId="6474FD3B" w14:textId="77777777" w:rsidTr="00BB3BAB">
      <w:trPr>
        <w:trHeight w:val="476"/>
      </w:trPr>
      <w:tc>
        <w:tcPr>
          <w:tcW w:w="1667" w:type="pct"/>
          <w:tcMar>
            <w:left w:w="0" w:type="dxa"/>
            <w:right w:w="0" w:type="dxa"/>
          </w:tcMar>
        </w:tcPr>
        <w:p w14:paraId="0EC15F2D" w14:textId="57185C62" w:rsidR="00FD29D3" w:rsidRPr="005F5BE8"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5F5BE8">
            <w:rPr>
              <w:rFonts w:asciiTheme="majorHAnsi" w:hAnsiTheme="majorHAnsi" w:cstheme="majorHAnsi"/>
              <w:color w:val="FFFFFF"/>
              <w:sz w:val="18"/>
              <w:szCs w:val="18"/>
            </w:rPr>
            <w:t xml:space="preserve">© </w:t>
          </w:r>
          <w:hyperlink r:id="rId1" w:history="1">
            <w:r w:rsidRPr="005F5BE8">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5F5BE8"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5F5BE8" w:rsidRDefault="00FD29D3" w:rsidP="00D06414">
          <w:pPr>
            <w:tabs>
              <w:tab w:val="right" w:pos="9639"/>
            </w:tabs>
            <w:spacing w:before="120" w:line="240" w:lineRule="exact"/>
            <w:jc w:val="right"/>
            <w:rPr>
              <w:rFonts w:asciiTheme="majorHAnsi" w:hAnsiTheme="majorHAnsi" w:cstheme="majorHAnsi"/>
              <w:sz w:val="18"/>
              <w:szCs w:val="18"/>
            </w:rPr>
          </w:pPr>
          <w:r w:rsidRPr="005F5BE8">
            <w:rPr>
              <w:rFonts w:asciiTheme="majorHAnsi" w:hAnsiTheme="majorHAnsi" w:cstheme="majorHAnsi"/>
              <w:sz w:val="18"/>
              <w:szCs w:val="18"/>
            </w:rPr>
            <w:t xml:space="preserve">Page </w:t>
          </w:r>
          <w:r w:rsidRPr="005F5BE8">
            <w:rPr>
              <w:rFonts w:asciiTheme="majorHAnsi" w:hAnsiTheme="majorHAnsi" w:cstheme="majorHAnsi"/>
              <w:sz w:val="18"/>
              <w:szCs w:val="18"/>
            </w:rPr>
            <w:fldChar w:fldCharType="begin"/>
          </w:r>
          <w:r w:rsidRPr="005F5BE8">
            <w:rPr>
              <w:rFonts w:asciiTheme="majorHAnsi" w:hAnsiTheme="majorHAnsi" w:cstheme="majorHAnsi"/>
              <w:sz w:val="18"/>
              <w:szCs w:val="18"/>
            </w:rPr>
            <w:instrText xml:space="preserve"> PAGE   \* MERGEFORMAT </w:instrText>
          </w:r>
          <w:r w:rsidRPr="005F5BE8">
            <w:rPr>
              <w:rFonts w:asciiTheme="majorHAnsi" w:hAnsiTheme="majorHAnsi" w:cstheme="majorHAnsi"/>
              <w:sz w:val="18"/>
              <w:szCs w:val="18"/>
            </w:rPr>
            <w:fldChar w:fldCharType="separate"/>
          </w:r>
          <w:r w:rsidR="00850410" w:rsidRPr="005F5BE8">
            <w:rPr>
              <w:rFonts w:asciiTheme="majorHAnsi" w:hAnsiTheme="majorHAnsi" w:cstheme="majorHAnsi"/>
              <w:noProof/>
              <w:sz w:val="18"/>
              <w:szCs w:val="18"/>
            </w:rPr>
            <w:t>3</w:t>
          </w:r>
          <w:r w:rsidRPr="005F5BE8">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F12AE4">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4B52FD1A">
          <wp:simplePos x="0" y="0"/>
          <wp:positionH relativeFrom="page">
            <wp:align>left</wp:align>
          </wp:positionH>
          <wp:positionV relativeFrom="page">
            <wp:posOffset>10170795</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5F5BE8" w14:paraId="36A4ADC1" w14:textId="77777777" w:rsidTr="000F5AAF">
      <w:tc>
        <w:tcPr>
          <w:tcW w:w="1459" w:type="pct"/>
          <w:tcMar>
            <w:left w:w="0" w:type="dxa"/>
            <w:right w:w="0" w:type="dxa"/>
          </w:tcMar>
        </w:tcPr>
        <w:p w14:paraId="74DB1FC2" w14:textId="0B2A642E" w:rsidR="00FD29D3" w:rsidRPr="005F5BE8" w:rsidRDefault="00FD29D3" w:rsidP="00D06414">
          <w:pPr>
            <w:tabs>
              <w:tab w:val="right" w:pos="9639"/>
            </w:tabs>
            <w:spacing w:before="120" w:line="240" w:lineRule="exact"/>
            <w:rPr>
              <w:rFonts w:asciiTheme="majorHAnsi" w:hAnsiTheme="majorHAnsi" w:cstheme="majorHAnsi"/>
              <w:color w:val="C0504D"/>
              <w:sz w:val="18"/>
              <w:szCs w:val="18"/>
            </w:rPr>
          </w:pPr>
          <w:r w:rsidRPr="005F5BE8">
            <w:rPr>
              <w:rFonts w:asciiTheme="majorHAnsi" w:hAnsiTheme="majorHAnsi" w:cstheme="majorHAnsi"/>
              <w:color w:val="FFFFFF"/>
              <w:sz w:val="18"/>
              <w:szCs w:val="18"/>
            </w:rPr>
            <w:t xml:space="preserve">© </w:t>
          </w:r>
          <w:hyperlink r:id="rId1" w:history="1">
            <w:r w:rsidRPr="005F5BE8">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5F5BE8"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5F5BE8"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F12AE4">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3CEE1416">
          <wp:simplePos x="0" y="0"/>
          <wp:positionH relativeFrom="page">
            <wp:align>left</wp:align>
          </wp:positionH>
          <wp:positionV relativeFrom="page">
            <wp:posOffset>10170160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9ED3" w14:textId="77777777" w:rsidR="00AD0CEE" w:rsidRDefault="00AD0CEE" w:rsidP="00304EA1">
      <w:pPr>
        <w:spacing w:after="0" w:line="240" w:lineRule="auto"/>
      </w:pPr>
      <w:r>
        <w:separator/>
      </w:r>
    </w:p>
  </w:footnote>
  <w:footnote w:type="continuationSeparator" w:id="0">
    <w:p w14:paraId="4E749DC9" w14:textId="77777777" w:rsidR="00AD0CEE" w:rsidRDefault="00AD0CE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369CB950" w:rsidR="00FD29D3" w:rsidRPr="002B0664" w:rsidRDefault="005F5BE8" w:rsidP="00D86DE4">
    <w:pPr>
      <w:pStyle w:val="Captionsandfootnotes"/>
      <w:rPr>
        <w:color w:val="auto"/>
      </w:rPr>
    </w:pPr>
    <w:r>
      <w:rPr>
        <w:color w:val="auto"/>
        <w:lang w:val="en-AU"/>
      </w:rPr>
      <w:t>School-based Assessment Report: VCE General Mathematics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B2A2657"/>
    <w:multiLevelType w:val="hybridMultilevel"/>
    <w:tmpl w:val="124A1C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5"/>
  </w:num>
  <w:num w:numId="2" w16cid:durableId="1678000311">
    <w:abstractNumId w:val="12"/>
  </w:num>
  <w:num w:numId="3" w16cid:durableId="1018848057">
    <w:abstractNumId w:val="11"/>
  </w:num>
  <w:num w:numId="4" w16cid:durableId="1304190575">
    <w:abstractNumId w:val="10"/>
  </w:num>
  <w:num w:numId="5" w16cid:durableId="2057312338">
    <w:abstractNumId w:val="14"/>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8278696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840E2"/>
    <w:rsid w:val="000A1CAA"/>
    <w:rsid w:val="000A264B"/>
    <w:rsid w:val="000A71F7"/>
    <w:rsid w:val="000C5BC0"/>
    <w:rsid w:val="000F09E4"/>
    <w:rsid w:val="000F16FD"/>
    <w:rsid w:val="000F5AAF"/>
    <w:rsid w:val="00143520"/>
    <w:rsid w:val="00153AD2"/>
    <w:rsid w:val="001779EA"/>
    <w:rsid w:val="00185282"/>
    <w:rsid w:val="001D3246"/>
    <w:rsid w:val="002279BA"/>
    <w:rsid w:val="002329F3"/>
    <w:rsid w:val="00243F0D"/>
    <w:rsid w:val="00260767"/>
    <w:rsid w:val="002647BB"/>
    <w:rsid w:val="002754C1"/>
    <w:rsid w:val="002841C8"/>
    <w:rsid w:val="0028516B"/>
    <w:rsid w:val="002B0664"/>
    <w:rsid w:val="002C6F90"/>
    <w:rsid w:val="002E4FB5"/>
    <w:rsid w:val="00302FB8"/>
    <w:rsid w:val="00304EA1"/>
    <w:rsid w:val="00314D81"/>
    <w:rsid w:val="00322FC6"/>
    <w:rsid w:val="003406BF"/>
    <w:rsid w:val="00341FA5"/>
    <w:rsid w:val="0035293F"/>
    <w:rsid w:val="00352C6F"/>
    <w:rsid w:val="00381C75"/>
    <w:rsid w:val="00391986"/>
    <w:rsid w:val="003A00B4"/>
    <w:rsid w:val="003A06B2"/>
    <w:rsid w:val="003A6022"/>
    <w:rsid w:val="003C5E71"/>
    <w:rsid w:val="00417AA3"/>
    <w:rsid w:val="00425DFE"/>
    <w:rsid w:val="00434EDB"/>
    <w:rsid w:val="00440B32"/>
    <w:rsid w:val="0046078D"/>
    <w:rsid w:val="00495C80"/>
    <w:rsid w:val="004A2ED8"/>
    <w:rsid w:val="004F419E"/>
    <w:rsid w:val="004F5BDA"/>
    <w:rsid w:val="0051631E"/>
    <w:rsid w:val="00531DDC"/>
    <w:rsid w:val="00537A1F"/>
    <w:rsid w:val="00566029"/>
    <w:rsid w:val="005923CB"/>
    <w:rsid w:val="005B391B"/>
    <w:rsid w:val="005D3D78"/>
    <w:rsid w:val="005E2EF0"/>
    <w:rsid w:val="005E3994"/>
    <w:rsid w:val="005F4092"/>
    <w:rsid w:val="005F5BE8"/>
    <w:rsid w:val="0068471E"/>
    <w:rsid w:val="00684F98"/>
    <w:rsid w:val="00693FFD"/>
    <w:rsid w:val="006D2159"/>
    <w:rsid w:val="006D3417"/>
    <w:rsid w:val="006F787C"/>
    <w:rsid w:val="00702636"/>
    <w:rsid w:val="00724507"/>
    <w:rsid w:val="00773E6C"/>
    <w:rsid w:val="00781FB1"/>
    <w:rsid w:val="007863A7"/>
    <w:rsid w:val="007D1B6D"/>
    <w:rsid w:val="007E3363"/>
    <w:rsid w:val="00813C37"/>
    <w:rsid w:val="008154B5"/>
    <w:rsid w:val="00823962"/>
    <w:rsid w:val="00850410"/>
    <w:rsid w:val="00852719"/>
    <w:rsid w:val="00860115"/>
    <w:rsid w:val="00870A89"/>
    <w:rsid w:val="0088783C"/>
    <w:rsid w:val="008F5D45"/>
    <w:rsid w:val="009334AE"/>
    <w:rsid w:val="009370BC"/>
    <w:rsid w:val="00970580"/>
    <w:rsid w:val="0098739B"/>
    <w:rsid w:val="009B61E5"/>
    <w:rsid w:val="009D1E89"/>
    <w:rsid w:val="009E5707"/>
    <w:rsid w:val="00A05CAF"/>
    <w:rsid w:val="00A17661"/>
    <w:rsid w:val="00A2070D"/>
    <w:rsid w:val="00A24B2D"/>
    <w:rsid w:val="00A40966"/>
    <w:rsid w:val="00A921E0"/>
    <w:rsid w:val="00A922F4"/>
    <w:rsid w:val="00AD0CEE"/>
    <w:rsid w:val="00AE5526"/>
    <w:rsid w:val="00AF051B"/>
    <w:rsid w:val="00B01578"/>
    <w:rsid w:val="00B0738F"/>
    <w:rsid w:val="00B13D3B"/>
    <w:rsid w:val="00B230DB"/>
    <w:rsid w:val="00B26601"/>
    <w:rsid w:val="00B33206"/>
    <w:rsid w:val="00B41951"/>
    <w:rsid w:val="00B53229"/>
    <w:rsid w:val="00B62480"/>
    <w:rsid w:val="00B64D42"/>
    <w:rsid w:val="00B81B70"/>
    <w:rsid w:val="00BB3BAB"/>
    <w:rsid w:val="00BD0724"/>
    <w:rsid w:val="00BD2B91"/>
    <w:rsid w:val="00BE5521"/>
    <w:rsid w:val="00BF6C23"/>
    <w:rsid w:val="00C53263"/>
    <w:rsid w:val="00C75F1D"/>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9673C"/>
    <w:rsid w:val="00DE1909"/>
    <w:rsid w:val="00DE51DB"/>
    <w:rsid w:val="00E208DF"/>
    <w:rsid w:val="00E23F1D"/>
    <w:rsid w:val="00E30E05"/>
    <w:rsid w:val="00E36361"/>
    <w:rsid w:val="00E55AE9"/>
    <w:rsid w:val="00E71100"/>
    <w:rsid w:val="00E7229D"/>
    <w:rsid w:val="00E75F25"/>
    <w:rsid w:val="00E83334"/>
    <w:rsid w:val="00E9448F"/>
    <w:rsid w:val="00EB0C84"/>
    <w:rsid w:val="00F12AE4"/>
    <w:rsid w:val="00F17FDE"/>
    <w:rsid w:val="00F40D53"/>
    <w:rsid w:val="00F4525C"/>
    <w:rsid w:val="00F50D86"/>
    <w:rsid w:val="00F66C43"/>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381C75"/>
    <w:pPr>
      <w:numPr>
        <w:numId w:val="1"/>
      </w:numPr>
      <w:tabs>
        <w:tab w:val="left" w:pos="425"/>
      </w:tabs>
      <w:spacing w:before="60" w:after="60"/>
      <w:ind w:left="425" w:hanging="425"/>
      <w:contextualSpacing/>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5E3994"/>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5E3994"/>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3406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37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vce-study-designs/generalmathematics/Pages/Index.aspx"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2026-08-19T02:16:00Z</dcterms:created>
  <dcterms:modified xsi:type="dcterms:W3CDTF">2026-08-19T02:16:00Z</dcterms:modified>
</cp:coreProperties>
</file>