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225D0" w14:textId="77777777" w:rsidR="001D5624" w:rsidRPr="001D5624" w:rsidRDefault="001D5624" w:rsidP="0013504B">
      <w:pPr>
        <w:pStyle w:val="Title"/>
        <w:rPr>
          <w:b/>
        </w:rPr>
      </w:pPr>
      <w:r w:rsidRPr="001D5624">
        <w:t>School-based Assessment Report</w:t>
      </w:r>
    </w:p>
    <w:p w14:paraId="56F196D8" w14:textId="77777777" w:rsidR="001D5624" w:rsidRPr="001D5624" w:rsidRDefault="001D5624" w:rsidP="0013504B">
      <w:pPr>
        <w:pStyle w:val="Heading1"/>
      </w:pPr>
      <w:r w:rsidRPr="001D5624">
        <w:t>VCE Specialist Mathematics</w:t>
      </w:r>
    </w:p>
    <w:p w14:paraId="0D34C718" w14:textId="77777777" w:rsidR="001D5624" w:rsidRPr="00F65BD8" w:rsidRDefault="001D5624" w:rsidP="00F65BD8">
      <w:pPr>
        <w:pStyle w:val="BodyText"/>
        <w:rPr>
          <w:rStyle w:val="Strong"/>
        </w:rPr>
      </w:pPr>
      <w:r w:rsidRPr="00F65BD8">
        <w:rPr>
          <w:rStyle w:val="Strong"/>
        </w:rPr>
        <w:t>Accreditation period from 2023</w:t>
      </w:r>
    </w:p>
    <w:p w14:paraId="3CC6A967" w14:textId="77777777" w:rsidR="001D5624" w:rsidRPr="001D5624" w:rsidRDefault="001D5624" w:rsidP="0013504B">
      <w:pPr>
        <w:pStyle w:val="Heading2"/>
      </w:pPr>
      <w:r w:rsidRPr="001D5624">
        <w:t>Introduction</w:t>
      </w:r>
    </w:p>
    <w:p w14:paraId="2C5DAB69" w14:textId="77777777" w:rsidR="001D5624" w:rsidRPr="001D5624" w:rsidRDefault="001D5624" w:rsidP="00F65BD8">
      <w:pPr>
        <w:pStyle w:val="BodyText"/>
      </w:pPr>
      <w:r w:rsidRPr="001D5624">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designs are being followed and that assessment is being carried out in line with the </w:t>
      </w:r>
      <w:hyperlink r:id="rId8" w:history="1">
        <w:r w:rsidRPr="001D5624">
          <w:rPr>
            <w:color w:val="0000FF"/>
            <w:u w:val="single"/>
          </w:rPr>
          <w:t>VCE assessment principles</w:t>
        </w:r>
      </w:hyperlink>
      <w:r w:rsidRPr="001D5624">
        <w:t>.</w:t>
      </w:r>
    </w:p>
    <w:p w14:paraId="2085B091" w14:textId="77777777" w:rsidR="001D5624" w:rsidRPr="001D5624" w:rsidRDefault="001D5624" w:rsidP="00F65BD8">
      <w:pPr>
        <w:pStyle w:val="BodyText"/>
      </w:pPr>
      <w:r w:rsidRPr="001D5624">
        <w:t>This report reflects the first year of implementation of this study design and is based on the findings of the 2023 School-based Assessment Audit.</w:t>
      </w:r>
    </w:p>
    <w:p w14:paraId="43D360D9" w14:textId="77777777" w:rsidR="001D5624" w:rsidRPr="001D5624" w:rsidRDefault="001D5624" w:rsidP="0013504B">
      <w:pPr>
        <w:pStyle w:val="Heading2"/>
        <w:spacing w:before="360"/>
        <w:contextualSpacing w:val="0"/>
      </w:pPr>
      <w:r w:rsidRPr="001D5624">
        <w:t>General comments</w:t>
      </w:r>
    </w:p>
    <w:p w14:paraId="1F374B30" w14:textId="22690E9D" w:rsidR="001D5624" w:rsidRPr="001D5624" w:rsidRDefault="001D5624" w:rsidP="00BF492B">
      <w:pPr>
        <w:pStyle w:val="BodyText"/>
      </w:pPr>
      <w:r w:rsidRPr="001D5624">
        <w:t xml:space="preserve">The revised and reaccredited Specialist Mathematics study was introduced in 2023. Units 3 and 4 together consist of </w:t>
      </w:r>
      <w:r w:rsidR="00226348">
        <w:t>6</w:t>
      </w:r>
      <w:r w:rsidRPr="001D5624">
        <w:t xml:space="preserve"> areas of study: ‘Discrete mathematics’, ‘Functions, relations and graphs’, ‘Algebra, number and structure’, ‘Calculus’, ‘Space and measurement’, and ‘Data analysis, probability and statistics’. </w:t>
      </w:r>
    </w:p>
    <w:p w14:paraId="274C2890" w14:textId="5FD6CAD1" w:rsidR="001D5624" w:rsidRPr="001D5624" w:rsidRDefault="001D5624" w:rsidP="00BF492B">
      <w:pPr>
        <w:pStyle w:val="BodyText"/>
      </w:pPr>
      <w:r w:rsidRPr="001D5624">
        <w:t xml:space="preserve">All </w:t>
      </w:r>
      <w:r w:rsidR="00226348">
        <w:t>6</w:t>
      </w:r>
      <w:r w:rsidRPr="001D5624">
        <w:t xml:space="preserve"> areas of study must be covered across Units 3 and 4. Schools may determine the order in which the areas of study are covered, but as a guide, Unit 3 would typically include content from the ‘Discrete mathematics’, ‘Functions, relations and graphs’, ‘Algebra, number and structure’, ‘Calculus’, and ‘Space and measurement’ areas of study. In Unit 4 the corresponding selection of content would typically consist of the remaining content from the ‘Discrete mathematics’, ‘Calculus’, and ‘Space and measurement’ and the content from ‘Data analysis, probability and statistics’.</w:t>
      </w:r>
    </w:p>
    <w:p w14:paraId="2FBCD1AA" w14:textId="77777777" w:rsidR="001D5624" w:rsidRPr="001D5624" w:rsidRDefault="001D5624" w:rsidP="00BF492B">
      <w:pPr>
        <w:pStyle w:val="BodyText"/>
      </w:pPr>
      <w:r w:rsidRPr="001D5624">
        <w:t>Each unit requires students to demonstrate achievement of Outcomes 1, 2 and 3. These outcomes, as a set, encompass all of the prescribed areas of study for each unit.</w:t>
      </w:r>
      <w:r w:rsidRPr="001D5624">
        <w:rPr>
          <w:b/>
          <w:color w:val="000000"/>
          <w:sz w:val="32"/>
          <w:szCs w:val="28"/>
        </w:rPr>
        <w:t xml:space="preserve"> </w:t>
      </w:r>
      <w:r w:rsidRPr="001D5624">
        <w:t>For Units 3 and 4, the outcomes apply to the content selected for that unit.</w:t>
      </w:r>
    </w:p>
    <w:p w14:paraId="79C426D1" w14:textId="77777777" w:rsidR="001D5624" w:rsidRPr="001D5624" w:rsidRDefault="001D5624" w:rsidP="0013504B">
      <w:pPr>
        <w:pStyle w:val="Heading2"/>
        <w:spacing w:before="360"/>
        <w:contextualSpacing w:val="0"/>
      </w:pPr>
      <w:r w:rsidRPr="001D5624">
        <w:t>Audit overview</w:t>
      </w:r>
    </w:p>
    <w:p w14:paraId="75122BBD" w14:textId="77777777" w:rsidR="001D5624" w:rsidRPr="004174B3" w:rsidRDefault="001D5624" w:rsidP="00BF492B">
      <w:pPr>
        <w:pStyle w:val="Bullet"/>
      </w:pPr>
      <w:r w:rsidRPr="004174B3">
        <w:t xml:space="preserve">The Application and Modelling or Problem-solving tasks submitted to audit generally used engaging and relevant contexts/scenarios and data sources. </w:t>
      </w:r>
    </w:p>
    <w:p w14:paraId="5524EFC3" w14:textId="77777777" w:rsidR="001D5624" w:rsidRPr="004174B3" w:rsidRDefault="001D5624" w:rsidP="00BF492B">
      <w:pPr>
        <w:pStyle w:val="Bullet"/>
      </w:pPr>
      <w:r w:rsidRPr="004174B3">
        <w:t>A number of tasks tried to include too much content. The tasks need not cover all of the content from an area of study, or all of the key knowledge and key skills for an outcome.</w:t>
      </w:r>
    </w:p>
    <w:p w14:paraId="050F00A8" w14:textId="77777777" w:rsidR="001D5624" w:rsidRPr="004174B3" w:rsidRDefault="001D5624" w:rsidP="00BF492B">
      <w:pPr>
        <w:pStyle w:val="Bullet"/>
      </w:pPr>
      <w:r w:rsidRPr="004174B3">
        <w:t>A number of tasks submitted to audit did not allow for open-ended or self-directed student investigation, and as such did not fully address Outcome 2.</w:t>
      </w:r>
    </w:p>
    <w:p w14:paraId="2B98E754" w14:textId="57F14CF3" w:rsidR="001D5624" w:rsidRPr="004174B3" w:rsidRDefault="001D5624" w:rsidP="00BF492B">
      <w:pPr>
        <w:pStyle w:val="Bullet"/>
      </w:pPr>
      <w:r w:rsidRPr="004174B3">
        <w:t xml:space="preserve">Several tasks submitted for audit tended to follow a format of structured questions or examination-style extended response questions, neither of which provide students sufficient opportunity to develop responses that demonstrate proficiency against all </w:t>
      </w:r>
      <w:r w:rsidR="00226348">
        <w:t>3</w:t>
      </w:r>
      <w:r w:rsidRPr="004174B3">
        <w:t xml:space="preserve"> outcomes, and as such are not sufficient to meet the requirements of the task types for this study. </w:t>
      </w:r>
    </w:p>
    <w:p w14:paraId="23EF4122" w14:textId="77777777" w:rsidR="001D5624" w:rsidRPr="001D5624" w:rsidRDefault="001D5624" w:rsidP="0013504B">
      <w:pPr>
        <w:pStyle w:val="Heading2"/>
      </w:pPr>
      <w:r w:rsidRPr="001D5624">
        <w:lastRenderedPageBreak/>
        <w:t xml:space="preserve">Units 3 </w:t>
      </w:r>
      <w:bookmarkStart w:id="0" w:name="_Hlk216782183"/>
      <w:r w:rsidRPr="001D5624">
        <w:t>and 4 School-based Assessment</w:t>
      </w:r>
      <w:bookmarkEnd w:id="0"/>
    </w:p>
    <w:p w14:paraId="2CA270FF" w14:textId="77777777" w:rsidR="001D5624" w:rsidRPr="001D5624" w:rsidRDefault="001D5624" w:rsidP="00BF492B">
      <w:pPr>
        <w:pStyle w:val="BodyText"/>
      </w:pPr>
      <w:r w:rsidRPr="001D5624">
        <w:t>In undertaking Units 3 and 4, students are expected to be able to apply techniques, routines and processes involving rational, real and complex arithmetic, sets, lists, tables and vectors, diagrams and geometric constructions, algorithms, algebraic manipulation, equations, graphs, differentiation, anti-differentiation and integration and inference, with and without the use of technology. They should have facility with relevant mental and by-hand approaches to estimation and computation. The use of numerical, graphical, geometric, symbolic and statistical functionality of technology for teaching and learning mathematics, for working mathematically, and in related assessment, is to be incorporated throughout each unit as applicable.</w:t>
      </w:r>
    </w:p>
    <w:p w14:paraId="6ED5B097" w14:textId="77777777" w:rsidR="001D5624" w:rsidRPr="001D5624" w:rsidRDefault="001D5624" w:rsidP="0013504B">
      <w:pPr>
        <w:pStyle w:val="Heading3"/>
      </w:pPr>
      <w:r w:rsidRPr="001D5624">
        <w:t>Outcome statements</w:t>
      </w:r>
    </w:p>
    <w:p w14:paraId="16E47569" w14:textId="154F5C7C" w:rsidR="001D5624" w:rsidRPr="001D5624" w:rsidRDefault="001D5624" w:rsidP="00BF492B">
      <w:pPr>
        <w:pStyle w:val="BodyText"/>
      </w:pPr>
      <w:r w:rsidRPr="001D5624">
        <w:t xml:space="preserve">For each unit the student is required to demonstrate achievement of </w:t>
      </w:r>
      <w:r w:rsidR="00226348">
        <w:t>3</w:t>
      </w:r>
      <w:r w:rsidRPr="001D5624">
        <w:t xml:space="preserve"> outcomes. All </w:t>
      </w:r>
      <w:r w:rsidR="00226348">
        <w:t>3</w:t>
      </w:r>
      <w:r w:rsidRPr="001D5624">
        <w:t xml:space="preserve"> outcomes are applicable to all </w:t>
      </w:r>
      <w:r w:rsidR="00226348">
        <w:t>6</w:t>
      </w:r>
      <w:r w:rsidRPr="001D5624">
        <w:t xml:space="preserve"> areas of study and must all be addressed in all </w:t>
      </w:r>
      <w:r w:rsidR="00226348">
        <w:t>3</w:t>
      </w:r>
      <w:r w:rsidRPr="001D5624">
        <w:t xml:space="preserve"> school-based assessment tasks.</w:t>
      </w:r>
    </w:p>
    <w:p w14:paraId="55790DFE" w14:textId="77777777" w:rsidR="001D5624" w:rsidRPr="001D5624" w:rsidRDefault="001D5624" w:rsidP="0013504B">
      <w:pPr>
        <w:pStyle w:val="Heading4"/>
        <w:spacing w:before="240"/>
      </w:pPr>
      <w:r w:rsidRPr="001D5624">
        <w:t xml:space="preserve">Outcome 1 </w:t>
      </w:r>
    </w:p>
    <w:p w14:paraId="201AA2BD" w14:textId="77777777" w:rsidR="001D5624" w:rsidRPr="00BF492B" w:rsidRDefault="001D5624" w:rsidP="00BF492B">
      <w:pPr>
        <w:pStyle w:val="BodyText"/>
      </w:pPr>
      <w:r w:rsidRPr="00BF492B">
        <w:t>On completion of this unit the student should be able to define and explain key concepts as specified in the content from the areas of study and apply a range of related mathematical routines and procedures.</w:t>
      </w:r>
    </w:p>
    <w:p w14:paraId="38E201DB" w14:textId="77777777" w:rsidR="001D5624" w:rsidRPr="001D5624" w:rsidRDefault="001D5624" w:rsidP="0013504B">
      <w:pPr>
        <w:pStyle w:val="Heading4"/>
        <w:spacing w:before="240"/>
      </w:pPr>
      <w:r w:rsidRPr="001D5624">
        <w:t>Outcome 2</w:t>
      </w:r>
    </w:p>
    <w:p w14:paraId="516DF630" w14:textId="77777777" w:rsidR="001D5624" w:rsidRPr="001D5624" w:rsidRDefault="001D5624" w:rsidP="00BF492B">
      <w:pPr>
        <w:pStyle w:val="BodyText"/>
      </w:pPr>
      <w:r w:rsidRPr="001D5624">
        <w:t>On completion of this unit the student should be able to apply mathematical processes in non-routine contexts, including situations with some open-ended aspects requiring investigative, modelling, or problem-solving techniques or approaches and analyse and discuss these applications of mathematics.</w:t>
      </w:r>
    </w:p>
    <w:p w14:paraId="028A8228" w14:textId="77777777" w:rsidR="001D5624" w:rsidRPr="001D5624" w:rsidRDefault="001D5624" w:rsidP="0013504B">
      <w:pPr>
        <w:pStyle w:val="Heading4"/>
        <w:spacing w:before="240"/>
      </w:pPr>
      <w:r w:rsidRPr="001D5624">
        <w:t>Outcome 3</w:t>
      </w:r>
    </w:p>
    <w:p w14:paraId="16AFEF88" w14:textId="5915DB0A" w:rsidR="001D5624" w:rsidRPr="001D5624" w:rsidRDefault="001D5624" w:rsidP="00BF492B">
      <w:pPr>
        <w:pStyle w:val="BodyText"/>
        <w:rPr>
          <w:rFonts w:eastAsia="Calibri"/>
          <w:color w:val="0F7EB4"/>
          <w:sz w:val="32"/>
          <w:szCs w:val="24"/>
        </w:rPr>
      </w:pPr>
      <w:r w:rsidRPr="001D5624">
        <w:t xml:space="preserve">On completion of this unit the student should be able to apply computational thinking and use numerical, graphical, symbolic, and statistical functionalities of technology to develop mathematical ideas, produce results and </w:t>
      </w:r>
      <w:r w:rsidR="0013504B" w:rsidRPr="001D5624">
        <w:t>conduct</w:t>
      </w:r>
      <w:r w:rsidRPr="001D5624">
        <w:t xml:space="preserve"> analysis in situations requiring investigative, modelling, or problem-solving techniques or approaches.</w:t>
      </w:r>
    </w:p>
    <w:p w14:paraId="7684F452" w14:textId="77777777" w:rsidR="001D5624" w:rsidRPr="001D5624" w:rsidRDefault="001D5624" w:rsidP="0013504B">
      <w:pPr>
        <w:pStyle w:val="Heading3"/>
        <w:spacing w:before="240"/>
      </w:pPr>
      <w:r w:rsidRPr="001D5624">
        <w:t>Assessment specifications</w:t>
      </w:r>
    </w:p>
    <w:p w14:paraId="659DDC4E" w14:textId="77777777" w:rsidR="001D5624" w:rsidRPr="001D5624" w:rsidRDefault="001D5624" w:rsidP="00BF492B">
      <w:pPr>
        <w:pStyle w:val="BodyText"/>
      </w:pPr>
      <w:r w:rsidRPr="001D5624">
        <w:t xml:space="preserve">The school-based assessment for Units 3 and 4 contributes 40 per cent of the study score. </w:t>
      </w:r>
    </w:p>
    <w:p w14:paraId="7419998A" w14:textId="40986C57" w:rsidR="001D5624" w:rsidRPr="001D5624" w:rsidRDefault="001D5624" w:rsidP="00BF492B">
      <w:pPr>
        <w:pStyle w:val="BodyText"/>
      </w:pPr>
      <w:r w:rsidRPr="001D5624">
        <w:t xml:space="preserve">The school-based assessment for Unit 3 is an Application task consisting of a mathematical investigation of a practical or theoretical context involving content from </w:t>
      </w:r>
      <w:r w:rsidR="00226348">
        <w:t>2</w:t>
      </w:r>
      <w:r w:rsidRPr="001D5624">
        <w:t xml:space="preserve"> or more areas of study, with the following </w:t>
      </w:r>
      <w:r w:rsidR="00226348">
        <w:t>3</w:t>
      </w:r>
      <w:r w:rsidRPr="001D5624">
        <w:t xml:space="preserve"> components of increasing complexity:</w:t>
      </w:r>
    </w:p>
    <w:p w14:paraId="152430FB" w14:textId="77777777" w:rsidR="001D5624" w:rsidRPr="001D5624" w:rsidRDefault="001D5624" w:rsidP="00BF492B">
      <w:pPr>
        <w:pStyle w:val="Bullet"/>
      </w:pPr>
      <w:r w:rsidRPr="001D5624">
        <w:t>introduction of the context through specific cases or examples</w:t>
      </w:r>
    </w:p>
    <w:p w14:paraId="2877CBC0" w14:textId="77777777" w:rsidR="001D5624" w:rsidRPr="001D5624" w:rsidRDefault="001D5624" w:rsidP="00BF492B">
      <w:pPr>
        <w:pStyle w:val="Bullet"/>
      </w:pPr>
      <w:r w:rsidRPr="001D5624">
        <w:t>consideration of general features of the context</w:t>
      </w:r>
    </w:p>
    <w:p w14:paraId="16D051EE" w14:textId="77777777" w:rsidR="001D5624" w:rsidRPr="001D5624" w:rsidRDefault="001D5624" w:rsidP="00BF492B">
      <w:pPr>
        <w:pStyle w:val="Bullet"/>
      </w:pPr>
      <w:r w:rsidRPr="001D5624">
        <w:t>variation or further specification of assumption or conditions involved in the context to focus on a particular feature or aspect related to the context.</w:t>
      </w:r>
    </w:p>
    <w:p w14:paraId="50E3CE62" w14:textId="77777777" w:rsidR="001D5624" w:rsidRPr="001D5624" w:rsidRDefault="001D5624" w:rsidP="00BF492B">
      <w:pPr>
        <w:pStyle w:val="BodyText"/>
      </w:pPr>
      <w:r w:rsidRPr="001D5624">
        <w:t>The Application task should address Outcomes 1, 2 and 3 in a ratio of 15-20-15 respectively</w:t>
      </w:r>
    </w:p>
    <w:p w14:paraId="4E7164E9" w14:textId="38953DD3" w:rsidR="001D5624" w:rsidRPr="001D5624" w:rsidRDefault="001D5624" w:rsidP="00BF492B">
      <w:pPr>
        <w:pStyle w:val="BodyText"/>
      </w:pPr>
      <w:r w:rsidRPr="001D5624">
        <w:t xml:space="preserve">The school-based assessment for Unit 4 consists of </w:t>
      </w:r>
      <w:r w:rsidR="00226348">
        <w:t>2</w:t>
      </w:r>
      <w:r w:rsidRPr="001D5624">
        <w:t xml:space="preserve"> Modelling or Problem-solving tasks, one of which is to address the Data analysis, probability and statistics area of study. Modelling or Problem-solving task 1 should address Outcomes 1, 2 and 3 in a ratio of 8-10-7 respectively, and Modelling or Problem-solving task 2 should address Outcomes 1, 2 and 3 in a ratio of 7-10-8 respectively.</w:t>
      </w:r>
    </w:p>
    <w:p w14:paraId="6F391A47" w14:textId="77777777" w:rsidR="001D5624" w:rsidRPr="001D5624" w:rsidRDefault="001D5624" w:rsidP="00BF492B">
      <w:pPr>
        <w:pStyle w:val="BodyText"/>
        <w:rPr>
          <w:rFonts w:eastAsia="Times New Roman"/>
          <w:kern w:val="22"/>
          <w:lang w:val="en-GB" w:eastAsia="ja-JP"/>
        </w:rPr>
      </w:pPr>
      <w:r w:rsidRPr="001D5624">
        <w:rPr>
          <w:rFonts w:eastAsia="Times New Roman"/>
          <w:kern w:val="22"/>
          <w:lang w:val="en-GB" w:eastAsia="ja-JP"/>
        </w:rPr>
        <w:t>Students should be able to produce a variety of individual responses, and the task and rubric should be structured in such a way that a range of different responses can be considered correct.</w:t>
      </w:r>
    </w:p>
    <w:p w14:paraId="7CB21B9D" w14:textId="77777777" w:rsidR="001D5624" w:rsidRPr="00167FEC" w:rsidRDefault="001D5624" w:rsidP="0013504B">
      <w:pPr>
        <w:pStyle w:val="Heading3"/>
        <w:spacing w:before="240" w:after="0"/>
        <w:rPr>
          <w:sz w:val="36"/>
          <w:szCs w:val="36"/>
        </w:rPr>
      </w:pPr>
      <w:r w:rsidRPr="00167FEC">
        <w:rPr>
          <w:sz w:val="36"/>
          <w:szCs w:val="36"/>
        </w:rPr>
        <w:lastRenderedPageBreak/>
        <w:t>Audit findings</w:t>
      </w:r>
    </w:p>
    <w:p w14:paraId="57DA3FC2" w14:textId="77777777" w:rsidR="001D5624" w:rsidRPr="001D5624" w:rsidRDefault="001D5624" w:rsidP="0013504B">
      <w:pPr>
        <w:pStyle w:val="Heading3"/>
        <w:spacing w:before="240"/>
      </w:pPr>
      <w:r w:rsidRPr="001D5624">
        <w:t>Overall</w:t>
      </w:r>
    </w:p>
    <w:p w14:paraId="6ACCDAB4" w14:textId="77777777" w:rsidR="001D5624" w:rsidRPr="001D5624" w:rsidRDefault="001D5624" w:rsidP="0013504B">
      <w:pPr>
        <w:pStyle w:val="Heading4"/>
        <w:spacing w:before="240"/>
      </w:pPr>
      <w:r w:rsidRPr="001D5624">
        <w:t>Use of appropriate themes and contexts</w:t>
      </w:r>
    </w:p>
    <w:p w14:paraId="4FEF1471" w14:textId="77777777" w:rsidR="001D5624" w:rsidRPr="001D5624" w:rsidRDefault="001D5624" w:rsidP="00BF492B">
      <w:pPr>
        <w:pStyle w:val="BodyText"/>
      </w:pPr>
      <w:r w:rsidRPr="001D5624">
        <w:t>Most of the submissions received to audit indicated the use of appropriate themes and contexts for school-based assessment.</w:t>
      </w:r>
    </w:p>
    <w:p w14:paraId="5FB9F0C1" w14:textId="66778E10" w:rsidR="00167FEC" w:rsidRPr="004174B3" w:rsidRDefault="001D5624" w:rsidP="0013504B">
      <w:pPr>
        <w:pStyle w:val="Heading4"/>
        <w:spacing w:before="240"/>
      </w:pPr>
      <w:r w:rsidRPr="004174B3">
        <w:t>Coverage of key knowledge and key skills</w:t>
      </w:r>
    </w:p>
    <w:p w14:paraId="0F3CEEBF" w14:textId="77777777" w:rsidR="001D5624" w:rsidRPr="001D5624" w:rsidRDefault="001D5624" w:rsidP="00BF492B">
      <w:pPr>
        <w:pStyle w:val="BodyText"/>
      </w:pPr>
      <w:r w:rsidRPr="001D5624">
        <w:t>Most schools developed school-based assessment that appropriately addressed the requirements of Outcomes 1 and 3 and addressed a range of key knowledge and key skills.</w:t>
      </w:r>
    </w:p>
    <w:p w14:paraId="2F9FDAB2" w14:textId="77777777" w:rsidR="001D5624" w:rsidRPr="001D5624" w:rsidRDefault="001D5624" w:rsidP="00BF492B">
      <w:pPr>
        <w:pStyle w:val="BodyText"/>
      </w:pPr>
      <w:r w:rsidRPr="001D5624">
        <w:t>The most common issue noted in the school-based assessment audit was that schools submitted tasks that did not provide students with sufficient opportunity to develop responses that meet the requirements of Outcome 2. To meet the requirements of Outcome 2, each of the school-based assessment tasks must include open-ended aspects requiring investigative, modelling, or problem-solving techniques or approaches, where students can analyse and discuss these applications of mathematics. Many of the submitted tasks were in the format of structured or examination-style extended response questions, which do not provide sufficient scope for open-ended investigation.</w:t>
      </w:r>
    </w:p>
    <w:p w14:paraId="2295B92E" w14:textId="77777777" w:rsidR="001D5624" w:rsidRPr="001D5624" w:rsidRDefault="001D5624" w:rsidP="00BF492B">
      <w:pPr>
        <w:pStyle w:val="BodyText"/>
      </w:pPr>
      <w:r w:rsidRPr="001D5624">
        <w:t xml:space="preserve">The open-ended aspect should allow students to produce a variety of individual responses, and the assessment task and rubric should be structured in such a way that a range of responses can be considered correct. </w:t>
      </w:r>
    </w:p>
    <w:p w14:paraId="64EDDD5F" w14:textId="77777777" w:rsidR="001D5624" w:rsidRPr="004174B3" w:rsidRDefault="001D5624" w:rsidP="0013504B">
      <w:pPr>
        <w:pStyle w:val="Heading4"/>
        <w:spacing w:before="240"/>
      </w:pPr>
      <w:r w:rsidRPr="004174B3">
        <w:t>Task format/structure</w:t>
      </w:r>
    </w:p>
    <w:p w14:paraId="7BFFF73D" w14:textId="2E04FA0E" w:rsidR="0013504B" w:rsidRPr="00BF492B" w:rsidRDefault="001D5624" w:rsidP="00BF492B">
      <w:pPr>
        <w:pStyle w:val="BodyText"/>
      </w:pPr>
      <w:r w:rsidRPr="001D5624">
        <w:t xml:space="preserve">The majority of Unit 3 Application tasks followed the required format of </w:t>
      </w:r>
      <w:r w:rsidR="00226348">
        <w:t>3</w:t>
      </w:r>
      <w:r w:rsidRPr="001D5624">
        <w:t xml:space="preserve"> linked components of increasing complexity. However, a number of the tasks (both Application and Modelling or Problem-solving) were in the format of structured or examination-style extended response questions and did not provide sufficient scope for open-ended investigation.</w:t>
      </w:r>
    </w:p>
    <w:p w14:paraId="37406FF2" w14:textId="77777777" w:rsidR="001D5624" w:rsidRPr="004174B3" w:rsidRDefault="001D5624" w:rsidP="0013504B">
      <w:pPr>
        <w:pStyle w:val="Heading4"/>
      </w:pPr>
      <w:r w:rsidRPr="004174B3">
        <w:t>Marking</w:t>
      </w:r>
    </w:p>
    <w:p w14:paraId="3E136956" w14:textId="77777777" w:rsidR="001D5624" w:rsidRPr="001D5624" w:rsidRDefault="001D5624" w:rsidP="00BF492B">
      <w:pPr>
        <w:pStyle w:val="BodyText"/>
      </w:pPr>
      <w:r w:rsidRPr="001D5624">
        <w:t>Approaches to marking,</w:t>
      </w:r>
      <w:r w:rsidRPr="001D5624">
        <w:rPr>
          <w:rFonts w:eastAsia="Arial"/>
        </w:rPr>
        <w:t xml:space="preserve"> </w:t>
      </w:r>
      <w:r w:rsidRPr="001D5624">
        <w:t>particularly in Unit 3, were broadly satisfactory, with the majority of marking schemes and approaches found to be appropriate for the associated task.</w:t>
      </w:r>
    </w:p>
    <w:p w14:paraId="09BCDA98" w14:textId="02F62A66" w:rsidR="001D5624" w:rsidRPr="001D5624" w:rsidRDefault="001D5624" w:rsidP="00BF492B">
      <w:pPr>
        <w:pStyle w:val="BodyText"/>
      </w:pPr>
      <w:bookmarkStart w:id="1" w:name="_Hlk221715348"/>
      <w:r w:rsidRPr="001D5624">
        <w:t>Where submitted tasks did not meet compliance for this dimension</w:t>
      </w:r>
      <w:bookmarkEnd w:id="1"/>
      <w:r w:rsidRPr="001D5624">
        <w:t xml:space="preserve">, it was most frequently in ensuring the mark allocations or weightings across the </w:t>
      </w:r>
      <w:r w:rsidR="00226348">
        <w:t>3</w:t>
      </w:r>
      <w:r w:rsidRPr="001D5624">
        <w:t xml:space="preserve"> outcomes aligned with the allocations or weightings specified in the study design. In some cases, this was because the marking scheme did not accurately reflect the demands of the task, but more commonly it was because the task itself did not address one or more of the outcomes to the level required.</w:t>
      </w:r>
    </w:p>
    <w:p w14:paraId="2D1A9E3C" w14:textId="77777777" w:rsidR="001D5624" w:rsidRPr="004174B3" w:rsidRDefault="001D5624" w:rsidP="0013504B">
      <w:pPr>
        <w:pStyle w:val="Heading4"/>
        <w:spacing w:before="240"/>
      </w:pPr>
      <w:r w:rsidRPr="004174B3">
        <w:t>Instructions for students</w:t>
      </w:r>
    </w:p>
    <w:p w14:paraId="7135334B" w14:textId="77777777" w:rsidR="001D5624" w:rsidRPr="001D5624" w:rsidRDefault="001D5624" w:rsidP="00BF492B">
      <w:pPr>
        <w:pStyle w:val="BodyText"/>
      </w:pPr>
      <w:r w:rsidRPr="001D5624">
        <w:t>Some submissions did not provide explicit instructions on how students could approach the task including equipment information, how the task would be marked, and the timeline for students to complete the task. It is important that schools adhere to mark allocations and provide students with clear instructions to promote student outcomes.</w:t>
      </w:r>
    </w:p>
    <w:p w14:paraId="20FDB9BC" w14:textId="77777777" w:rsidR="001D5624" w:rsidRPr="004174B3" w:rsidRDefault="001D5624" w:rsidP="00BF492B">
      <w:pPr>
        <w:pStyle w:val="Heading4"/>
        <w:keepNext/>
        <w:spacing w:before="240"/>
      </w:pPr>
      <w:r w:rsidRPr="004174B3">
        <w:lastRenderedPageBreak/>
        <w:t>Authentication</w:t>
      </w:r>
    </w:p>
    <w:p w14:paraId="40CB33F1" w14:textId="77777777" w:rsidR="001D5624" w:rsidRPr="001D5624" w:rsidRDefault="001D5624" w:rsidP="00BF492B">
      <w:pPr>
        <w:pStyle w:val="BodyText"/>
      </w:pPr>
      <w:r w:rsidRPr="001D5624">
        <w:t>Most tasks were held to rigorous standards through authentication, log sheets, cross marking and internal moderation. Some submissions included components that were provided to students as a take-home task which reduces the ability of the school to effectively authenticate student work and makes the task inequitable. School-assessed coursework should be completed in controlled conditions to authenticate students individual work and ensure that all students have the same conditions towards completing the set task.</w:t>
      </w:r>
    </w:p>
    <w:p w14:paraId="4E948BCD" w14:textId="77777777" w:rsidR="001D5624" w:rsidRPr="001D5624" w:rsidRDefault="001D5624" w:rsidP="00BF492B">
      <w:pPr>
        <w:pStyle w:val="BodyText"/>
        <w:rPr>
          <w:rFonts w:eastAsia="Times New Roman"/>
          <w:kern w:val="22"/>
          <w:lang w:val="en-GB" w:eastAsia="ja-JP"/>
        </w:rPr>
      </w:pPr>
      <w:r w:rsidRPr="001D5624">
        <w:t>A number of task submissions were found to be based on commercially available assessment resources. These had generally been modified sufficiently to ensure that the assessment was unique to the school.</w:t>
      </w:r>
      <w:r w:rsidRPr="001D5624">
        <w:rPr>
          <w:rFonts w:eastAsia="Times New Roman"/>
          <w:kern w:val="22"/>
          <w:lang w:val="en-GB" w:eastAsia="ja-JP"/>
        </w:rPr>
        <w:t xml:space="preserve"> </w:t>
      </w:r>
    </w:p>
    <w:p w14:paraId="33C41CDA" w14:textId="77777777" w:rsidR="001D5624" w:rsidRPr="001D5624" w:rsidRDefault="001D5624" w:rsidP="0013504B">
      <w:pPr>
        <w:pStyle w:val="Heading3"/>
      </w:pPr>
      <w:r w:rsidRPr="001D5624">
        <w:t>Unit 3</w:t>
      </w:r>
    </w:p>
    <w:p w14:paraId="0593A7D2" w14:textId="7FFFEFF8" w:rsidR="001D5624" w:rsidRPr="001D5624" w:rsidRDefault="001D5624" w:rsidP="00BF492B">
      <w:pPr>
        <w:pStyle w:val="BodyText"/>
      </w:pPr>
      <w:r w:rsidRPr="001D5624">
        <w:t xml:space="preserve">The Application task should be a mathematical investigation of a practical or theoretical context involving content from </w:t>
      </w:r>
      <w:r w:rsidR="00226348">
        <w:t>2</w:t>
      </w:r>
      <w:r w:rsidRPr="001D5624">
        <w:t xml:space="preserve"> or more areas of study, with </w:t>
      </w:r>
      <w:r w:rsidR="00226348">
        <w:t>3</w:t>
      </w:r>
      <w:r w:rsidRPr="001D5624">
        <w:t xml:space="preserve"> components of increasing complexity.</w:t>
      </w:r>
    </w:p>
    <w:p w14:paraId="0C99E7DA" w14:textId="77777777" w:rsidR="001D5624" w:rsidRPr="001D5624" w:rsidRDefault="001D5624" w:rsidP="00BF492B">
      <w:pPr>
        <w:pStyle w:val="BodyText"/>
        <w:rPr>
          <w:rFonts w:eastAsia="Calibri"/>
        </w:rPr>
      </w:pPr>
      <w:r w:rsidRPr="001D5624">
        <w:t>The Application task is to be of 4–6 hours’ duration over a period of 1–2 weeks.</w:t>
      </w:r>
    </w:p>
    <w:p w14:paraId="07605164" w14:textId="30A8B8BD" w:rsidR="001D5624" w:rsidRPr="001D5624" w:rsidRDefault="001D5624" w:rsidP="00BF492B">
      <w:pPr>
        <w:pStyle w:val="BodyText"/>
      </w:pPr>
      <w:r w:rsidRPr="001D5624">
        <w:rPr>
          <w:rFonts w:eastAsia="Calibri"/>
        </w:rPr>
        <w:t xml:space="preserve">Most of the Application tasks submitted to audit consisted of </w:t>
      </w:r>
      <w:r w:rsidR="00226348">
        <w:rPr>
          <w:rFonts w:eastAsia="Calibri"/>
        </w:rPr>
        <w:t>3</w:t>
      </w:r>
      <w:r w:rsidRPr="001D5624">
        <w:rPr>
          <w:rFonts w:eastAsia="Calibri"/>
        </w:rPr>
        <w:t xml:space="preserve"> components of increasing complexity as required.</w:t>
      </w:r>
    </w:p>
    <w:p w14:paraId="151F2FD7" w14:textId="77777777" w:rsidR="001D5624" w:rsidRPr="001D5624" w:rsidRDefault="001D5624" w:rsidP="00BF492B">
      <w:pPr>
        <w:pStyle w:val="BodyText"/>
      </w:pPr>
      <w:r w:rsidRPr="001D5624">
        <w:t xml:space="preserve">Tasks covered a variety of themes, contexts and topics. Functions, Algebra and Calculus were popular focus areas. Most tasks incorporated calculus alongside vectors, including applications of antidifferentiation and integration, and analysis of maximums and minimums. </w:t>
      </w:r>
    </w:p>
    <w:p w14:paraId="687AFBA8" w14:textId="77777777" w:rsidR="001D5624" w:rsidRPr="001D5624" w:rsidRDefault="001D5624" w:rsidP="0013504B">
      <w:pPr>
        <w:pStyle w:val="Heading4"/>
        <w:spacing w:before="240"/>
      </w:pPr>
      <w:r w:rsidRPr="001D5624">
        <w:t>Outcome 1</w:t>
      </w:r>
    </w:p>
    <w:p w14:paraId="511550D8" w14:textId="77777777" w:rsidR="001D5624" w:rsidRPr="001D5624" w:rsidRDefault="001D5624" w:rsidP="00BF492B">
      <w:pPr>
        <w:pStyle w:val="BodyText"/>
      </w:pPr>
      <w:r w:rsidRPr="001D5624">
        <w:t xml:space="preserve">The key knowledge and key skills for Outcome 1 were generally covered well. In particular, the definition and properties of vectors, vector operations, the geometric representation of vectors and the geometric interpretation of linear dependence and independence appeared across different themes and contexts. </w:t>
      </w:r>
    </w:p>
    <w:p w14:paraId="39CB4F20" w14:textId="77777777" w:rsidR="001D5624" w:rsidRPr="001D5624" w:rsidRDefault="001D5624" w:rsidP="00BF492B">
      <w:pPr>
        <w:pStyle w:val="BodyText"/>
      </w:pPr>
      <w:r w:rsidRPr="001D5624">
        <w:t xml:space="preserve">Other commonly covered knowledge and skills included techniques for finding anti-derivatives of functions, the relationship between the graph of a function and the graph of its anti-derivative functions, and graphical interpretation of definite integrals. </w:t>
      </w:r>
    </w:p>
    <w:p w14:paraId="47A7649A" w14:textId="548FAC28" w:rsidR="001D5624" w:rsidRPr="001D5624" w:rsidRDefault="001D5624" w:rsidP="00BF492B">
      <w:pPr>
        <w:pStyle w:val="BodyText"/>
      </w:pPr>
      <w:r w:rsidRPr="001D5624">
        <w:t xml:space="preserve">Some tasks encouraged consideration of multiple representations of a problem, including numerical, algebraic and graphical approaches. There were often opportunities for students to analyse key features of a graph, and to link these features to results obtained using non-graphical techniques.    </w:t>
      </w:r>
    </w:p>
    <w:p w14:paraId="7BCB49F3" w14:textId="77777777" w:rsidR="001D5624" w:rsidRPr="004174B3" w:rsidRDefault="001D5624" w:rsidP="0013504B">
      <w:pPr>
        <w:pStyle w:val="Heading4"/>
        <w:spacing w:before="240"/>
      </w:pPr>
      <w:r w:rsidRPr="004174B3">
        <w:t>Outcome 2</w:t>
      </w:r>
    </w:p>
    <w:p w14:paraId="40E0DF98" w14:textId="77777777" w:rsidR="001D5624" w:rsidRPr="001D5624" w:rsidRDefault="001D5624" w:rsidP="00BF492B">
      <w:pPr>
        <w:pStyle w:val="BodyText"/>
      </w:pPr>
      <w:r w:rsidRPr="001D5624">
        <w:t xml:space="preserve">Most of the submitted tasks enabled students to apply mathematical processes in non-routine contexts as required for Outcome 2. </w:t>
      </w:r>
    </w:p>
    <w:p w14:paraId="0DEEAEDA" w14:textId="77777777" w:rsidR="001D5624" w:rsidRPr="001D5624" w:rsidRDefault="001D5624" w:rsidP="00BF492B">
      <w:pPr>
        <w:pStyle w:val="BodyText"/>
        <w:rPr>
          <w:rFonts w:eastAsia="Arial"/>
        </w:rPr>
      </w:pPr>
      <w:r w:rsidRPr="001D5624">
        <w:rPr>
          <w:rFonts w:eastAsia="Arial"/>
        </w:rPr>
        <w:t>However, a number of the tasks submitted to audit consisted primarily of examination-style extended response questions, which did not provide students with sufficient opportunity to develop responses that meet the requirements of Outcome 2.</w:t>
      </w:r>
    </w:p>
    <w:p w14:paraId="18B69280" w14:textId="77777777" w:rsidR="001D5624" w:rsidRPr="001D5624" w:rsidRDefault="001D5624" w:rsidP="00BF492B">
      <w:pPr>
        <w:pStyle w:val="BodyText"/>
        <w:rPr>
          <w:rFonts w:eastAsia="Times New Roman"/>
          <w:kern w:val="22"/>
          <w:lang w:val="en-GB" w:eastAsia="ja-JP"/>
        </w:rPr>
      </w:pPr>
      <w:r w:rsidRPr="001D5624">
        <w:rPr>
          <w:rFonts w:eastAsia="Times New Roman"/>
          <w:kern w:val="22"/>
          <w:lang w:val="en-GB" w:eastAsia="ja-JP"/>
        </w:rPr>
        <w:t>To meet the requirements of Outcome 2, each of the school-based assessment tasks must include open-ended aspects requiring investigative, modelling, or problem-solving techniques or approaches, where students can analyse and discuss these applications of mathematics.</w:t>
      </w:r>
    </w:p>
    <w:p w14:paraId="2F1EFFE8" w14:textId="77777777" w:rsidR="001D5624" w:rsidRPr="001D5624" w:rsidRDefault="001D5624" w:rsidP="00BF492B">
      <w:pPr>
        <w:pStyle w:val="BodyText"/>
        <w:rPr>
          <w:rFonts w:eastAsia="Arial"/>
        </w:rPr>
      </w:pPr>
      <w:r w:rsidRPr="001D5624">
        <w:rPr>
          <w:rFonts w:eastAsia="Times New Roman"/>
          <w:kern w:val="22"/>
          <w:lang w:val="en-GB" w:eastAsia="ja-JP"/>
        </w:rPr>
        <w:t>The open-ended aspect should allow students to produce a variety of individual responses, and the assessment task and rubric should be structured in such a way that a range of responses can be considered correct.</w:t>
      </w:r>
    </w:p>
    <w:p w14:paraId="534C4517" w14:textId="77777777" w:rsidR="001D5624" w:rsidRPr="001D5624" w:rsidRDefault="001D5624" w:rsidP="00BF492B">
      <w:pPr>
        <w:pStyle w:val="BodyText"/>
      </w:pPr>
      <w:bookmarkStart w:id="2" w:name="_Hlk221714084"/>
      <w:r w:rsidRPr="001D5624">
        <w:t>The Application task should provide opportunities for students to draw together observations, predictions, interpretation of results or concluding remarks with respect to the analysis carried out. Some decisions about method, suitable scale, accuracy and the like should be left to the student.</w:t>
      </w:r>
      <w:bookmarkEnd w:id="2"/>
    </w:p>
    <w:p w14:paraId="30036D15" w14:textId="77777777" w:rsidR="001D5624" w:rsidRPr="001D5624" w:rsidRDefault="001D5624" w:rsidP="00BF492B">
      <w:pPr>
        <w:pStyle w:val="BodyText"/>
        <w:rPr>
          <w:color w:val="000000"/>
        </w:rPr>
      </w:pPr>
      <w:r w:rsidRPr="001D5624">
        <w:rPr>
          <w:color w:val="000000"/>
        </w:rPr>
        <w:lastRenderedPageBreak/>
        <w:t>Exemplary tasks provided scope for students with the opportunity to explore possibilities, make inferences, draw conclusions, explain results and communicate mathematically.</w:t>
      </w:r>
    </w:p>
    <w:p w14:paraId="0E7C7D6C" w14:textId="77777777" w:rsidR="001D5624" w:rsidRPr="004174B3" w:rsidRDefault="001D5624" w:rsidP="0013504B">
      <w:pPr>
        <w:pStyle w:val="Heading4"/>
      </w:pPr>
      <w:r w:rsidRPr="004174B3">
        <w:t>Outcome 3</w:t>
      </w:r>
    </w:p>
    <w:p w14:paraId="58E453F3" w14:textId="77777777" w:rsidR="001D5624" w:rsidRPr="001D5624" w:rsidRDefault="001D5624" w:rsidP="00BF492B">
      <w:pPr>
        <w:pStyle w:val="BodyText"/>
      </w:pPr>
      <w:r w:rsidRPr="001D5624">
        <w:t xml:space="preserve">In accordance with Outcome 3, most of the tasks submitted to audit required the selection of an appropriate functionality of technology in one or more situations. </w:t>
      </w:r>
    </w:p>
    <w:p w14:paraId="4A758890" w14:textId="77777777" w:rsidR="001D5624" w:rsidRPr="001D5624" w:rsidRDefault="001D5624" w:rsidP="00BF492B">
      <w:pPr>
        <w:pStyle w:val="BodyText"/>
      </w:pPr>
      <w:r w:rsidRPr="001D5624">
        <w:t>Some tasks encouraged students to identify the relation between numerical, graphical and symbolic forms of information about a function or equation, and the corresponding features.</w:t>
      </w:r>
    </w:p>
    <w:p w14:paraId="1A04DCBF" w14:textId="77777777" w:rsidR="001D5624" w:rsidRPr="004174B3" w:rsidRDefault="001D5624" w:rsidP="0013504B">
      <w:pPr>
        <w:pStyle w:val="Heading4"/>
        <w:spacing w:before="240"/>
      </w:pPr>
      <w:r w:rsidRPr="004174B3">
        <w:t>Marking</w:t>
      </w:r>
    </w:p>
    <w:p w14:paraId="47955C76" w14:textId="77777777" w:rsidR="001D5624" w:rsidRPr="001D5624" w:rsidRDefault="001D5624" w:rsidP="00BF492B">
      <w:pPr>
        <w:pStyle w:val="BodyText"/>
      </w:pPr>
      <w:r w:rsidRPr="001D5624">
        <w:t>Schools used various approaches to assess the Application task, with some schools using the VCAA Performance Descriptors, while others used a school-developed marking guide to assess, with marks allocated to each part of each question. This approach was considered suitable provided that the marking guide included appropriate mapping of the marks to the outcomes.</w:t>
      </w:r>
    </w:p>
    <w:p w14:paraId="4808E2E0" w14:textId="77777777" w:rsidR="001D5624" w:rsidRPr="001D5624" w:rsidRDefault="001D5624" w:rsidP="0013504B">
      <w:pPr>
        <w:pStyle w:val="Heading3"/>
        <w:spacing w:before="240"/>
      </w:pPr>
      <w:r w:rsidRPr="001D5624">
        <w:t>Unit 4</w:t>
      </w:r>
    </w:p>
    <w:p w14:paraId="17F47435" w14:textId="6422F5EB" w:rsidR="001D5624" w:rsidRPr="001D5624" w:rsidRDefault="001D5624" w:rsidP="00BF492B">
      <w:pPr>
        <w:pStyle w:val="BodyText"/>
      </w:pPr>
      <w:r w:rsidRPr="001D5624">
        <w:t xml:space="preserve">The audit found a range of contexts used across the </w:t>
      </w:r>
      <w:r w:rsidR="00226348">
        <w:t>2</w:t>
      </w:r>
      <w:r w:rsidRPr="001D5624">
        <w:t xml:space="preserve"> Modelling or problem-solving tasks. In terms of the areas of study to which the tasks related, Task 1 most commonly covered applications of calculus (sometimes focused on differential equations) and Task 2 was typically used for Data Analysis, Probability and Statistics.</w:t>
      </w:r>
    </w:p>
    <w:p w14:paraId="181ADE03" w14:textId="77777777" w:rsidR="001D5624" w:rsidRPr="001D5624" w:rsidRDefault="001D5624" w:rsidP="00BF492B">
      <w:pPr>
        <w:pStyle w:val="BodyText"/>
      </w:pPr>
      <w:r w:rsidRPr="001D5624">
        <w:t xml:space="preserve">Some of the </w:t>
      </w:r>
      <w:bookmarkStart w:id="3" w:name="_Hlk218774099"/>
      <w:r w:rsidRPr="001D5624">
        <w:t xml:space="preserve">Data Analysis, Probability and Statistics </w:t>
      </w:r>
      <w:bookmarkEnd w:id="3"/>
      <w:r w:rsidRPr="001D5624">
        <w:t xml:space="preserve">tasks included material related to statistical inference and drew on and incorporated the sorts of scenarios used in Examination 2 extended response questions. </w:t>
      </w:r>
    </w:p>
    <w:p w14:paraId="59C3DAE0" w14:textId="77777777" w:rsidR="001D5624" w:rsidRPr="001D5624" w:rsidRDefault="001D5624" w:rsidP="00BF492B">
      <w:pPr>
        <w:pStyle w:val="BodyText"/>
      </w:pPr>
      <w:r w:rsidRPr="001D5624">
        <w:t>The Modelling or Problem-solving tasks that were not related to Data Analysis, Probability and Statistics were generally based on real-life contexts where both differentiation and integration could be applied. In many cases a modelling scenario or a problem was suitably developed, progressing from easier routine aspects at the beginning to more difficult analysis of non-routine aspects, often involving the use of parameters</w:t>
      </w:r>
    </w:p>
    <w:p w14:paraId="49B0AFA5" w14:textId="77777777" w:rsidR="001D5624" w:rsidRPr="004174B3" w:rsidRDefault="001D5624" w:rsidP="0013504B">
      <w:pPr>
        <w:pStyle w:val="Heading4"/>
        <w:spacing w:before="240"/>
      </w:pPr>
      <w:r w:rsidRPr="004174B3">
        <w:t>Outcome 1</w:t>
      </w:r>
    </w:p>
    <w:p w14:paraId="1A4F38D7" w14:textId="499BF43B" w:rsidR="001D5624" w:rsidRPr="001D5624" w:rsidRDefault="001D5624" w:rsidP="00BF492B">
      <w:pPr>
        <w:pStyle w:val="BodyText"/>
      </w:pPr>
      <w:r w:rsidRPr="001D5624">
        <w:t xml:space="preserve">Outcome 1 was generally covered well. </w:t>
      </w:r>
      <w:r w:rsidR="004174B3">
        <w:t>Most of the submitted</w:t>
      </w:r>
      <w:r w:rsidRPr="001D5624">
        <w:t xml:space="preserve"> Data Analysis, Probability and Statistics tasks required to students to </w:t>
      </w:r>
      <w:r w:rsidRPr="001D5624">
        <w:rPr>
          <w:color w:val="000000"/>
        </w:rPr>
        <w:t xml:space="preserve">set up and solve problems involving the distribution of sample means, construct approximate confidence intervals for sample means, and undertake a hypothesis test for a mean of a sample from a normal distribution or a large sample.  </w:t>
      </w:r>
    </w:p>
    <w:p w14:paraId="6C445928" w14:textId="77777777" w:rsidR="001D5624" w:rsidRPr="004174B3" w:rsidRDefault="001D5624" w:rsidP="0013504B">
      <w:pPr>
        <w:pStyle w:val="Heading4"/>
        <w:spacing w:before="240"/>
      </w:pPr>
      <w:r w:rsidRPr="004174B3">
        <w:t>Outcome 2</w:t>
      </w:r>
    </w:p>
    <w:p w14:paraId="151D578F" w14:textId="0C440666" w:rsidR="001D5624" w:rsidRPr="001D5624" w:rsidRDefault="004174B3" w:rsidP="00BF492B">
      <w:pPr>
        <w:pStyle w:val="BodyText"/>
      </w:pPr>
      <w:r>
        <w:t>A</w:t>
      </w:r>
      <w:r w:rsidR="001D5624" w:rsidRPr="001D5624">
        <w:t xml:space="preserve">spects of Outcome 2 were not covered well. In particular, the question structure of some tasks did not encourage the verification of results using a variety of techniques (for example, using a simulation to verify a statistical calculation), or </w:t>
      </w:r>
      <w:r>
        <w:t>the</w:t>
      </w:r>
      <w:r w:rsidR="001D5624" w:rsidRPr="001D5624">
        <w:t xml:space="preserve"> reasoning</w:t>
      </w:r>
      <w:r>
        <w:t xml:space="preserve"> for,</w:t>
      </w:r>
      <w:r w:rsidR="001D5624" w:rsidRPr="001D5624">
        <w:t xml:space="preserve"> or justification of</w:t>
      </w:r>
      <w:r>
        <w:t>,</w:t>
      </w:r>
      <w:r w:rsidR="001D5624" w:rsidRPr="001D5624">
        <w:t xml:space="preserve"> results.</w:t>
      </w:r>
    </w:p>
    <w:p w14:paraId="21B4BE86" w14:textId="0D7E1089" w:rsidR="001D5624" w:rsidRPr="001D5624" w:rsidRDefault="004174B3" w:rsidP="00BF492B">
      <w:pPr>
        <w:pStyle w:val="BodyText"/>
        <w:rPr>
          <w:b/>
          <w:bCs/>
        </w:rPr>
      </w:pPr>
      <w:r>
        <w:t>A</w:t>
      </w:r>
      <w:r w:rsidR="001D5624" w:rsidRPr="001D5624">
        <w:t xml:space="preserve"> number of </w:t>
      </w:r>
      <w:r>
        <w:t>submitted</w:t>
      </w:r>
      <w:r w:rsidR="001D5624" w:rsidRPr="001D5624">
        <w:t xml:space="preserve"> Unit 4 tasks </w:t>
      </w:r>
      <w:r>
        <w:t>consisted of</w:t>
      </w:r>
      <w:r w:rsidR="001D5624" w:rsidRPr="001D5624">
        <w:t xml:space="preserve"> examination-style extended response questions rather than open-ended exploration</w:t>
      </w:r>
      <w:r w:rsidR="00867F29">
        <w:t>s</w:t>
      </w:r>
      <w:r w:rsidR="001D5624" w:rsidRPr="001D5624">
        <w:t xml:space="preserve"> of the context. </w:t>
      </w:r>
      <w:r w:rsidR="00867F29">
        <w:t>O</w:t>
      </w:r>
      <w:r w:rsidR="001D5624" w:rsidRPr="001D5624">
        <w:t>utcome 2</w:t>
      </w:r>
      <w:r w:rsidR="00867F29">
        <w:t xml:space="preserve"> </w:t>
      </w:r>
      <w:r w:rsidR="001D5624" w:rsidRPr="001D5624">
        <w:t>specifies that the assessment should include open-ended aspects requiring investigative, modelling or problem-solving techniques or approaches</w:t>
      </w:r>
      <w:r w:rsidR="001D5624" w:rsidRPr="001D5624">
        <w:rPr>
          <w:rFonts w:eastAsia="Times New Roman"/>
          <w:color w:val="000000"/>
          <w:kern w:val="22"/>
          <w:lang w:val="en-GB" w:eastAsia="ja-JP"/>
        </w:rPr>
        <w:t xml:space="preserve"> where students can analyse and discuss these applications of mathematics</w:t>
      </w:r>
      <w:r w:rsidR="001D5624" w:rsidRPr="001D5624">
        <w:rPr>
          <w:b/>
          <w:bCs/>
        </w:rPr>
        <w:t>.</w:t>
      </w:r>
    </w:p>
    <w:p w14:paraId="2DFDEFA6" w14:textId="77777777" w:rsidR="001D5624" w:rsidRPr="004174B3" w:rsidRDefault="001D5624" w:rsidP="0013504B">
      <w:pPr>
        <w:pStyle w:val="Heading4"/>
        <w:spacing w:before="240"/>
      </w:pPr>
      <w:r w:rsidRPr="004174B3">
        <w:t>Outcome 3</w:t>
      </w:r>
    </w:p>
    <w:p w14:paraId="01DF8C66" w14:textId="77777777" w:rsidR="001D5624" w:rsidRPr="001D5624" w:rsidRDefault="001D5624" w:rsidP="00BF492B">
      <w:pPr>
        <w:pStyle w:val="BodyText"/>
      </w:pPr>
      <w:r w:rsidRPr="001D5624">
        <w:t>A number of tasks provided opportunities to use of technology effectively and appropriately covered many of the key knowledge and key skills for Outcome 3. This was particularly the case with some of the tasks related to statistical inference, with analysis of data sets and the conduct of simulations related, for example, to the sampling distribution of a sample mean and random confidence intervals.</w:t>
      </w:r>
    </w:p>
    <w:p w14:paraId="7819D767" w14:textId="77777777" w:rsidR="001D5624" w:rsidRPr="004174B3" w:rsidRDefault="001D5624" w:rsidP="0013504B">
      <w:pPr>
        <w:pStyle w:val="Heading4"/>
        <w:spacing w:before="240"/>
      </w:pPr>
      <w:r w:rsidRPr="004174B3">
        <w:lastRenderedPageBreak/>
        <w:t>Marking</w:t>
      </w:r>
    </w:p>
    <w:p w14:paraId="12698D06" w14:textId="77777777" w:rsidR="001D5624" w:rsidRPr="001D5624" w:rsidRDefault="001D5624" w:rsidP="00BF492B">
      <w:pPr>
        <w:pStyle w:val="BodyText"/>
      </w:pPr>
      <w:r w:rsidRPr="001D5624">
        <w:t>Schools used various approaches to suitably assess the modelling or problem-solving tasks. Some schools based their assessment on the VCAA Performance Descriptors. In these cases, the suggested VCAA weightings were generally used.</w:t>
      </w:r>
    </w:p>
    <w:p w14:paraId="63D1967C" w14:textId="0FBEDA61" w:rsidR="0013504B" w:rsidRPr="00BF492B" w:rsidRDefault="001D5624" w:rsidP="00BF492B">
      <w:pPr>
        <w:pStyle w:val="BodyText"/>
      </w:pPr>
      <w:r w:rsidRPr="001D5624">
        <w:t>Other schools developed their own marking guide, with marks allocated to each part of each question. This was deemed a suitable approach, so long as there was a clear correspondence of marks to Outcomes 1, 2 and 3 in the ratios set out in the study design. However, there remained some instances where some of the marking schemes submitted did not reflect the mark weightings for each outcome as stated in the study design.</w:t>
      </w:r>
    </w:p>
    <w:p w14:paraId="09EA7B84" w14:textId="77777777" w:rsidR="001D5624" w:rsidRPr="001D5624" w:rsidRDefault="001D5624" w:rsidP="0013504B">
      <w:pPr>
        <w:pStyle w:val="Heading2"/>
      </w:pPr>
      <w:r w:rsidRPr="001D5624">
        <w:t>Resources and further information</w:t>
      </w:r>
    </w:p>
    <w:p w14:paraId="03912BA2" w14:textId="77777777" w:rsidR="001D5624" w:rsidRPr="001D5624" w:rsidRDefault="001D5624" w:rsidP="00BF492B">
      <w:pPr>
        <w:pStyle w:val="BodyText"/>
      </w:pPr>
      <w:r w:rsidRPr="001D5624">
        <w:rPr>
          <w:color w:val="000000"/>
        </w:rPr>
        <w:t xml:space="preserve">The </w:t>
      </w:r>
      <w:hyperlink r:id="rId9" w:history="1">
        <w:r w:rsidRPr="001D5624">
          <w:rPr>
            <w:color w:val="0000FF"/>
            <w:u w:val="single"/>
          </w:rPr>
          <w:t>VCAA Specialist Mathematics Support Materials</w:t>
        </w:r>
      </w:hyperlink>
      <w:r w:rsidRPr="001D5624">
        <w:t xml:space="preserve"> include advice about School-assessed Coursework, sample Application tasks and Modelling or Problem-solving tasks. These are presented in an editable word document format that can be used as a template from which teachers can develop their own tasks. </w:t>
      </w:r>
    </w:p>
    <w:p w14:paraId="73438D90" w14:textId="77777777" w:rsidR="001D5624" w:rsidRPr="001D5624" w:rsidRDefault="001D5624" w:rsidP="00BF492B">
      <w:pPr>
        <w:pStyle w:val="BodyText"/>
      </w:pPr>
      <w:r w:rsidRPr="001D5624">
        <w:t xml:space="preserve">The Support materials also include on-demand videos, which provide a step-by-step guide through the tasks, general assessment advice and performance descriptors. </w:t>
      </w:r>
    </w:p>
    <w:p w14:paraId="019AB17F" w14:textId="77777777" w:rsidR="001D5624" w:rsidRPr="001D5624" w:rsidRDefault="001D5624" w:rsidP="00BF492B">
      <w:pPr>
        <w:pStyle w:val="BodyText"/>
        <w:rPr>
          <w:rFonts w:eastAsia="Times New Roman"/>
          <w:iCs/>
        </w:rPr>
      </w:pPr>
      <w:r w:rsidRPr="001D5624">
        <w:rPr>
          <w:rFonts w:eastAsia="Times New Roman"/>
        </w:rPr>
        <w:t xml:space="preserve">All official communications regarding VCE study designs are provided in the </w:t>
      </w:r>
      <w:bookmarkStart w:id="4" w:name="_Hlk161147939"/>
      <w:r w:rsidRPr="001D5624">
        <w:rPr>
          <w:rFonts w:eastAsia="Times New Roman"/>
        </w:rPr>
        <w:fldChar w:fldCharType="begin"/>
      </w:r>
      <w:r w:rsidRPr="001D5624">
        <w:rPr>
          <w:rFonts w:eastAsia="Times New Roman"/>
        </w:rPr>
        <w:instrText>HYPERLINK "https://www.vcaa.vic.edu.au/news-and-events/bulletins-and-updates/seniorsecondaryupdate/Pages/index.aspx"</w:instrText>
      </w:r>
      <w:r w:rsidRPr="001D5624">
        <w:rPr>
          <w:rFonts w:eastAsia="Times New Roman"/>
        </w:rPr>
      </w:r>
      <w:r w:rsidRPr="001D5624">
        <w:rPr>
          <w:rFonts w:eastAsia="Times New Roman"/>
        </w:rPr>
        <w:fldChar w:fldCharType="separate"/>
      </w:r>
      <w:r w:rsidRPr="001D5624">
        <w:rPr>
          <w:rFonts w:eastAsia="Times New Roman"/>
          <w:color w:val="0000FF"/>
          <w:u w:val="single"/>
        </w:rPr>
        <w:t>Senior Secondary update</w:t>
      </w:r>
      <w:r w:rsidRPr="001D5624">
        <w:rPr>
          <w:rFonts w:eastAsia="Times New Roman"/>
        </w:rPr>
        <w:fldChar w:fldCharType="end"/>
      </w:r>
      <w:r w:rsidRPr="001D5624">
        <w:rPr>
          <w:rFonts w:eastAsia="Times New Roman"/>
        </w:rPr>
        <w:t xml:space="preserve"> </w:t>
      </w:r>
      <w:bookmarkEnd w:id="4"/>
      <w:r w:rsidRPr="001D5624">
        <w:rPr>
          <w:rFonts w:eastAsia="Times New Roman"/>
          <w:iCs/>
        </w:rPr>
        <w:t xml:space="preserve">and </w:t>
      </w:r>
      <w:bookmarkStart w:id="5" w:name="_Hlk160713415"/>
      <w:bookmarkStart w:id="6" w:name="_Hlk161148288"/>
      <w:r w:rsidRPr="001D5624">
        <w:rPr>
          <w:rFonts w:eastAsia="Times New Roman"/>
        </w:rPr>
        <w:fldChar w:fldCharType="begin"/>
      </w:r>
      <w:r w:rsidRPr="001D5624">
        <w:rPr>
          <w:rFonts w:eastAsia="Times New Roman"/>
        </w:rPr>
        <w:instrText>HYPERLINK "https://www.vcaa.vic.edu.au/administration/schooladministration/notices/Pages/index.aspx"</w:instrText>
      </w:r>
      <w:r w:rsidRPr="001D5624">
        <w:rPr>
          <w:rFonts w:eastAsia="Times New Roman"/>
        </w:rPr>
      </w:r>
      <w:r w:rsidRPr="001D5624">
        <w:rPr>
          <w:rFonts w:eastAsia="Times New Roman"/>
        </w:rPr>
        <w:fldChar w:fldCharType="separate"/>
      </w:r>
      <w:r w:rsidRPr="001D5624">
        <w:rPr>
          <w:rFonts w:eastAsia="Times New Roman"/>
          <w:color w:val="0000FF"/>
          <w:u w:val="single"/>
        </w:rPr>
        <w:t>Notices to Schools</w:t>
      </w:r>
      <w:bookmarkEnd w:id="5"/>
      <w:r w:rsidRPr="001D5624">
        <w:rPr>
          <w:rFonts w:eastAsia="Times New Roman"/>
        </w:rPr>
        <w:fldChar w:fldCharType="end"/>
      </w:r>
      <w:bookmarkEnd w:id="6"/>
      <w:r w:rsidRPr="001D5624">
        <w:rPr>
          <w:rFonts w:eastAsia="Times New Roman"/>
        </w:rPr>
        <w:t xml:space="preserve">. It is recommended that teachers subscribe to the </w:t>
      </w:r>
      <w:hyperlink r:id="rId10" w:history="1">
        <w:r w:rsidRPr="001D5624">
          <w:rPr>
            <w:rFonts w:eastAsia="Times New Roman"/>
            <w:iCs/>
            <w:color w:val="0000FF"/>
            <w:u w:val="single"/>
          </w:rPr>
          <w:t>Senior Secondary update</w:t>
        </w:r>
      </w:hyperlink>
      <w:r w:rsidRPr="001D5624">
        <w:rPr>
          <w:rFonts w:eastAsia="Times New Roman"/>
          <w:iCs/>
        </w:rPr>
        <w:t xml:space="preserve"> and the </w:t>
      </w:r>
      <w:hyperlink r:id="rId11" w:history="1">
        <w:r w:rsidRPr="001D5624">
          <w:rPr>
            <w:rFonts w:eastAsia="Times New Roman"/>
            <w:color w:val="0000FF"/>
            <w:u w:val="single"/>
          </w:rPr>
          <w:t>VCAA Bulletin</w:t>
        </w:r>
      </w:hyperlink>
      <w:r w:rsidRPr="001D5624">
        <w:rPr>
          <w:rFonts w:eastAsia="Times New Roman"/>
        </w:rPr>
        <w:t xml:space="preserve"> to receive updated information regarding the study. Important administrative dates and assessment schedules are published on the School administration page of the </w:t>
      </w:r>
      <w:bookmarkStart w:id="7" w:name="_Hlk160700954"/>
      <w:r w:rsidRPr="001D5624">
        <w:rPr>
          <w:rFonts w:eastAsia="Times New Roman"/>
        </w:rPr>
        <w:fldChar w:fldCharType="begin"/>
      </w:r>
      <w:r w:rsidRPr="001D5624">
        <w:rPr>
          <w:rFonts w:eastAsia="Times New Roman"/>
        </w:rPr>
        <w:instrText>HYPERLINK "https://www.vcaa.vic.edu.au/administration/schooladministration/Pages/Index.aspx"</w:instrText>
      </w:r>
      <w:r w:rsidRPr="001D5624">
        <w:rPr>
          <w:rFonts w:eastAsia="Times New Roman"/>
        </w:rPr>
      </w:r>
      <w:r w:rsidRPr="001D5624">
        <w:rPr>
          <w:rFonts w:eastAsia="Times New Roman"/>
        </w:rPr>
        <w:fldChar w:fldCharType="separate"/>
      </w:r>
      <w:r w:rsidRPr="001D5624">
        <w:rPr>
          <w:rFonts w:eastAsia="Times New Roman"/>
          <w:iCs/>
          <w:color w:val="0000FF"/>
          <w:u w:val="single"/>
        </w:rPr>
        <w:t>VCAA website</w:t>
      </w:r>
      <w:r w:rsidRPr="001D5624">
        <w:rPr>
          <w:rFonts w:eastAsia="Times New Roman"/>
        </w:rPr>
        <w:fldChar w:fldCharType="end"/>
      </w:r>
      <w:bookmarkEnd w:id="7"/>
      <w:r w:rsidRPr="001D5624">
        <w:rPr>
          <w:rFonts w:eastAsia="Times New Roman"/>
          <w:iCs/>
        </w:rPr>
        <w:t>.</w:t>
      </w:r>
    </w:p>
    <w:p w14:paraId="26980312" w14:textId="77777777" w:rsidR="001D5624" w:rsidRPr="001D5624" w:rsidRDefault="001D5624" w:rsidP="0013504B">
      <w:pPr>
        <w:spacing w:before="120" w:after="160"/>
        <w:contextualSpacing/>
        <w:jc w:val="both"/>
        <w:rPr>
          <w:rFonts w:ascii="Arial" w:eastAsia="Arial" w:hAnsi="Arial" w:cs="Arial"/>
          <w:color w:val="000000"/>
        </w:rPr>
      </w:pPr>
    </w:p>
    <w:sectPr w:rsidR="001D5624" w:rsidRPr="001D5624"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5D0CD" w14:textId="77777777" w:rsidR="00891195" w:rsidRDefault="00891195" w:rsidP="00304EA1">
      <w:pPr>
        <w:spacing w:after="0" w:line="240" w:lineRule="auto"/>
      </w:pPr>
      <w:r>
        <w:separator/>
      </w:r>
    </w:p>
  </w:endnote>
  <w:endnote w:type="continuationSeparator" w:id="0">
    <w:p w14:paraId="08066E3A" w14:textId="77777777" w:rsidR="00891195" w:rsidRDefault="0089119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167FEC" w14:paraId="6474FD3B" w14:textId="77777777" w:rsidTr="00BB3BAB">
      <w:trPr>
        <w:trHeight w:val="476"/>
      </w:trPr>
      <w:tc>
        <w:tcPr>
          <w:tcW w:w="1667" w:type="pct"/>
          <w:tcMar>
            <w:left w:w="0" w:type="dxa"/>
            <w:right w:w="0" w:type="dxa"/>
          </w:tcMar>
        </w:tcPr>
        <w:p w14:paraId="0EC15F2D" w14:textId="57185C62" w:rsidR="00FD29D3" w:rsidRPr="00167FEC"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167FEC">
            <w:rPr>
              <w:rFonts w:asciiTheme="majorHAnsi" w:hAnsiTheme="majorHAnsi" w:cstheme="majorHAnsi"/>
              <w:color w:val="FFFFFF"/>
              <w:sz w:val="18"/>
              <w:szCs w:val="18"/>
            </w:rPr>
            <w:t xml:space="preserve">© </w:t>
          </w:r>
          <w:hyperlink r:id="rId1" w:history="1">
            <w:r w:rsidRPr="00167FEC">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167FEC"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167FEC" w:rsidRDefault="00FD29D3" w:rsidP="00D06414">
          <w:pPr>
            <w:tabs>
              <w:tab w:val="right" w:pos="9639"/>
            </w:tabs>
            <w:spacing w:before="120" w:line="240" w:lineRule="exact"/>
            <w:jc w:val="right"/>
            <w:rPr>
              <w:rFonts w:asciiTheme="majorHAnsi" w:hAnsiTheme="majorHAnsi" w:cstheme="majorHAnsi"/>
              <w:sz w:val="18"/>
              <w:szCs w:val="18"/>
            </w:rPr>
          </w:pPr>
          <w:r w:rsidRPr="00167FEC">
            <w:rPr>
              <w:rFonts w:asciiTheme="majorHAnsi" w:hAnsiTheme="majorHAnsi" w:cstheme="majorHAnsi"/>
              <w:sz w:val="18"/>
              <w:szCs w:val="18"/>
            </w:rPr>
            <w:t xml:space="preserve">Page </w:t>
          </w:r>
          <w:r w:rsidRPr="00167FEC">
            <w:rPr>
              <w:rFonts w:asciiTheme="majorHAnsi" w:hAnsiTheme="majorHAnsi" w:cstheme="majorHAnsi"/>
              <w:sz w:val="18"/>
              <w:szCs w:val="18"/>
            </w:rPr>
            <w:fldChar w:fldCharType="begin"/>
          </w:r>
          <w:r w:rsidRPr="00167FEC">
            <w:rPr>
              <w:rFonts w:asciiTheme="majorHAnsi" w:hAnsiTheme="majorHAnsi" w:cstheme="majorHAnsi"/>
              <w:sz w:val="18"/>
              <w:szCs w:val="18"/>
            </w:rPr>
            <w:instrText xml:space="preserve"> PAGE   \* MERGEFORMAT </w:instrText>
          </w:r>
          <w:r w:rsidRPr="00167FEC">
            <w:rPr>
              <w:rFonts w:asciiTheme="majorHAnsi" w:hAnsiTheme="majorHAnsi" w:cstheme="majorHAnsi"/>
              <w:sz w:val="18"/>
              <w:szCs w:val="18"/>
            </w:rPr>
            <w:fldChar w:fldCharType="separate"/>
          </w:r>
          <w:r w:rsidR="00850410" w:rsidRPr="00167FEC">
            <w:rPr>
              <w:rFonts w:asciiTheme="majorHAnsi" w:hAnsiTheme="majorHAnsi" w:cstheme="majorHAnsi"/>
              <w:noProof/>
              <w:sz w:val="18"/>
              <w:szCs w:val="18"/>
            </w:rPr>
            <w:t>3</w:t>
          </w:r>
          <w:r w:rsidRPr="00167FEC">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1D5624">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167FEC" w14:paraId="36A4ADC1" w14:textId="77777777" w:rsidTr="000F5AAF">
      <w:tc>
        <w:tcPr>
          <w:tcW w:w="1459" w:type="pct"/>
          <w:tcMar>
            <w:left w:w="0" w:type="dxa"/>
            <w:right w:w="0" w:type="dxa"/>
          </w:tcMar>
        </w:tcPr>
        <w:p w14:paraId="74DB1FC2" w14:textId="0B2A642E" w:rsidR="00FD29D3" w:rsidRPr="00167FEC" w:rsidRDefault="00FD29D3" w:rsidP="00D06414">
          <w:pPr>
            <w:tabs>
              <w:tab w:val="right" w:pos="9639"/>
            </w:tabs>
            <w:spacing w:before="120" w:line="240" w:lineRule="exact"/>
            <w:rPr>
              <w:rFonts w:asciiTheme="majorHAnsi" w:hAnsiTheme="majorHAnsi" w:cstheme="majorHAnsi"/>
              <w:color w:val="C0504D"/>
              <w:sz w:val="18"/>
              <w:szCs w:val="18"/>
            </w:rPr>
          </w:pPr>
          <w:r w:rsidRPr="00167FEC">
            <w:rPr>
              <w:rFonts w:asciiTheme="majorHAnsi" w:hAnsiTheme="majorHAnsi" w:cstheme="majorHAnsi"/>
              <w:color w:val="FFFFFF"/>
              <w:sz w:val="18"/>
              <w:szCs w:val="18"/>
            </w:rPr>
            <w:t xml:space="preserve">© </w:t>
          </w:r>
          <w:hyperlink r:id="rId1" w:history="1">
            <w:r w:rsidRPr="00167FEC">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167FEC"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167FEC"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1D5624">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7A7D2" w14:textId="77777777" w:rsidR="00891195" w:rsidRDefault="00891195" w:rsidP="00304EA1">
      <w:pPr>
        <w:spacing w:after="0" w:line="240" w:lineRule="auto"/>
      </w:pPr>
      <w:r>
        <w:separator/>
      </w:r>
    </w:p>
  </w:footnote>
  <w:footnote w:type="continuationSeparator" w:id="0">
    <w:p w14:paraId="4DF8854A" w14:textId="77777777" w:rsidR="00891195" w:rsidRDefault="0089119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1F3D58C3" w:rsidR="00FD29D3" w:rsidRPr="002B0664" w:rsidRDefault="00167FEC" w:rsidP="00D86DE4">
    <w:pPr>
      <w:pStyle w:val="Captionsandfootnotes"/>
      <w:rPr>
        <w:color w:val="auto"/>
      </w:rPr>
    </w:pPr>
    <w:r>
      <w:rPr>
        <w:color w:val="auto"/>
      </w:rPr>
      <w:t>School-based Assessment Report: VCE Specialist Mathematics</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601E83"/>
    <w:multiLevelType w:val="hybridMultilevel"/>
    <w:tmpl w:val="508439A4"/>
    <w:lvl w:ilvl="0" w:tplc="35600A10">
      <w:numFmt w:val="bullet"/>
      <w:lvlText w:val="-"/>
      <w:lvlJc w:val="left"/>
      <w:pPr>
        <w:ind w:left="720" w:hanging="360"/>
      </w:pPr>
      <w:rPr>
        <w:rFonts w:ascii="Arial" w:eastAsia="Arial"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B2A2657"/>
    <w:multiLevelType w:val="hybridMultilevel"/>
    <w:tmpl w:val="124A1C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08764004">
    <w:abstractNumId w:val="16"/>
  </w:num>
  <w:num w:numId="2" w16cid:durableId="1678000311">
    <w:abstractNumId w:val="13"/>
  </w:num>
  <w:num w:numId="3" w16cid:durableId="1018848057">
    <w:abstractNumId w:val="12"/>
  </w:num>
  <w:num w:numId="4" w16cid:durableId="1304190575">
    <w:abstractNumId w:val="10"/>
  </w:num>
  <w:num w:numId="5" w16cid:durableId="2057312338">
    <w:abstractNumId w:val="15"/>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1592592226">
    <w:abstractNumId w:val="10"/>
  </w:num>
  <w:num w:numId="17" w16cid:durableId="898251878">
    <w:abstractNumId w:val="14"/>
  </w:num>
  <w:num w:numId="18" w16cid:durableId="809400008">
    <w:abstractNumId w:val="11"/>
  </w:num>
  <w:num w:numId="19" w16cid:durableId="14492762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A264B"/>
    <w:rsid w:val="000A71F7"/>
    <w:rsid w:val="000F09E4"/>
    <w:rsid w:val="000F16FD"/>
    <w:rsid w:val="000F5AAF"/>
    <w:rsid w:val="0013504B"/>
    <w:rsid w:val="00143520"/>
    <w:rsid w:val="00153AD2"/>
    <w:rsid w:val="00167FEC"/>
    <w:rsid w:val="001779EA"/>
    <w:rsid w:val="00185282"/>
    <w:rsid w:val="001D3246"/>
    <w:rsid w:val="001D4249"/>
    <w:rsid w:val="001D5624"/>
    <w:rsid w:val="00226348"/>
    <w:rsid w:val="002279BA"/>
    <w:rsid w:val="002329F3"/>
    <w:rsid w:val="00243F0D"/>
    <w:rsid w:val="00260767"/>
    <w:rsid w:val="002647BB"/>
    <w:rsid w:val="00273700"/>
    <w:rsid w:val="002754C1"/>
    <w:rsid w:val="002841C8"/>
    <w:rsid w:val="0028516B"/>
    <w:rsid w:val="002B0664"/>
    <w:rsid w:val="002C6F90"/>
    <w:rsid w:val="002E4FB5"/>
    <w:rsid w:val="00302FB8"/>
    <w:rsid w:val="00304EA1"/>
    <w:rsid w:val="00314D81"/>
    <w:rsid w:val="00322FC6"/>
    <w:rsid w:val="0035293F"/>
    <w:rsid w:val="00381C75"/>
    <w:rsid w:val="00391986"/>
    <w:rsid w:val="003A00B4"/>
    <w:rsid w:val="003A06B2"/>
    <w:rsid w:val="003C5E71"/>
    <w:rsid w:val="003F2BD9"/>
    <w:rsid w:val="004174B3"/>
    <w:rsid w:val="00417AA3"/>
    <w:rsid w:val="00425DFE"/>
    <w:rsid w:val="00434EDB"/>
    <w:rsid w:val="00440B32"/>
    <w:rsid w:val="0046078D"/>
    <w:rsid w:val="00485DBF"/>
    <w:rsid w:val="00495C80"/>
    <w:rsid w:val="004A2ED8"/>
    <w:rsid w:val="004F5BDA"/>
    <w:rsid w:val="0051631E"/>
    <w:rsid w:val="00531DDC"/>
    <w:rsid w:val="00537A1F"/>
    <w:rsid w:val="00566029"/>
    <w:rsid w:val="005923CB"/>
    <w:rsid w:val="005B391B"/>
    <w:rsid w:val="005D3D78"/>
    <w:rsid w:val="005D559D"/>
    <w:rsid w:val="005E2EF0"/>
    <w:rsid w:val="005F4092"/>
    <w:rsid w:val="0068471E"/>
    <w:rsid w:val="00684F98"/>
    <w:rsid w:val="00693FFD"/>
    <w:rsid w:val="006D2159"/>
    <w:rsid w:val="006D3417"/>
    <w:rsid w:val="006F787C"/>
    <w:rsid w:val="00702636"/>
    <w:rsid w:val="00724507"/>
    <w:rsid w:val="00766A99"/>
    <w:rsid w:val="00773E6C"/>
    <w:rsid w:val="00781FB1"/>
    <w:rsid w:val="007D1B6D"/>
    <w:rsid w:val="00813C37"/>
    <w:rsid w:val="008154B5"/>
    <w:rsid w:val="00823962"/>
    <w:rsid w:val="00850410"/>
    <w:rsid w:val="00852719"/>
    <w:rsid w:val="00860115"/>
    <w:rsid w:val="00867F29"/>
    <w:rsid w:val="00870A89"/>
    <w:rsid w:val="0088783C"/>
    <w:rsid w:val="00891195"/>
    <w:rsid w:val="009370BC"/>
    <w:rsid w:val="00970580"/>
    <w:rsid w:val="0098739B"/>
    <w:rsid w:val="009B61E5"/>
    <w:rsid w:val="009D1E89"/>
    <w:rsid w:val="009E5707"/>
    <w:rsid w:val="00A17661"/>
    <w:rsid w:val="00A24B2D"/>
    <w:rsid w:val="00A40966"/>
    <w:rsid w:val="00A921E0"/>
    <w:rsid w:val="00A922F4"/>
    <w:rsid w:val="00AE5526"/>
    <w:rsid w:val="00AF051B"/>
    <w:rsid w:val="00AF2618"/>
    <w:rsid w:val="00B01578"/>
    <w:rsid w:val="00B0738F"/>
    <w:rsid w:val="00B13D3B"/>
    <w:rsid w:val="00B230DB"/>
    <w:rsid w:val="00B26601"/>
    <w:rsid w:val="00B41951"/>
    <w:rsid w:val="00B53229"/>
    <w:rsid w:val="00B62480"/>
    <w:rsid w:val="00B81B70"/>
    <w:rsid w:val="00BB3BAB"/>
    <w:rsid w:val="00BD0724"/>
    <w:rsid w:val="00BD2B91"/>
    <w:rsid w:val="00BE5521"/>
    <w:rsid w:val="00BF492B"/>
    <w:rsid w:val="00BF6C23"/>
    <w:rsid w:val="00C53263"/>
    <w:rsid w:val="00C75F1D"/>
    <w:rsid w:val="00C85E74"/>
    <w:rsid w:val="00C95156"/>
    <w:rsid w:val="00CA0DC2"/>
    <w:rsid w:val="00CB68E8"/>
    <w:rsid w:val="00CE1468"/>
    <w:rsid w:val="00D04F01"/>
    <w:rsid w:val="00D06414"/>
    <w:rsid w:val="00D24E5A"/>
    <w:rsid w:val="00D338E4"/>
    <w:rsid w:val="00D51947"/>
    <w:rsid w:val="00D532F0"/>
    <w:rsid w:val="00D56E0F"/>
    <w:rsid w:val="00D76E10"/>
    <w:rsid w:val="00D77413"/>
    <w:rsid w:val="00D82759"/>
    <w:rsid w:val="00D86DE4"/>
    <w:rsid w:val="00DE1909"/>
    <w:rsid w:val="00DE51DB"/>
    <w:rsid w:val="00E208DF"/>
    <w:rsid w:val="00E23F1D"/>
    <w:rsid w:val="00E30E05"/>
    <w:rsid w:val="00E36361"/>
    <w:rsid w:val="00E55AE9"/>
    <w:rsid w:val="00E71100"/>
    <w:rsid w:val="00E7229D"/>
    <w:rsid w:val="00EB0C84"/>
    <w:rsid w:val="00F17FDE"/>
    <w:rsid w:val="00F40D53"/>
    <w:rsid w:val="00F4525C"/>
    <w:rsid w:val="00F50D86"/>
    <w:rsid w:val="00F65BD8"/>
    <w:rsid w:val="00FD29D3"/>
    <w:rsid w:val="00FE1AC5"/>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381C75"/>
    <w:pPr>
      <w:numPr>
        <w:numId w:val="1"/>
      </w:numPr>
      <w:tabs>
        <w:tab w:val="left" w:pos="425"/>
      </w:tabs>
      <w:spacing w:before="60" w:after="60"/>
      <w:ind w:left="425" w:hanging="425"/>
      <w:contextualSpacing/>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F65BD8"/>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F65BD8"/>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paragraph" w:customStyle="1" w:styleId="VCAAtablecondensedbullet">
    <w:name w:val="VCAA table condensed bullet"/>
    <w:basedOn w:val="Normal"/>
    <w:qFormat/>
    <w:rsid w:val="001D5624"/>
    <w:pPr>
      <w:tabs>
        <w:tab w:val="left" w:pos="425"/>
      </w:tabs>
      <w:overflowPunct w:val="0"/>
      <w:autoSpaceDE w:val="0"/>
      <w:autoSpaceDN w:val="0"/>
      <w:adjustRightInd w:val="0"/>
      <w:spacing w:before="80" w:after="80" w:line="280" w:lineRule="exact"/>
      <w:ind w:left="-360" w:hanging="360"/>
    </w:pPr>
    <w:rPr>
      <w:rFonts w:ascii="Arial Narrow" w:eastAsia="Times New Roman" w:hAnsi="Arial Narrow" w:cs="Arial"/>
      <w:sz w:val="20"/>
      <w:lang w:val="en-GB" w:eastAsia="ja-JP"/>
    </w:rPr>
  </w:style>
  <w:style w:type="character" w:styleId="Strong">
    <w:name w:val="Strong"/>
    <w:basedOn w:val="DefaultParagraphFont"/>
    <w:uiPriority w:val="22"/>
    <w:qFormat/>
    <w:rsid w:val="00F65B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218121">
      <w:bodyDiv w:val="1"/>
      <w:marLeft w:val="0"/>
      <w:marRight w:val="0"/>
      <w:marTop w:val="0"/>
      <w:marBottom w:val="0"/>
      <w:divBdr>
        <w:top w:val="none" w:sz="0" w:space="0" w:color="auto"/>
        <w:left w:val="none" w:sz="0" w:space="0" w:color="auto"/>
        <w:bottom w:val="none" w:sz="0" w:space="0" w:color="auto"/>
        <w:right w:val="none" w:sz="0" w:space="0" w:color="auto"/>
      </w:divBdr>
    </w:div>
    <w:div w:id="48713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news-and-events/bulletins-and-updates/bulletin/Pages/index.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6.educationapps.vic.gov.au/em/forms/subscribe.php?db=820107&amp;s=792765&amp;a=97403&amp;k=uwXj1jCbEfG3bRMXjDuO0wriw0uYqkX4FPm-jQeQ8fg" TargetMode="External"/><Relationship Id="rId4" Type="http://schemas.openxmlformats.org/officeDocument/2006/relationships/settings" Target="settings.xml"/><Relationship Id="rId9" Type="http://schemas.openxmlformats.org/officeDocument/2006/relationships/hyperlink" Target="https://www.vcaa.vic.edu.au/curriculum/vce-curriculum/vce-study-designs/specialist-mathematics/assessment"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2632</Words>
  <Characters>15004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2026-08-19T02:29:00Z</dcterms:created>
  <dcterms:modified xsi:type="dcterms:W3CDTF">2026-08-19T02:29:00Z</dcterms:modified>
</cp:coreProperties>
</file>