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98032631" w:displacedByCustomXml="next"/>
    <w:bookmarkStart w:id="1" w:name="_Toc398032444" w:displacedByCustomXml="next"/>
    <w:bookmarkStart w:id="2" w:name="doc_title" w:displacedByCustomXml="next"/>
    <w:sdt>
      <w:sdtPr>
        <w:id w:val="-426587749"/>
        <w:lock w:val="contentLocked"/>
        <w:placeholder>
          <w:docPart w:val="DefaultPlaceholder_-1854013440"/>
        </w:placeholder>
        <w:group/>
      </w:sdtPr>
      <w:sdtEndPr/>
      <w:sdtContent>
        <w:p w14:paraId="68C5BDC5" w14:textId="2321FD45" w:rsidR="004A22BC" w:rsidRPr="004A22BC" w:rsidRDefault="00F021DD" w:rsidP="002402F1">
          <w:pPr>
            <w:pStyle w:val="VCAADocumenttitle"/>
            <w:ind w:right="2693"/>
          </w:pPr>
          <w:sdt>
            <w:sdtPr>
              <w:alias w:val="Title"/>
              <w:tag w:val=""/>
              <w:id w:val="1621577399"/>
              <w:placeholder>
                <w:docPart w:val="F70DB39189B24E6D8A58E176BEBE7A13"/>
              </w:placeholder>
              <w:dataBinding w:prefixMappings="xmlns:ns0='http://purl.org/dc/elements/1.1/' xmlns:ns1='http://schemas.openxmlformats.org/package/2006/metadata/core-properties' " w:xpath="/ns1:coreProperties[1]/ns0:title[1]" w:storeItemID="{6C3C8BC8-F283-45AE-878A-BAB7291924A1}"/>
              <w:text/>
            </w:sdtPr>
            <w:sdtContent>
              <w:r w:rsidRPr="00F021DD">
                <w:t>Findings report</w:t>
              </w:r>
            </w:sdtContent>
          </w:sdt>
        </w:p>
      </w:sdtContent>
    </w:sdt>
    <w:bookmarkEnd w:id="2"/>
    <w:bookmarkEnd w:id="1"/>
    <w:bookmarkEnd w:id="0"/>
    <w:p w14:paraId="050E2465" w14:textId="2E48497E" w:rsidR="00C73F9D" w:rsidRPr="00F021DD" w:rsidRDefault="003D421C" w:rsidP="002402F1">
      <w:pPr>
        <w:pStyle w:val="VCAADocumentsubtitle"/>
        <w:ind w:right="3543"/>
        <w:rPr>
          <w:spacing w:val="-4"/>
        </w:rPr>
      </w:pPr>
      <w:r w:rsidRPr="00F021DD">
        <w:rPr>
          <w:spacing w:val="-4"/>
        </w:rPr>
        <w:drawing>
          <wp:anchor distT="0" distB="0" distL="114300" distR="114300" simplePos="0" relativeHeight="251662336" behindDoc="1" locked="1" layoutInCell="0" allowOverlap="0" wp14:anchorId="58B35A5E" wp14:editId="7A92A414">
            <wp:simplePos x="0" y="0"/>
            <wp:positionH relativeFrom="page">
              <wp:posOffset>0</wp:posOffset>
            </wp:positionH>
            <wp:positionV relativeFrom="page">
              <wp:posOffset>28575</wp:posOffset>
            </wp:positionV>
            <wp:extent cx="7552055" cy="10666095"/>
            <wp:effectExtent l="0" t="0" r="4445" b="190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microsoft-word-templates.jpg"/>
                    <pic:cNvPicPr/>
                  </pic:nvPicPr>
                  <pic:blipFill>
                    <a:blip r:embed="rId11"/>
                    <a:stretch>
                      <a:fillRect/>
                    </a:stretch>
                  </pic:blipFill>
                  <pic:spPr>
                    <a:xfrm>
                      <a:off x="0" y="0"/>
                      <a:ext cx="7552055" cy="10666095"/>
                    </a:xfrm>
                    <a:prstGeom prst="rect">
                      <a:avLst/>
                    </a:prstGeom>
                  </pic:spPr>
                </pic:pic>
              </a:graphicData>
            </a:graphic>
            <wp14:sizeRelH relativeFrom="page">
              <wp14:pctWidth>0</wp14:pctWidth>
            </wp14:sizeRelH>
            <wp14:sizeRelV relativeFrom="page">
              <wp14:pctHeight>0</wp14:pctHeight>
            </wp14:sizeRelV>
          </wp:anchor>
        </w:drawing>
      </w:r>
      <w:r w:rsidR="00F021DD" w:rsidRPr="00F021DD">
        <w:rPr>
          <w:spacing w:val="-4"/>
        </w:rPr>
        <w:t xml:space="preserve">VCE Vocational Major </w:t>
      </w:r>
      <w:r w:rsidR="00F021DD">
        <w:rPr>
          <w:spacing w:val="-4"/>
        </w:rPr>
        <w:t>and</w:t>
      </w:r>
      <w:r w:rsidR="00F021DD" w:rsidRPr="00F021DD">
        <w:rPr>
          <w:spacing w:val="-4"/>
        </w:rPr>
        <w:t xml:space="preserve"> Victorian Pathways Certificate Curriculum </w:t>
      </w:r>
      <w:r w:rsidR="00F021DD">
        <w:rPr>
          <w:spacing w:val="-4"/>
        </w:rPr>
        <w:t>and</w:t>
      </w:r>
      <w:r w:rsidR="00F021DD" w:rsidRPr="00F021DD">
        <w:rPr>
          <w:spacing w:val="-4"/>
        </w:rPr>
        <w:t xml:space="preserve"> Assessment </w:t>
      </w:r>
      <w:r w:rsidR="00F021DD">
        <w:rPr>
          <w:spacing w:val="-4"/>
        </w:rPr>
        <w:br/>
      </w:r>
      <w:r w:rsidR="00F021DD" w:rsidRPr="00F021DD">
        <w:rPr>
          <w:spacing w:val="-4"/>
        </w:rPr>
        <w:t>Audit 2023</w:t>
      </w:r>
    </w:p>
    <w:p w14:paraId="0A96EF31" w14:textId="77777777" w:rsidR="00C73F9D" w:rsidRPr="00210AB7" w:rsidRDefault="00C73F9D" w:rsidP="00490726">
      <w:pPr>
        <w:jc w:val="center"/>
        <w:rPr>
          <w:lang w:val="en-AU"/>
        </w:rPr>
        <w:sectPr w:rsidR="00C73F9D" w:rsidRPr="00210AB7" w:rsidSect="003D421C">
          <w:headerReference w:type="even" r:id="rId12"/>
          <w:headerReference w:type="default" r:id="rId13"/>
          <w:footerReference w:type="even" r:id="rId14"/>
          <w:footerReference w:type="default" r:id="rId15"/>
          <w:headerReference w:type="first" r:id="rId16"/>
          <w:footerReference w:type="first" r:id="rId17"/>
          <w:pgSz w:w="11907" w:h="16840" w:code="9"/>
          <w:pgMar w:top="0" w:right="567" w:bottom="567" w:left="567" w:header="794" w:footer="686" w:gutter="0"/>
          <w:cols w:space="708"/>
          <w:titlePg/>
          <w:docGrid w:linePitch="360"/>
        </w:sectPr>
      </w:pPr>
    </w:p>
    <w:p w14:paraId="5B62DCA0" w14:textId="77777777" w:rsidR="001363D1" w:rsidRPr="00210AB7" w:rsidRDefault="0096074C" w:rsidP="00A06B65">
      <w:pPr>
        <w:pStyle w:val="VCAAtrademarkinfo"/>
        <w:spacing w:before="8760"/>
        <w:rPr>
          <w:lang w:val="en-AU"/>
        </w:rPr>
      </w:pPr>
      <w:r w:rsidRPr="00210AB7">
        <w:rPr>
          <w:lang w:val="en-AU"/>
        </w:rPr>
        <w:t>A</w:t>
      </w:r>
      <w:r w:rsidR="001363D1" w:rsidRPr="00210AB7">
        <w:rPr>
          <w:lang w:val="en-AU"/>
        </w:rPr>
        <w:t>uthorised and published by the Victorian Curriculum and Assessment Authority</w:t>
      </w:r>
      <w:r w:rsidR="001363D1" w:rsidRPr="00210AB7">
        <w:rPr>
          <w:lang w:val="en-AU"/>
        </w:rPr>
        <w:br/>
        <w:t xml:space="preserve">Level </w:t>
      </w:r>
      <w:r w:rsidR="007E1ED2" w:rsidRPr="00210AB7">
        <w:rPr>
          <w:lang w:val="en-AU"/>
        </w:rPr>
        <w:t>7</w:t>
      </w:r>
      <w:r w:rsidR="001363D1" w:rsidRPr="00210AB7">
        <w:rPr>
          <w:lang w:val="en-AU"/>
        </w:rPr>
        <w:t>, 2 Lonsdale Street</w:t>
      </w:r>
      <w:r w:rsidR="001363D1" w:rsidRPr="00210AB7">
        <w:rPr>
          <w:lang w:val="en-AU"/>
        </w:rPr>
        <w:br/>
        <w:t>Melbourne VIC 3000</w:t>
      </w:r>
    </w:p>
    <w:p w14:paraId="547B6406" w14:textId="7C2FFA3F" w:rsidR="001363D1" w:rsidRPr="00210AB7" w:rsidRDefault="001363D1" w:rsidP="001363D1">
      <w:pPr>
        <w:pStyle w:val="VCAAtrademarkinfo"/>
        <w:rPr>
          <w:lang w:val="en-AU"/>
        </w:rPr>
      </w:pPr>
      <w:r w:rsidRPr="00210AB7">
        <w:rPr>
          <w:lang w:val="en-AU"/>
        </w:rPr>
        <w:t xml:space="preserve">© Victorian Curriculum and Assessment Authority </w:t>
      </w:r>
      <w:r w:rsidR="00F021DD">
        <w:rPr>
          <w:lang w:val="en-AU"/>
        </w:rPr>
        <w:t>2024</w:t>
      </w:r>
    </w:p>
    <w:p w14:paraId="1CB9269A" w14:textId="77777777" w:rsidR="001363D1" w:rsidRPr="00210AB7" w:rsidRDefault="001363D1" w:rsidP="001363D1">
      <w:pPr>
        <w:pStyle w:val="VCAAtrademarkinfo"/>
        <w:rPr>
          <w:lang w:val="en-AU"/>
        </w:rPr>
      </w:pPr>
    </w:p>
    <w:p w14:paraId="060AB56B" w14:textId="77777777" w:rsidR="00A06B65" w:rsidRPr="00A06B65" w:rsidRDefault="00A06B65" w:rsidP="00A06B65">
      <w:pPr>
        <w:pStyle w:val="VCAAtrademarkinfo"/>
        <w:rPr>
          <w:lang w:val="en-AU"/>
        </w:rPr>
      </w:pPr>
      <w:r w:rsidRPr="00A06B65">
        <w:rPr>
          <w:lang w:val="en-AU"/>
        </w:rPr>
        <w:t xml:space="preserve">No part of this publication may </w:t>
      </w:r>
      <w:proofErr w:type="gramStart"/>
      <w:r w:rsidRPr="00A06B65">
        <w:rPr>
          <w:lang w:val="en-AU"/>
        </w:rPr>
        <w:t>be reproduced</w:t>
      </w:r>
      <w:proofErr w:type="gramEnd"/>
      <w:r w:rsidRPr="00A06B65">
        <w:rPr>
          <w:lang w:val="en-AU"/>
        </w:rPr>
        <w:t xml:space="preserve"> except as specified under the </w:t>
      </w:r>
      <w:r w:rsidRPr="00A06B65">
        <w:rPr>
          <w:i/>
          <w:lang w:val="en-AU"/>
        </w:rPr>
        <w:t>Copyright Act 1968</w:t>
      </w:r>
      <w:r w:rsidRPr="00A06B65">
        <w:rPr>
          <w:lang w:val="en-AU"/>
        </w:rPr>
        <w:t xml:space="preserve"> or by permission from the VCAA. Excepting third-party elements, schools may use this resource in accordance with the </w:t>
      </w:r>
      <w:hyperlink r:id="rId18" w:history="1">
        <w:r w:rsidRPr="00A06B65">
          <w:rPr>
            <w:rStyle w:val="Hyperlink"/>
            <w:lang w:val="en-AU"/>
          </w:rPr>
          <w:t>VCAA educational allowance</w:t>
        </w:r>
      </w:hyperlink>
      <w:r w:rsidRPr="00A06B65">
        <w:rPr>
          <w:lang w:val="en-AU"/>
        </w:rPr>
        <w:t xml:space="preserve">. For more information go to </w:t>
      </w:r>
      <w:hyperlink r:id="rId19" w:history="1">
        <w:r w:rsidR="00E76D71">
          <w:rPr>
            <w:rStyle w:val="Hyperlink"/>
          </w:rPr>
          <w:t>https://www.vcaa.vic.edu.au/Footer/Pages/Copyright.aspx</w:t>
        </w:r>
      </w:hyperlink>
      <w:r w:rsidRPr="00A06B65">
        <w:rPr>
          <w:lang w:val="en-AU"/>
        </w:rPr>
        <w:t xml:space="preserve">. </w:t>
      </w:r>
    </w:p>
    <w:p w14:paraId="63DE8AAF" w14:textId="77777777" w:rsidR="00A06B65" w:rsidRPr="00A06B65" w:rsidRDefault="00A06B65" w:rsidP="00A06B65">
      <w:pPr>
        <w:pStyle w:val="VCAAtrademarkinfo"/>
        <w:rPr>
          <w:lang w:val="en-AU"/>
        </w:rPr>
      </w:pPr>
      <w:r w:rsidRPr="00A06B65">
        <w:rPr>
          <w:lang w:val="en-AU"/>
        </w:rPr>
        <w:t xml:space="preserve">The VCAA provides the only official, up-to-date versions of VCAA publications. Details of updates can </w:t>
      </w:r>
      <w:proofErr w:type="gramStart"/>
      <w:r w:rsidRPr="00A06B65">
        <w:rPr>
          <w:lang w:val="en-AU"/>
        </w:rPr>
        <w:t>be found</w:t>
      </w:r>
      <w:proofErr w:type="gramEnd"/>
      <w:r w:rsidRPr="00A06B65">
        <w:rPr>
          <w:lang w:val="en-AU"/>
        </w:rPr>
        <w:t xml:space="preserve"> on the VCAA website at </w:t>
      </w:r>
      <w:hyperlink r:id="rId20" w:history="1">
        <w:r w:rsidRPr="00A06B65">
          <w:rPr>
            <w:rStyle w:val="Hyperlink"/>
            <w:lang w:val="en-AU"/>
          </w:rPr>
          <w:t>www.vcaa.vic.edu.au</w:t>
        </w:r>
      </w:hyperlink>
      <w:r w:rsidRPr="00A06B65">
        <w:rPr>
          <w:lang w:val="en-AU"/>
        </w:rPr>
        <w:t>.</w:t>
      </w:r>
    </w:p>
    <w:p w14:paraId="6B7B39FB" w14:textId="77777777" w:rsidR="00A06B65" w:rsidRPr="00A06B65" w:rsidRDefault="00A06B65" w:rsidP="00A06B65">
      <w:pPr>
        <w:pStyle w:val="VCAAtrademarkinfo"/>
        <w:rPr>
          <w:lang w:val="en-AU"/>
        </w:rPr>
      </w:pPr>
      <w:r w:rsidRPr="00A06B65">
        <w:rPr>
          <w:lang w:val="en-AU"/>
        </w:rPr>
        <w:t xml:space="preserve">This publication may contain copyright material belonging to a third party. Every effort has </w:t>
      </w:r>
      <w:proofErr w:type="gramStart"/>
      <w:r w:rsidRPr="00A06B65">
        <w:rPr>
          <w:lang w:val="en-AU"/>
        </w:rPr>
        <w:t>been made</w:t>
      </w:r>
      <w:proofErr w:type="gramEnd"/>
      <w:r w:rsidRPr="00A06B65">
        <w:rPr>
          <w:lang w:val="en-AU"/>
        </w:rPr>
        <w:t xml:space="preserve"> to contact all copyright owners. If you believe that material in this publication is an infringement of your copyright, please email the Copyright Officer </w:t>
      </w:r>
      <w:hyperlink r:id="rId21" w:history="1">
        <w:r w:rsidRPr="00A06B65">
          <w:rPr>
            <w:rStyle w:val="Hyperlink"/>
            <w:lang w:val="en-AU"/>
          </w:rPr>
          <w:t>vcaa.copyright@edumail.vic.gov.au</w:t>
        </w:r>
      </w:hyperlink>
    </w:p>
    <w:p w14:paraId="716C4D4A" w14:textId="77777777" w:rsidR="00A06B65" w:rsidRPr="00A06B65" w:rsidRDefault="00A06B65" w:rsidP="00A06B65">
      <w:pPr>
        <w:pStyle w:val="VCAAtrademarkinfo"/>
        <w:rPr>
          <w:lang w:val="en-AU"/>
        </w:rPr>
      </w:pPr>
      <w:r w:rsidRPr="00A06B65">
        <w:rPr>
          <w:lang w:val="en-AU"/>
        </w:rPr>
        <w:t>Copyright in materials appearing at any sites linked to this document rests with the copyright owner/s of those materials, subject to the Copyright Act. The VCAA recommends you refer to copyright statements at linked sites before using such materials.</w:t>
      </w:r>
    </w:p>
    <w:p w14:paraId="62DDFA81" w14:textId="77777777" w:rsidR="00A06B65" w:rsidRPr="00A06B65" w:rsidRDefault="00A06B65" w:rsidP="00A06B65">
      <w:pPr>
        <w:pStyle w:val="VCAAtrademarkinfo"/>
        <w:rPr>
          <w:lang w:val="en-AU"/>
        </w:rPr>
      </w:pPr>
      <w:r>
        <w:rPr>
          <w:lang w:val="en-AU"/>
        </w:rPr>
        <w:t>T</w:t>
      </w:r>
      <w:r w:rsidRPr="00A06B65">
        <w:rPr>
          <w:lang w:val="en-AU"/>
        </w:rPr>
        <w:t>he VCAA logo is a registered trademark of the Victorian Curriculum and Assessment Authority.</w:t>
      </w:r>
    </w:p>
    <w:p w14:paraId="78E012FB" w14:textId="77777777" w:rsidR="00A06B65" w:rsidRPr="00A06B65" w:rsidRDefault="00A06B65" w:rsidP="00A06B65">
      <w:pPr>
        <w:pStyle w:val="VCAAtrademarkinfo"/>
        <w:rPr>
          <w:lang w:val="en-AU"/>
        </w:rPr>
      </w:pPr>
    </w:p>
    <w:tbl>
      <w:tblPr>
        <w:tblStyle w:val="TableGrid"/>
        <w:tblW w:w="0" w:type="auto"/>
        <w:tblLook w:val="04A0" w:firstRow="1" w:lastRow="0" w:firstColumn="1" w:lastColumn="0" w:noHBand="0" w:noVBand="1"/>
      </w:tblPr>
      <w:tblGrid>
        <w:gridCol w:w="9629"/>
      </w:tblGrid>
      <w:tr w:rsidR="00A06B65" w:rsidRPr="00A06B65" w14:paraId="5C381055" w14:textId="77777777" w:rsidTr="00586B33">
        <w:trPr>
          <w:trHeight w:val="794"/>
        </w:trPr>
        <w:tc>
          <w:tcPr>
            <w:tcW w:w="9855" w:type="dxa"/>
          </w:tcPr>
          <w:p w14:paraId="47452B82" w14:textId="77777777" w:rsidR="00A06B65" w:rsidRPr="00A06B65" w:rsidRDefault="00A06B65" w:rsidP="00A06B65">
            <w:pPr>
              <w:pStyle w:val="VCAAtrademarkinfo"/>
              <w:rPr>
                <w:lang w:val="en-AU"/>
              </w:rPr>
            </w:pPr>
            <w:r w:rsidRPr="00A06B65">
              <w:rPr>
                <w:lang w:val="en-AU"/>
              </w:rPr>
              <w:t>Contact us if you need this information in an accessible format - for example, large print or audio.</w:t>
            </w:r>
          </w:p>
          <w:p w14:paraId="43A2EBAC" w14:textId="77777777" w:rsidR="00A06B65" w:rsidRPr="00A06B65" w:rsidRDefault="00A06B65" w:rsidP="00A06B65">
            <w:pPr>
              <w:pStyle w:val="VCAAtrademarkinfo"/>
              <w:rPr>
                <w:lang w:val="en-AU"/>
              </w:rPr>
            </w:pPr>
            <w:r w:rsidRPr="00A06B65">
              <w:rPr>
                <w:lang w:val="en-AU"/>
              </w:rPr>
              <w:t xml:space="preserve">Telephone (03) 9032 1635 or email </w:t>
            </w:r>
            <w:hyperlink r:id="rId22" w:history="1">
              <w:r w:rsidRPr="00A06B65">
                <w:rPr>
                  <w:rStyle w:val="Hyperlink"/>
                  <w:lang w:val="en-AU"/>
                </w:rPr>
                <w:t>vcaa.media.publications@edumail.vic.gov.au</w:t>
              </w:r>
            </w:hyperlink>
          </w:p>
        </w:tc>
      </w:tr>
    </w:tbl>
    <w:p w14:paraId="6DD76777" w14:textId="77777777" w:rsidR="001363D1" w:rsidRPr="00210AB7" w:rsidRDefault="001363D1" w:rsidP="001363D1">
      <w:pPr>
        <w:pStyle w:val="VCAAtrademarkinfo"/>
        <w:rPr>
          <w:lang w:val="en-AU"/>
        </w:rPr>
      </w:pPr>
    </w:p>
    <w:p w14:paraId="7BA93138" w14:textId="77777777" w:rsidR="0091624E" w:rsidRPr="00210AB7" w:rsidRDefault="0091624E" w:rsidP="006A2E04">
      <w:pPr>
        <w:pStyle w:val="VCAAbody"/>
        <w:rPr>
          <w:lang w:val="en-AU"/>
        </w:rPr>
        <w:sectPr w:rsidR="0091624E" w:rsidRPr="00210AB7" w:rsidSect="00916D5D">
          <w:headerReference w:type="first" r:id="rId23"/>
          <w:footerReference w:type="first" r:id="rId24"/>
          <w:pgSz w:w="11907" w:h="16840" w:code="9"/>
          <w:pgMar w:top="1644" w:right="1134" w:bottom="238" w:left="1134" w:header="709" w:footer="567" w:gutter="0"/>
          <w:cols w:space="708"/>
          <w:titlePg/>
          <w:docGrid w:linePitch="360"/>
        </w:sectPr>
      </w:pPr>
    </w:p>
    <w:p w14:paraId="24D22E40" w14:textId="77777777" w:rsidR="00322123" w:rsidRPr="002E3552" w:rsidRDefault="00322123" w:rsidP="002E3552">
      <w:pPr>
        <w:rPr>
          <w:color w:val="0F7EB4"/>
          <w:sz w:val="48"/>
        </w:rPr>
      </w:pPr>
      <w:r w:rsidRPr="002E3552">
        <w:rPr>
          <w:color w:val="0F7EB4"/>
          <w:sz w:val="48"/>
        </w:rPr>
        <w:t>Contents</w:t>
      </w:r>
    </w:p>
    <w:p w14:paraId="4773C6E9" w14:textId="126BD5FC" w:rsidR="004C06CD" w:rsidRDefault="00C07D60">
      <w:pPr>
        <w:pStyle w:val="TOC1"/>
        <w:rPr>
          <w:rFonts w:asciiTheme="minorHAnsi" w:eastAsiaTheme="minorEastAsia" w:hAnsiTheme="minorHAnsi" w:cstheme="minorBidi"/>
          <w:b w:val="0"/>
          <w:bCs w:val="0"/>
          <w:kern w:val="2"/>
          <w:sz w:val="22"/>
          <w:szCs w:val="22"/>
          <w14:ligatures w14:val="standardContextual"/>
        </w:rPr>
      </w:pPr>
      <w:r>
        <w:rPr>
          <w:sz w:val="24"/>
        </w:rPr>
        <w:fldChar w:fldCharType="begin"/>
      </w:r>
      <w:r>
        <w:instrText xml:space="preserve"> TOC \h \z \t "VCAA Heading 1,1,VCAA Heading 2,2,VCAA Heading 3,3" </w:instrText>
      </w:r>
      <w:r>
        <w:rPr>
          <w:sz w:val="24"/>
        </w:rPr>
        <w:fldChar w:fldCharType="separate"/>
      </w:r>
      <w:hyperlink w:anchor="_Toc159844785" w:history="1">
        <w:r w:rsidR="004C06CD" w:rsidRPr="007A79AB">
          <w:rPr>
            <w:rStyle w:val="Hyperlink"/>
          </w:rPr>
          <w:t>Background</w:t>
        </w:r>
        <w:r w:rsidR="004C06CD">
          <w:rPr>
            <w:webHidden/>
          </w:rPr>
          <w:tab/>
        </w:r>
        <w:r w:rsidR="004C06CD">
          <w:rPr>
            <w:webHidden/>
          </w:rPr>
          <w:fldChar w:fldCharType="begin"/>
        </w:r>
        <w:r w:rsidR="004C06CD">
          <w:rPr>
            <w:webHidden/>
          </w:rPr>
          <w:instrText xml:space="preserve"> PAGEREF _Toc159844785 \h </w:instrText>
        </w:r>
        <w:r w:rsidR="004C06CD">
          <w:rPr>
            <w:webHidden/>
          </w:rPr>
        </w:r>
        <w:r w:rsidR="004C06CD">
          <w:rPr>
            <w:webHidden/>
          </w:rPr>
          <w:fldChar w:fldCharType="separate"/>
        </w:r>
        <w:r w:rsidR="004C06CD">
          <w:rPr>
            <w:webHidden/>
          </w:rPr>
          <w:t>2</w:t>
        </w:r>
        <w:r w:rsidR="004C06CD">
          <w:rPr>
            <w:webHidden/>
          </w:rPr>
          <w:fldChar w:fldCharType="end"/>
        </w:r>
      </w:hyperlink>
    </w:p>
    <w:p w14:paraId="3FA2C24C" w14:textId="18CBF37C" w:rsidR="004C06CD" w:rsidRDefault="004C06CD">
      <w:pPr>
        <w:pStyle w:val="TOC2"/>
        <w:rPr>
          <w:rFonts w:asciiTheme="minorHAnsi" w:eastAsiaTheme="minorEastAsia" w:hAnsiTheme="minorHAnsi" w:cstheme="minorBidi"/>
          <w:kern w:val="2"/>
          <w:sz w:val="22"/>
          <w:szCs w:val="22"/>
          <w14:ligatures w14:val="standardContextual"/>
        </w:rPr>
      </w:pPr>
      <w:hyperlink w:anchor="_Toc159844786" w:history="1">
        <w:r w:rsidRPr="007A79AB">
          <w:rPr>
            <w:rStyle w:val="Hyperlink"/>
          </w:rPr>
          <w:t>Purpose of the audit</w:t>
        </w:r>
        <w:r>
          <w:rPr>
            <w:webHidden/>
          </w:rPr>
          <w:tab/>
        </w:r>
        <w:r>
          <w:rPr>
            <w:webHidden/>
          </w:rPr>
          <w:fldChar w:fldCharType="begin"/>
        </w:r>
        <w:r>
          <w:rPr>
            <w:webHidden/>
          </w:rPr>
          <w:instrText xml:space="preserve"> PAGEREF _Toc159844786 \h </w:instrText>
        </w:r>
        <w:r>
          <w:rPr>
            <w:webHidden/>
          </w:rPr>
        </w:r>
        <w:r>
          <w:rPr>
            <w:webHidden/>
          </w:rPr>
          <w:fldChar w:fldCharType="separate"/>
        </w:r>
        <w:r>
          <w:rPr>
            <w:webHidden/>
          </w:rPr>
          <w:t>2</w:t>
        </w:r>
        <w:r>
          <w:rPr>
            <w:webHidden/>
          </w:rPr>
          <w:fldChar w:fldCharType="end"/>
        </w:r>
      </w:hyperlink>
    </w:p>
    <w:p w14:paraId="6204A3D1" w14:textId="713CE545" w:rsidR="004C06CD" w:rsidRDefault="004C06CD">
      <w:pPr>
        <w:pStyle w:val="TOC2"/>
        <w:rPr>
          <w:rFonts w:asciiTheme="minorHAnsi" w:eastAsiaTheme="minorEastAsia" w:hAnsiTheme="minorHAnsi" w:cstheme="minorBidi"/>
          <w:kern w:val="2"/>
          <w:sz w:val="22"/>
          <w:szCs w:val="22"/>
          <w14:ligatures w14:val="standardContextual"/>
        </w:rPr>
      </w:pPr>
      <w:hyperlink w:anchor="_Toc159844787" w:history="1">
        <w:r w:rsidRPr="007A79AB">
          <w:rPr>
            <w:rStyle w:val="Hyperlink"/>
          </w:rPr>
          <w:t>Process</w:t>
        </w:r>
        <w:r>
          <w:rPr>
            <w:webHidden/>
          </w:rPr>
          <w:tab/>
        </w:r>
        <w:r>
          <w:rPr>
            <w:webHidden/>
          </w:rPr>
          <w:fldChar w:fldCharType="begin"/>
        </w:r>
        <w:r>
          <w:rPr>
            <w:webHidden/>
          </w:rPr>
          <w:instrText xml:space="preserve"> PAGEREF _Toc159844787 \h </w:instrText>
        </w:r>
        <w:r>
          <w:rPr>
            <w:webHidden/>
          </w:rPr>
        </w:r>
        <w:r>
          <w:rPr>
            <w:webHidden/>
          </w:rPr>
          <w:fldChar w:fldCharType="separate"/>
        </w:r>
        <w:r>
          <w:rPr>
            <w:webHidden/>
          </w:rPr>
          <w:t>2</w:t>
        </w:r>
        <w:r>
          <w:rPr>
            <w:webHidden/>
          </w:rPr>
          <w:fldChar w:fldCharType="end"/>
        </w:r>
      </w:hyperlink>
    </w:p>
    <w:p w14:paraId="670D6A55" w14:textId="6A4F4BB1" w:rsidR="004C06CD" w:rsidRDefault="004C06CD">
      <w:pPr>
        <w:pStyle w:val="TOC3"/>
        <w:rPr>
          <w:rFonts w:eastAsiaTheme="minorEastAsia"/>
          <w:kern w:val="2"/>
          <w:sz w:val="22"/>
          <w:lang w:val="en-AU" w:eastAsia="en-AU"/>
          <w14:ligatures w14:val="standardContextual"/>
        </w:rPr>
      </w:pPr>
      <w:hyperlink w:anchor="_Toc159844788" w:history="1">
        <w:r w:rsidRPr="007A79AB">
          <w:rPr>
            <w:rStyle w:val="Hyperlink"/>
          </w:rPr>
          <w:t>A supportive approach</w:t>
        </w:r>
        <w:r>
          <w:rPr>
            <w:webHidden/>
          </w:rPr>
          <w:tab/>
        </w:r>
        <w:r>
          <w:rPr>
            <w:webHidden/>
          </w:rPr>
          <w:fldChar w:fldCharType="begin"/>
        </w:r>
        <w:r>
          <w:rPr>
            <w:webHidden/>
          </w:rPr>
          <w:instrText xml:space="preserve"> PAGEREF _Toc159844788 \h </w:instrText>
        </w:r>
        <w:r>
          <w:rPr>
            <w:webHidden/>
          </w:rPr>
        </w:r>
        <w:r>
          <w:rPr>
            <w:webHidden/>
          </w:rPr>
          <w:fldChar w:fldCharType="separate"/>
        </w:r>
        <w:r>
          <w:rPr>
            <w:webHidden/>
          </w:rPr>
          <w:t>2</w:t>
        </w:r>
        <w:r>
          <w:rPr>
            <w:webHidden/>
          </w:rPr>
          <w:fldChar w:fldCharType="end"/>
        </w:r>
      </w:hyperlink>
    </w:p>
    <w:p w14:paraId="08B51DD1" w14:textId="1F213E2B" w:rsidR="004C06CD" w:rsidRDefault="004C06CD">
      <w:pPr>
        <w:pStyle w:val="TOC3"/>
        <w:rPr>
          <w:rFonts w:eastAsiaTheme="minorEastAsia"/>
          <w:kern w:val="2"/>
          <w:sz w:val="22"/>
          <w:lang w:val="en-AU" w:eastAsia="en-AU"/>
          <w14:ligatures w14:val="standardContextual"/>
        </w:rPr>
      </w:pPr>
      <w:hyperlink w:anchor="_Toc159844789" w:history="1">
        <w:r w:rsidRPr="007A79AB">
          <w:rPr>
            <w:rStyle w:val="Hyperlink"/>
          </w:rPr>
          <w:t>Scope</w:t>
        </w:r>
        <w:r>
          <w:rPr>
            <w:webHidden/>
          </w:rPr>
          <w:tab/>
        </w:r>
        <w:r>
          <w:rPr>
            <w:webHidden/>
          </w:rPr>
          <w:fldChar w:fldCharType="begin"/>
        </w:r>
        <w:r>
          <w:rPr>
            <w:webHidden/>
          </w:rPr>
          <w:instrText xml:space="preserve"> PAGEREF _Toc159844789 \h </w:instrText>
        </w:r>
        <w:r>
          <w:rPr>
            <w:webHidden/>
          </w:rPr>
        </w:r>
        <w:r>
          <w:rPr>
            <w:webHidden/>
          </w:rPr>
          <w:fldChar w:fldCharType="separate"/>
        </w:r>
        <w:r>
          <w:rPr>
            <w:webHidden/>
          </w:rPr>
          <w:t>3</w:t>
        </w:r>
        <w:r>
          <w:rPr>
            <w:webHidden/>
          </w:rPr>
          <w:fldChar w:fldCharType="end"/>
        </w:r>
      </w:hyperlink>
    </w:p>
    <w:p w14:paraId="274593B9" w14:textId="0A87FC81" w:rsidR="004C06CD" w:rsidRDefault="004C06CD">
      <w:pPr>
        <w:pStyle w:val="TOC3"/>
        <w:rPr>
          <w:rFonts w:eastAsiaTheme="minorEastAsia"/>
          <w:kern w:val="2"/>
          <w:sz w:val="22"/>
          <w:lang w:val="en-AU" w:eastAsia="en-AU"/>
          <w14:ligatures w14:val="standardContextual"/>
        </w:rPr>
      </w:pPr>
      <w:hyperlink w:anchor="_Toc159844790" w:history="1">
        <w:r w:rsidRPr="007A79AB">
          <w:rPr>
            <w:rStyle w:val="Hyperlink"/>
          </w:rPr>
          <w:t>Submission</w:t>
        </w:r>
        <w:r>
          <w:rPr>
            <w:webHidden/>
          </w:rPr>
          <w:tab/>
        </w:r>
        <w:r>
          <w:rPr>
            <w:webHidden/>
          </w:rPr>
          <w:fldChar w:fldCharType="begin"/>
        </w:r>
        <w:r>
          <w:rPr>
            <w:webHidden/>
          </w:rPr>
          <w:instrText xml:space="preserve"> PAGEREF _Toc159844790 \h </w:instrText>
        </w:r>
        <w:r>
          <w:rPr>
            <w:webHidden/>
          </w:rPr>
        </w:r>
        <w:r>
          <w:rPr>
            <w:webHidden/>
          </w:rPr>
          <w:fldChar w:fldCharType="separate"/>
        </w:r>
        <w:r>
          <w:rPr>
            <w:webHidden/>
          </w:rPr>
          <w:t>3</w:t>
        </w:r>
        <w:r>
          <w:rPr>
            <w:webHidden/>
          </w:rPr>
          <w:fldChar w:fldCharType="end"/>
        </w:r>
      </w:hyperlink>
    </w:p>
    <w:p w14:paraId="3340EDE9" w14:textId="442BFF0D" w:rsidR="004C06CD" w:rsidRDefault="004C06CD">
      <w:pPr>
        <w:pStyle w:val="TOC3"/>
        <w:rPr>
          <w:rFonts w:eastAsiaTheme="minorEastAsia"/>
          <w:kern w:val="2"/>
          <w:sz w:val="22"/>
          <w:lang w:val="en-AU" w:eastAsia="en-AU"/>
          <w14:ligatures w14:val="standardContextual"/>
        </w:rPr>
      </w:pPr>
      <w:hyperlink w:anchor="_Toc159844791" w:history="1">
        <w:r w:rsidRPr="007A79AB">
          <w:rPr>
            <w:rStyle w:val="Hyperlink"/>
          </w:rPr>
          <w:t>Assessment</w:t>
        </w:r>
        <w:r>
          <w:rPr>
            <w:webHidden/>
          </w:rPr>
          <w:tab/>
        </w:r>
        <w:r>
          <w:rPr>
            <w:webHidden/>
          </w:rPr>
          <w:fldChar w:fldCharType="begin"/>
        </w:r>
        <w:r>
          <w:rPr>
            <w:webHidden/>
          </w:rPr>
          <w:instrText xml:space="preserve"> PAGEREF _Toc159844791 \h </w:instrText>
        </w:r>
        <w:r>
          <w:rPr>
            <w:webHidden/>
          </w:rPr>
        </w:r>
        <w:r>
          <w:rPr>
            <w:webHidden/>
          </w:rPr>
          <w:fldChar w:fldCharType="separate"/>
        </w:r>
        <w:r>
          <w:rPr>
            <w:webHidden/>
          </w:rPr>
          <w:t>3</w:t>
        </w:r>
        <w:r>
          <w:rPr>
            <w:webHidden/>
          </w:rPr>
          <w:fldChar w:fldCharType="end"/>
        </w:r>
      </w:hyperlink>
    </w:p>
    <w:p w14:paraId="5CF3C4FB" w14:textId="3BF9A246" w:rsidR="004C06CD" w:rsidRDefault="004C06CD">
      <w:pPr>
        <w:pStyle w:val="TOC3"/>
        <w:rPr>
          <w:rFonts w:eastAsiaTheme="minorEastAsia"/>
          <w:kern w:val="2"/>
          <w:sz w:val="22"/>
          <w:lang w:val="en-AU" w:eastAsia="en-AU"/>
          <w14:ligatures w14:val="standardContextual"/>
        </w:rPr>
      </w:pPr>
      <w:hyperlink w:anchor="_Toc159844792" w:history="1">
        <w:r w:rsidRPr="007A79AB">
          <w:rPr>
            <w:rStyle w:val="Hyperlink"/>
          </w:rPr>
          <w:t>Post-audit</w:t>
        </w:r>
        <w:r>
          <w:rPr>
            <w:webHidden/>
          </w:rPr>
          <w:tab/>
        </w:r>
        <w:r>
          <w:rPr>
            <w:webHidden/>
          </w:rPr>
          <w:fldChar w:fldCharType="begin"/>
        </w:r>
        <w:r>
          <w:rPr>
            <w:webHidden/>
          </w:rPr>
          <w:instrText xml:space="preserve"> PAGEREF _Toc159844792 \h </w:instrText>
        </w:r>
        <w:r>
          <w:rPr>
            <w:webHidden/>
          </w:rPr>
        </w:r>
        <w:r>
          <w:rPr>
            <w:webHidden/>
          </w:rPr>
          <w:fldChar w:fldCharType="separate"/>
        </w:r>
        <w:r>
          <w:rPr>
            <w:webHidden/>
          </w:rPr>
          <w:t>4</w:t>
        </w:r>
        <w:r>
          <w:rPr>
            <w:webHidden/>
          </w:rPr>
          <w:fldChar w:fldCharType="end"/>
        </w:r>
      </w:hyperlink>
    </w:p>
    <w:p w14:paraId="0ED8BA03" w14:textId="382462A3" w:rsidR="004C06CD" w:rsidRDefault="004C06CD">
      <w:pPr>
        <w:pStyle w:val="TOC2"/>
        <w:rPr>
          <w:rFonts w:asciiTheme="minorHAnsi" w:eastAsiaTheme="minorEastAsia" w:hAnsiTheme="minorHAnsi" w:cstheme="minorBidi"/>
          <w:kern w:val="2"/>
          <w:sz w:val="22"/>
          <w:szCs w:val="22"/>
          <w14:ligatures w14:val="standardContextual"/>
        </w:rPr>
      </w:pPr>
      <w:hyperlink w:anchor="_Toc159844793" w:history="1">
        <w:r w:rsidRPr="007A79AB">
          <w:rPr>
            <w:rStyle w:val="Hyperlink"/>
          </w:rPr>
          <w:t>Provider selections</w:t>
        </w:r>
        <w:r>
          <w:rPr>
            <w:webHidden/>
          </w:rPr>
          <w:tab/>
        </w:r>
        <w:r>
          <w:rPr>
            <w:webHidden/>
          </w:rPr>
          <w:fldChar w:fldCharType="begin"/>
        </w:r>
        <w:r>
          <w:rPr>
            <w:webHidden/>
          </w:rPr>
          <w:instrText xml:space="preserve"> PAGEREF _Toc159844793 \h </w:instrText>
        </w:r>
        <w:r>
          <w:rPr>
            <w:webHidden/>
          </w:rPr>
        </w:r>
        <w:r>
          <w:rPr>
            <w:webHidden/>
          </w:rPr>
          <w:fldChar w:fldCharType="separate"/>
        </w:r>
        <w:r>
          <w:rPr>
            <w:webHidden/>
          </w:rPr>
          <w:t>4</w:t>
        </w:r>
        <w:r>
          <w:rPr>
            <w:webHidden/>
          </w:rPr>
          <w:fldChar w:fldCharType="end"/>
        </w:r>
      </w:hyperlink>
    </w:p>
    <w:p w14:paraId="2B64BCFD" w14:textId="177C15C7" w:rsidR="004C06CD" w:rsidRDefault="004C06CD">
      <w:pPr>
        <w:pStyle w:val="TOC1"/>
        <w:rPr>
          <w:rFonts w:asciiTheme="minorHAnsi" w:eastAsiaTheme="minorEastAsia" w:hAnsiTheme="minorHAnsi" w:cstheme="minorBidi"/>
          <w:b w:val="0"/>
          <w:bCs w:val="0"/>
          <w:kern w:val="2"/>
          <w:sz w:val="22"/>
          <w:szCs w:val="22"/>
          <w14:ligatures w14:val="standardContextual"/>
        </w:rPr>
      </w:pPr>
      <w:hyperlink w:anchor="_Toc159844794" w:history="1">
        <w:r w:rsidRPr="007A79AB">
          <w:rPr>
            <w:rStyle w:val="Hyperlink"/>
          </w:rPr>
          <w:t>2023 Audit Findings</w:t>
        </w:r>
        <w:r>
          <w:rPr>
            <w:webHidden/>
          </w:rPr>
          <w:tab/>
        </w:r>
        <w:r>
          <w:rPr>
            <w:webHidden/>
          </w:rPr>
          <w:fldChar w:fldCharType="begin"/>
        </w:r>
        <w:r>
          <w:rPr>
            <w:webHidden/>
          </w:rPr>
          <w:instrText xml:space="preserve"> PAGEREF _Toc159844794 \h </w:instrText>
        </w:r>
        <w:r>
          <w:rPr>
            <w:webHidden/>
          </w:rPr>
        </w:r>
        <w:r>
          <w:rPr>
            <w:webHidden/>
          </w:rPr>
          <w:fldChar w:fldCharType="separate"/>
        </w:r>
        <w:r>
          <w:rPr>
            <w:webHidden/>
          </w:rPr>
          <w:t>5</w:t>
        </w:r>
        <w:r>
          <w:rPr>
            <w:webHidden/>
          </w:rPr>
          <w:fldChar w:fldCharType="end"/>
        </w:r>
      </w:hyperlink>
    </w:p>
    <w:p w14:paraId="52B2FCB7" w14:textId="0D81EC21" w:rsidR="004C06CD" w:rsidRDefault="004C06CD">
      <w:pPr>
        <w:pStyle w:val="TOC2"/>
        <w:rPr>
          <w:rFonts w:asciiTheme="minorHAnsi" w:eastAsiaTheme="minorEastAsia" w:hAnsiTheme="minorHAnsi" w:cstheme="minorBidi"/>
          <w:kern w:val="2"/>
          <w:sz w:val="22"/>
          <w:szCs w:val="22"/>
          <w14:ligatures w14:val="standardContextual"/>
        </w:rPr>
      </w:pPr>
      <w:hyperlink w:anchor="_Toc159844795" w:history="1">
        <w:r w:rsidRPr="007A79AB">
          <w:rPr>
            <w:rStyle w:val="Hyperlink"/>
          </w:rPr>
          <w:t>Common areas of good practice</w:t>
        </w:r>
        <w:r>
          <w:rPr>
            <w:webHidden/>
          </w:rPr>
          <w:tab/>
        </w:r>
        <w:r>
          <w:rPr>
            <w:webHidden/>
          </w:rPr>
          <w:fldChar w:fldCharType="begin"/>
        </w:r>
        <w:r>
          <w:rPr>
            <w:webHidden/>
          </w:rPr>
          <w:instrText xml:space="preserve"> PAGEREF _Toc159844795 \h </w:instrText>
        </w:r>
        <w:r>
          <w:rPr>
            <w:webHidden/>
          </w:rPr>
        </w:r>
        <w:r>
          <w:rPr>
            <w:webHidden/>
          </w:rPr>
          <w:fldChar w:fldCharType="separate"/>
        </w:r>
        <w:r>
          <w:rPr>
            <w:webHidden/>
          </w:rPr>
          <w:t>5</w:t>
        </w:r>
        <w:r>
          <w:rPr>
            <w:webHidden/>
          </w:rPr>
          <w:fldChar w:fldCharType="end"/>
        </w:r>
      </w:hyperlink>
    </w:p>
    <w:p w14:paraId="3795EB45" w14:textId="6F07ED14" w:rsidR="004C06CD" w:rsidRDefault="004C06CD">
      <w:pPr>
        <w:pStyle w:val="TOC2"/>
        <w:rPr>
          <w:rFonts w:asciiTheme="minorHAnsi" w:eastAsiaTheme="minorEastAsia" w:hAnsiTheme="minorHAnsi" w:cstheme="minorBidi"/>
          <w:kern w:val="2"/>
          <w:sz w:val="22"/>
          <w:szCs w:val="22"/>
          <w14:ligatures w14:val="standardContextual"/>
        </w:rPr>
      </w:pPr>
      <w:hyperlink w:anchor="_Toc159844796" w:history="1">
        <w:r w:rsidRPr="007A79AB">
          <w:rPr>
            <w:rStyle w:val="Hyperlink"/>
          </w:rPr>
          <w:t>Common areas for improvement</w:t>
        </w:r>
        <w:r>
          <w:rPr>
            <w:webHidden/>
          </w:rPr>
          <w:tab/>
        </w:r>
        <w:r>
          <w:rPr>
            <w:webHidden/>
          </w:rPr>
          <w:fldChar w:fldCharType="begin"/>
        </w:r>
        <w:r>
          <w:rPr>
            <w:webHidden/>
          </w:rPr>
          <w:instrText xml:space="preserve"> PAGEREF _Toc159844796 \h </w:instrText>
        </w:r>
        <w:r>
          <w:rPr>
            <w:webHidden/>
          </w:rPr>
        </w:r>
        <w:r>
          <w:rPr>
            <w:webHidden/>
          </w:rPr>
          <w:fldChar w:fldCharType="separate"/>
        </w:r>
        <w:r>
          <w:rPr>
            <w:webHidden/>
          </w:rPr>
          <w:t>5</w:t>
        </w:r>
        <w:r>
          <w:rPr>
            <w:webHidden/>
          </w:rPr>
          <w:fldChar w:fldCharType="end"/>
        </w:r>
      </w:hyperlink>
    </w:p>
    <w:p w14:paraId="0D6F9A66" w14:textId="790187BE" w:rsidR="004C06CD" w:rsidRDefault="004C06CD">
      <w:pPr>
        <w:pStyle w:val="TOC1"/>
        <w:rPr>
          <w:rFonts w:asciiTheme="minorHAnsi" w:eastAsiaTheme="minorEastAsia" w:hAnsiTheme="minorHAnsi" w:cstheme="minorBidi"/>
          <w:b w:val="0"/>
          <w:bCs w:val="0"/>
          <w:kern w:val="2"/>
          <w:sz w:val="22"/>
          <w:szCs w:val="22"/>
          <w14:ligatures w14:val="standardContextual"/>
        </w:rPr>
      </w:pPr>
      <w:hyperlink w:anchor="_Toc159844797" w:history="1">
        <w:r w:rsidRPr="007A79AB">
          <w:rPr>
            <w:rStyle w:val="Hyperlink"/>
          </w:rPr>
          <w:t>Support resources</w:t>
        </w:r>
        <w:r>
          <w:rPr>
            <w:webHidden/>
          </w:rPr>
          <w:tab/>
        </w:r>
        <w:r>
          <w:rPr>
            <w:webHidden/>
          </w:rPr>
          <w:fldChar w:fldCharType="begin"/>
        </w:r>
        <w:r>
          <w:rPr>
            <w:webHidden/>
          </w:rPr>
          <w:instrText xml:space="preserve"> PAGEREF _Toc159844797 \h </w:instrText>
        </w:r>
        <w:r>
          <w:rPr>
            <w:webHidden/>
          </w:rPr>
        </w:r>
        <w:r>
          <w:rPr>
            <w:webHidden/>
          </w:rPr>
          <w:fldChar w:fldCharType="separate"/>
        </w:r>
        <w:r>
          <w:rPr>
            <w:webHidden/>
          </w:rPr>
          <w:t>8</w:t>
        </w:r>
        <w:r>
          <w:rPr>
            <w:webHidden/>
          </w:rPr>
          <w:fldChar w:fldCharType="end"/>
        </w:r>
      </w:hyperlink>
    </w:p>
    <w:p w14:paraId="0D82F6DA" w14:textId="60AEB329" w:rsidR="004C06CD" w:rsidRDefault="004C06CD">
      <w:pPr>
        <w:pStyle w:val="TOC2"/>
        <w:rPr>
          <w:rFonts w:asciiTheme="minorHAnsi" w:eastAsiaTheme="minorEastAsia" w:hAnsiTheme="minorHAnsi" w:cstheme="minorBidi"/>
          <w:kern w:val="2"/>
          <w:sz w:val="22"/>
          <w:szCs w:val="22"/>
          <w14:ligatures w14:val="standardContextual"/>
        </w:rPr>
      </w:pPr>
      <w:hyperlink w:anchor="_Toc159844798" w:history="1">
        <w:r w:rsidRPr="007A79AB">
          <w:rPr>
            <w:rStyle w:val="Hyperlink"/>
          </w:rPr>
          <w:t>Professional learning</w:t>
        </w:r>
        <w:r>
          <w:rPr>
            <w:webHidden/>
          </w:rPr>
          <w:tab/>
        </w:r>
        <w:r>
          <w:rPr>
            <w:webHidden/>
          </w:rPr>
          <w:fldChar w:fldCharType="begin"/>
        </w:r>
        <w:r>
          <w:rPr>
            <w:webHidden/>
          </w:rPr>
          <w:instrText xml:space="preserve"> PAGEREF _Toc159844798 \h </w:instrText>
        </w:r>
        <w:r>
          <w:rPr>
            <w:webHidden/>
          </w:rPr>
        </w:r>
        <w:r>
          <w:rPr>
            <w:webHidden/>
          </w:rPr>
          <w:fldChar w:fldCharType="separate"/>
        </w:r>
        <w:r>
          <w:rPr>
            <w:webHidden/>
          </w:rPr>
          <w:t>8</w:t>
        </w:r>
        <w:r>
          <w:rPr>
            <w:webHidden/>
          </w:rPr>
          <w:fldChar w:fldCharType="end"/>
        </w:r>
      </w:hyperlink>
    </w:p>
    <w:p w14:paraId="7444BAB8" w14:textId="1C26FEA0" w:rsidR="004C06CD" w:rsidRDefault="004C06CD">
      <w:pPr>
        <w:pStyle w:val="TOC2"/>
        <w:rPr>
          <w:rFonts w:asciiTheme="minorHAnsi" w:eastAsiaTheme="minorEastAsia" w:hAnsiTheme="minorHAnsi" w:cstheme="minorBidi"/>
          <w:kern w:val="2"/>
          <w:sz w:val="22"/>
          <w:szCs w:val="22"/>
          <w14:ligatures w14:val="standardContextual"/>
        </w:rPr>
      </w:pPr>
      <w:hyperlink w:anchor="_Toc159844799" w:history="1">
        <w:r w:rsidRPr="007A79AB">
          <w:rPr>
            <w:rStyle w:val="Hyperlink"/>
          </w:rPr>
          <w:t>Communities of Practice</w:t>
        </w:r>
        <w:r>
          <w:rPr>
            <w:webHidden/>
          </w:rPr>
          <w:tab/>
        </w:r>
        <w:r>
          <w:rPr>
            <w:webHidden/>
          </w:rPr>
          <w:fldChar w:fldCharType="begin"/>
        </w:r>
        <w:r>
          <w:rPr>
            <w:webHidden/>
          </w:rPr>
          <w:instrText xml:space="preserve"> PAGEREF _Toc159844799 \h </w:instrText>
        </w:r>
        <w:r>
          <w:rPr>
            <w:webHidden/>
          </w:rPr>
        </w:r>
        <w:r>
          <w:rPr>
            <w:webHidden/>
          </w:rPr>
          <w:fldChar w:fldCharType="separate"/>
        </w:r>
        <w:r>
          <w:rPr>
            <w:webHidden/>
          </w:rPr>
          <w:t>8</w:t>
        </w:r>
        <w:r>
          <w:rPr>
            <w:webHidden/>
          </w:rPr>
          <w:fldChar w:fldCharType="end"/>
        </w:r>
      </w:hyperlink>
    </w:p>
    <w:p w14:paraId="0BBC2786" w14:textId="7EE1C75F" w:rsidR="004C06CD" w:rsidRDefault="004C06CD">
      <w:pPr>
        <w:pStyle w:val="TOC2"/>
        <w:rPr>
          <w:rFonts w:asciiTheme="minorHAnsi" w:eastAsiaTheme="minorEastAsia" w:hAnsiTheme="minorHAnsi" w:cstheme="minorBidi"/>
          <w:kern w:val="2"/>
          <w:sz w:val="22"/>
          <w:szCs w:val="22"/>
          <w14:ligatures w14:val="standardContextual"/>
        </w:rPr>
      </w:pPr>
      <w:hyperlink w:anchor="_Toc159844800" w:history="1">
        <w:r w:rsidRPr="007A79AB">
          <w:rPr>
            <w:rStyle w:val="Hyperlink"/>
          </w:rPr>
          <w:t>Applied learning approaches</w:t>
        </w:r>
        <w:r>
          <w:rPr>
            <w:webHidden/>
          </w:rPr>
          <w:tab/>
        </w:r>
        <w:r>
          <w:rPr>
            <w:webHidden/>
          </w:rPr>
          <w:fldChar w:fldCharType="begin"/>
        </w:r>
        <w:r>
          <w:rPr>
            <w:webHidden/>
          </w:rPr>
          <w:instrText xml:space="preserve"> PAGEREF _Toc159844800 \h </w:instrText>
        </w:r>
        <w:r>
          <w:rPr>
            <w:webHidden/>
          </w:rPr>
        </w:r>
        <w:r>
          <w:rPr>
            <w:webHidden/>
          </w:rPr>
          <w:fldChar w:fldCharType="separate"/>
        </w:r>
        <w:r>
          <w:rPr>
            <w:webHidden/>
          </w:rPr>
          <w:t>8</w:t>
        </w:r>
        <w:r>
          <w:rPr>
            <w:webHidden/>
          </w:rPr>
          <w:fldChar w:fldCharType="end"/>
        </w:r>
      </w:hyperlink>
    </w:p>
    <w:p w14:paraId="390561F6" w14:textId="4C44EAC3" w:rsidR="007270FB" w:rsidRPr="00210AB7" w:rsidRDefault="00C07D60" w:rsidP="007270FB">
      <w:pPr>
        <w:rPr>
          <w:lang w:val="en-AU" w:eastAsia="en-AU"/>
        </w:rPr>
      </w:pPr>
      <w:r>
        <w:rPr>
          <w:rFonts w:ascii="Arial" w:eastAsia="Times New Roman" w:hAnsi="Arial" w:cs="Arial"/>
          <w:b/>
          <w:bCs/>
          <w:noProof/>
          <w:szCs w:val="24"/>
          <w:lang w:val="en-AU" w:eastAsia="en-AU"/>
        </w:rPr>
        <w:fldChar w:fldCharType="end"/>
      </w:r>
    </w:p>
    <w:p w14:paraId="1E8BFB1A" w14:textId="77777777" w:rsidR="00DB1C96" w:rsidRPr="00210AB7" w:rsidRDefault="00DB1C96" w:rsidP="00916D5D">
      <w:pPr>
        <w:pStyle w:val="TOC1"/>
      </w:pPr>
    </w:p>
    <w:p w14:paraId="7B2CDB06" w14:textId="77777777" w:rsidR="00365D51" w:rsidRPr="00210AB7" w:rsidRDefault="00365D51" w:rsidP="00365D51">
      <w:pPr>
        <w:rPr>
          <w:lang w:val="en-AU" w:eastAsia="en-AU"/>
        </w:rPr>
        <w:sectPr w:rsidR="00365D51" w:rsidRPr="00210AB7" w:rsidSect="0091624E">
          <w:headerReference w:type="first" r:id="rId25"/>
          <w:footerReference w:type="first" r:id="rId26"/>
          <w:type w:val="oddPage"/>
          <w:pgSz w:w="11907" w:h="16840" w:code="9"/>
          <w:pgMar w:top="1644" w:right="1134" w:bottom="238" w:left="1134" w:header="709" w:footer="567" w:gutter="0"/>
          <w:pgNumType w:fmt="lowerRoman" w:start="1"/>
          <w:cols w:space="708"/>
          <w:titlePg/>
          <w:docGrid w:linePitch="360"/>
        </w:sectPr>
      </w:pPr>
    </w:p>
    <w:p w14:paraId="468775AB" w14:textId="77777777" w:rsidR="00F235CB" w:rsidRDefault="00F235CB" w:rsidP="00B6056C">
      <w:pPr>
        <w:pStyle w:val="VCAAHeading1"/>
      </w:pPr>
      <w:bookmarkStart w:id="3" w:name="_Toc159844785"/>
      <w:r>
        <w:t>Background</w:t>
      </w:r>
      <w:bookmarkEnd w:id="3"/>
    </w:p>
    <w:p w14:paraId="55B9FE63" w14:textId="77777777" w:rsidR="00F235CB" w:rsidRPr="00853974" w:rsidRDefault="00F235CB" w:rsidP="00B6056C">
      <w:pPr>
        <w:pStyle w:val="VCAAHeading2"/>
      </w:pPr>
      <w:bookmarkStart w:id="4" w:name="_Toc159844786"/>
      <w:r>
        <w:t>Purpose of the audit</w:t>
      </w:r>
      <w:bookmarkEnd w:id="4"/>
    </w:p>
    <w:p w14:paraId="5B610324" w14:textId="77777777" w:rsidR="00F235CB" w:rsidRPr="0074694E" w:rsidRDefault="00F235CB" w:rsidP="00F235CB">
      <w:pPr>
        <w:pStyle w:val="VCAAbody"/>
      </w:pPr>
      <w:r w:rsidRPr="0074694E">
        <w:t>The VCAA introduced the VCE V</w:t>
      </w:r>
      <w:r>
        <w:t xml:space="preserve">ocational </w:t>
      </w:r>
      <w:r w:rsidRPr="0074694E">
        <w:t>M</w:t>
      </w:r>
      <w:r>
        <w:t>ajor (VM)</w:t>
      </w:r>
      <w:r w:rsidRPr="0074694E">
        <w:t xml:space="preserve"> and </w:t>
      </w:r>
      <w:r>
        <w:t>Victorian Pathways Certificate (</w:t>
      </w:r>
      <w:r w:rsidRPr="0074694E">
        <w:t>VPC</w:t>
      </w:r>
      <w:r>
        <w:t>)</w:t>
      </w:r>
      <w:r w:rsidRPr="0074694E">
        <w:t xml:space="preserve"> Curriculum and Assessment Audit in 2023 in response to the recommendations of the </w:t>
      </w:r>
      <w:r w:rsidRPr="0074694E">
        <w:rPr>
          <w:i/>
          <w:iCs/>
        </w:rPr>
        <w:t>Review into vocational and applied learning pathways in senior secondary schooling</w:t>
      </w:r>
      <w:r w:rsidRPr="0074694E">
        <w:t xml:space="preserve"> (the Firth Review). The Review emphasised the importance of strengthened quality assurance processes in applied learning programs. It noted ‘a consistent and rigorous quality assurance framework for all provider types will lift standards’ and ‘support consistency of delivery’ (p. 78). On this basis, the Firth Review recommended that ‘the VCAA should provide additional support to deliver vocational and applied learning pathways in the form of centrali</w:t>
      </w:r>
      <w:r>
        <w:t>s</w:t>
      </w:r>
      <w:r w:rsidRPr="0074694E">
        <w:t xml:space="preserve">ed and enhanced quality assurance processes’ (Recommendation 4). </w:t>
      </w:r>
    </w:p>
    <w:p w14:paraId="33C25A7D" w14:textId="595B82F8" w:rsidR="00F235CB" w:rsidRPr="00DC780D" w:rsidRDefault="00F235CB" w:rsidP="00F235CB">
      <w:pPr>
        <w:pStyle w:val="VCAAbody"/>
      </w:pPr>
      <w:r w:rsidRPr="0074694E">
        <w:t xml:space="preserve">Like the VCE School-based Assessment Audit (SBAA) and the Scored VCE VET School-Assessed Coursework Audit, the VCE VM and VPC Audit </w:t>
      </w:r>
      <w:r>
        <w:t>is</w:t>
      </w:r>
      <w:r w:rsidRPr="0074694E">
        <w:t xml:space="preserve"> conducted annually. It has been designed to ensure providers deliver VCE VM and VPC studies in accordance with established standards and requirements</w:t>
      </w:r>
      <w:r>
        <w:t xml:space="preserve"> </w:t>
      </w:r>
      <w:r w:rsidRPr="00DC780D">
        <w:t xml:space="preserve">as set out in the: </w:t>
      </w:r>
    </w:p>
    <w:p w14:paraId="42164227" w14:textId="77777777" w:rsidR="00F235CB" w:rsidRPr="00DC780D" w:rsidRDefault="00F235CB" w:rsidP="00F235CB">
      <w:pPr>
        <w:pStyle w:val="VCAAbullet"/>
        <w:numPr>
          <w:ilvl w:val="0"/>
          <w:numId w:val="14"/>
        </w:numPr>
        <w:tabs>
          <w:tab w:val="clear" w:pos="425"/>
          <w:tab w:val="left" w:pos="0"/>
        </w:tabs>
        <w:ind w:left="357" w:hanging="357"/>
      </w:pPr>
      <w:hyperlink r:id="rId27" w:history="1">
        <w:r w:rsidRPr="00486078">
          <w:rPr>
            <w:rStyle w:val="Hyperlink"/>
          </w:rPr>
          <w:t xml:space="preserve">VCE </w:t>
        </w:r>
        <w:r w:rsidRPr="00486078">
          <w:rPr>
            <w:rStyle w:val="Hyperlink"/>
            <w:rFonts w:cstheme="minorHAnsi"/>
            <w:lang w:val="en-AU"/>
          </w:rPr>
          <w:t>Administrative</w:t>
        </w:r>
        <w:r w:rsidRPr="00486078">
          <w:rPr>
            <w:rStyle w:val="Hyperlink"/>
          </w:rPr>
          <w:t xml:space="preserve"> Handbook</w:t>
        </w:r>
      </w:hyperlink>
      <w:r w:rsidRPr="00DC780D">
        <w:t xml:space="preserve"> </w:t>
      </w:r>
    </w:p>
    <w:p w14:paraId="6AF4BCB7" w14:textId="77777777" w:rsidR="00F235CB" w:rsidRPr="00DC780D" w:rsidRDefault="00F235CB" w:rsidP="00F235CB">
      <w:pPr>
        <w:pStyle w:val="VCAAbullet"/>
        <w:numPr>
          <w:ilvl w:val="0"/>
          <w:numId w:val="14"/>
        </w:numPr>
        <w:tabs>
          <w:tab w:val="clear" w:pos="425"/>
          <w:tab w:val="left" w:pos="0"/>
        </w:tabs>
        <w:ind w:left="357" w:hanging="357"/>
        <w:rPr>
          <w:rFonts w:cstheme="minorHAnsi"/>
          <w:lang w:val="en-AU"/>
        </w:rPr>
      </w:pPr>
      <w:hyperlink r:id="rId28" w:history="1">
        <w:r w:rsidRPr="0032162E">
          <w:rPr>
            <w:rStyle w:val="Hyperlink"/>
            <w:rFonts w:cstheme="minorHAnsi"/>
            <w:lang w:val="en-AU"/>
          </w:rPr>
          <w:t>VPC Administrative Handbook</w:t>
        </w:r>
      </w:hyperlink>
      <w:r w:rsidRPr="00DC780D">
        <w:rPr>
          <w:rFonts w:cstheme="minorHAnsi"/>
          <w:lang w:val="en-AU"/>
        </w:rPr>
        <w:t xml:space="preserve"> </w:t>
      </w:r>
    </w:p>
    <w:p w14:paraId="49F89D8F" w14:textId="77777777" w:rsidR="00F235CB" w:rsidRDefault="00F235CB" w:rsidP="00F235CB">
      <w:pPr>
        <w:pStyle w:val="VCAAbullet"/>
        <w:numPr>
          <w:ilvl w:val="0"/>
          <w:numId w:val="14"/>
        </w:numPr>
        <w:tabs>
          <w:tab w:val="clear" w:pos="425"/>
          <w:tab w:val="left" w:pos="0"/>
        </w:tabs>
        <w:ind w:left="357" w:hanging="357"/>
        <w:rPr>
          <w:rFonts w:cstheme="minorHAnsi"/>
          <w:lang w:val="en-AU"/>
        </w:rPr>
      </w:pPr>
      <w:hyperlink r:id="rId29" w:history="1">
        <w:r w:rsidRPr="00B86213">
          <w:rPr>
            <w:rStyle w:val="Hyperlink"/>
            <w:rFonts w:cstheme="minorHAnsi"/>
            <w:lang w:val="en-AU"/>
          </w:rPr>
          <w:t>VCE Assessment Principles</w:t>
        </w:r>
      </w:hyperlink>
      <w:r w:rsidRPr="00DC780D">
        <w:rPr>
          <w:rFonts w:cstheme="minorHAnsi"/>
          <w:lang w:val="en-AU"/>
        </w:rPr>
        <w:t xml:space="preserve"> </w:t>
      </w:r>
    </w:p>
    <w:p w14:paraId="61C15223" w14:textId="77777777" w:rsidR="00F235CB" w:rsidRPr="006E7A82" w:rsidRDefault="00F235CB" w:rsidP="00F235CB">
      <w:pPr>
        <w:pStyle w:val="VCAAbullet"/>
        <w:numPr>
          <w:ilvl w:val="0"/>
          <w:numId w:val="14"/>
        </w:numPr>
        <w:tabs>
          <w:tab w:val="clear" w:pos="425"/>
          <w:tab w:val="left" w:pos="0"/>
        </w:tabs>
        <w:ind w:left="357" w:hanging="357"/>
        <w:rPr>
          <w:rFonts w:cstheme="minorHAnsi"/>
          <w:lang w:val="en-AU"/>
        </w:rPr>
      </w:pPr>
      <w:hyperlink r:id="rId30" w:history="1">
        <w:r w:rsidRPr="006E7A82">
          <w:rPr>
            <w:rStyle w:val="Hyperlink"/>
            <w:rFonts w:cstheme="minorHAnsi"/>
            <w:lang w:val="en-AU"/>
          </w:rPr>
          <w:t>VPC Assessment Principles</w:t>
        </w:r>
      </w:hyperlink>
      <w:r w:rsidRPr="00F235CB">
        <w:rPr>
          <w:rStyle w:val="Hyperlink"/>
          <w:rFonts w:cstheme="minorHAnsi"/>
          <w:color w:val="auto"/>
          <w:u w:val="none"/>
          <w:lang w:val="en-AU"/>
        </w:rPr>
        <w:t>.</w:t>
      </w:r>
    </w:p>
    <w:p w14:paraId="5078E4BA" w14:textId="77777777" w:rsidR="00F235CB" w:rsidRDefault="00F235CB" w:rsidP="00F235CB">
      <w:pPr>
        <w:pStyle w:val="VCAAbody"/>
      </w:pPr>
      <w:r>
        <w:t>In this respect, the audit plays an important role in supporting providers to give students every opportunity to achieve their best in their VCE VM or VPC studies.</w:t>
      </w:r>
    </w:p>
    <w:p w14:paraId="0FED4333" w14:textId="77777777" w:rsidR="00F235CB" w:rsidRPr="00853974" w:rsidRDefault="00F235CB" w:rsidP="00B6056C">
      <w:pPr>
        <w:pStyle w:val="VCAAHeading2"/>
      </w:pPr>
      <w:bookmarkStart w:id="5" w:name="_Toc159844787"/>
      <w:r w:rsidRPr="00853974">
        <w:t>Process</w:t>
      </w:r>
      <w:bookmarkEnd w:id="5"/>
    </w:p>
    <w:p w14:paraId="1C37AE42" w14:textId="77777777" w:rsidR="00F235CB" w:rsidRDefault="00F235CB" w:rsidP="00B6056C">
      <w:pPr>
        <w:pStyle w:val="VCAAHeading3"/>
      </w:pPr>
      <w:bookmarkStart w:id="6" w:name="_Toc159844788"/>
      <w:r>
        <w:t>A supportive approach</w:t>
      </w:r>
      <w:bookmarkEnd w:id="6"/>
    </w:p>
    <w:p w14:paraId="1F24CC55" w14:textId="77777777" w:rsidR="00F235CB" w:rsidRDefault="00F235CB" w:rsidP="00F235CB">
      <w:pPr>
        <w:pStyle w:val="VCAAbody"/>
      </w:pPr>
      <w:r>
        <w:t xml:space="preserve">The VCE VM and VPC Curriculum and Assessment Audit 2023 was designed to be supportive, </w:t>
      </w:r>
      <w:proofErr w:type="gramStart"/>
      <w:r>
        <w:t>taking into account</w:t>
      </w:r>
      <w:proofErr w:type="gramEnd"/>
      <w:r>
        <w:t xml:space="preserve"> the pressures on providers during the first year of implementation. All providers were delivering the VCE VM and VPC for the first time in 2023. Many were new to applied learning, while those that had previously delivered the VCAL had needed to adapt quickly to the new curriculum. The VCAA also considered factors such as lingering impacts of COVID-19, widespread teacher shortages and the volume and scale of reforms stemming from the recommendations of the Firth Review. </w:t>
      </w:r>
    </w:p>
    <w:p w14:paraId="61BF8EC0" w14:textId="77777777" w:rsidR="00F235CB" w:rsidRDefault="00F235CB" w:rsidP="00F235CB">
      <w:pPr>
        <w:pStyle w:val="VCAAbody"/>
      </w:pPr>
      <w:proofErr w:type="gramStart"/>
      <w:r>
        <w:t>In light of</w:t>
      </w:r>
      <w:proofErr w:type="gramEnd"/>
      <w:r>
        <w:t xml:space="preserve"> these considerations, the audit was explicitly designed to avoid being unduly onerous. Audited providers were advised to submit only existing evidence of curriculum, assessment and policy material and have received support to address any areas in which opportunities for improvement were identified. The VCAA supported audited providers throughout the audit </w:t>
      </w:r>
      <w:r>
        <w:rPr>
          <w:lang w:val="en-AU" w:eastAsia="en-AU"/>
        </w:rPr>
        <w:t xml:space="preserve">via an audit helpdesk </w:t>
      </w:r>
      <w:r>
        <w:t xml:space="preserve">and measures including </w:t>
      </w:r>
      <w:r w:rsidRPr="000049A3">
        <w:rPr>
          <w:lang w:val="en-AU" w:eastAsia="en-AU"/>
        </w:rPr>
        <w:t>a</w:t>
      </w:r>
      <w:r>
        <w:rPr>
          <w:lang w:val="en-AU" w:eastAsia="en-AU"/>
        </w:rPr>
        <w:t xml:space="preserve"> </w:t>
      </w:r>
      <w:r w:rsidRPr="000049A3">
        <w:rPr>
          <w:lang w:val="en-AU" w:eastAsia="en-AU"/>
        </w:rPr>
        <w:t>webina</w:t>
      </w:r>
      <w:r>
        <w:rPr>
          <w:lang w:val="en-AU" w:eastAsia="en-AU"/>
        </w:rPr>
        <w:t>r, in which</w:t>
      </w:r>
      <w:r w:rsidRPr="000049A3">
        <w:rPr>
          <w:lang w:val="en-AU" w:eastAsia="en-AU"/>
        </w:rPr>
        <w:t xml:space="preserve"> </w:t>
      </w:r>
      <w:r>
        <w:rPr>
          <w:lang w:val="en-AU" w:eastAsia="en-AU"/>
        </w:rPr>
        <w:t>audited providers were invited to pose questions to a live a panel.</w:t>
      </w:r>
      <w:r>
        <w:t xml:space="preserve"> </w:t>
      </w:r>
    </w:p>
    <w:p w14:paraId="794D01F4" w14:textId="77777777" w:rsidR="00F235CB" w:rsidRDefault="00F235CB">
      <w:pPr>
        <w:rPr>
          <w:rFonts w:ascii="Arial" w:hAnsi="Arial" w:cs="Arial"/>
          <w:color w:val="0F7EB4"/>
          <w:sz w:val="24"/>
          <w:szCs w:val="20"/>
          <w:lang w:val="en" w:eastAsia="en-AU"/>
        </w:rPr>
      </w:pPr>
      <w:r>
        <w:br w:type="page"/>
      </w:r>
    </w:p>
    <w:p w14:paraId="0CD44C98" w14:textId="6406F0B3" w:rsidR="00F235CB" w:rsidRDefault="00F235CB" w:rsidP="00B6056C">
      <w:pPr>
        <w:pStyle w:val="VCAAHeading3"/>
      </w:pPr>
      <w:bookmarkStart w:id="7" w:name="_Toc159844789"/>
      <w:r>
        <w:t>Scope</w:t>
      </w:r>
      <w:bookmarkEnd w:id="7"/>
    </w:p>
    <w:p w14:paraId="478B2BD3" w14:textId="5D72B8EA" w:rsidR="00F235CB" w:rsidRDefault="00F235CB" w:rsidP="00F235CB">
      <w:pPr>
        <w:pStyle w:val="VCAAbody"/>
      </w:pPr>
      <w:r w:rsidRPr="001541DE">
        <w:t xml:space="preserve">Unlike the </w:t>
      </w:r>
      <w:r w:rsidRPr="00F235CB">
        <w:t>VCE School-based Assessment Audit and VCE VET School Assessed Coursework Audit</w:t>
      </w:r>
      <w:r w:rsidRPr="001541DE">
        <w:t>, the VCE VM and VPC Audit considered Units 1 and 2 as well as Units 3 and 4</w:t>
      </w:r>
      <w:r>
        <w:t xml:space="preserve"> for the following reasons:</w:t>
      </w:r>
    </w:p>
    <w:p w14:paraId="411D17DE" w14:textId="77777777" w:rsidR="00F235CB" w:rsidRPr="007F50C8" w:rsidRDefault="00F235CB" w:rsidP="00F235CB">
      <w:pPr>
        <w:pStyle w:val="VCAAbullet"/>
        <w:numPr>
          <w:ilvl w:val="0"/>
          <w:numId w:val="14"/>
        </w:numPr>
        <w:tabs>
          <w:tab w:val="clear" w:pos="425"/>
          <w:tab w:val="left" w:pos="0"/>
        </w:tabs>
        <w:ind w:left="357" w:hanging="357"/>
      </w:pPr>
      <w:r w:rsidRPr="007F50C8">
        <w:t>T</w:t>
      </w:r>
      <w:r w:rsidRPr="00F235CB">
        <w:t xml:space="preserve">he VCE School-based Assessment Audit and VCE VET School Assessed Coursework Audit </w:t>
      </w:r>
      <w:r w:rsidRPr="007F50C8">
        <w:t xml:space="preserve">are designed explicitly to quality assure internally assessed graded assessments. These are conducted in Units 3 and 4 only and contribute to a student’s study score for that study. By contrast, the scope of the VCE VM and VPC Audit was considerably broader in 2023: It examined: </w:t>
      </w:r>
    </w:p>
    <w:p w14:paraId="14296DCD" w14:textId="77777777" w:rsidR="00F235CB" w:rsidRDefault="00F235CB" w:rsidP="00F235CB">
      <w:pPr>
        <w:pStyle w:val="VCAAbulletlevel2"/>
        <w:tabs>
          <w:tab w:val="clear" w:pos="425"/>
          <w:tab w:val="left" w:pos="0"/>
        </w:tabs>
      </w:pPr>
      <w:r w:rsidRPr="008B3A5A">
        <w:t xml:space="preserve">providers’ curriculum planning and assessment </w:t>
      </w:r>
      <w:r>
        <w:t>for</w:t>
      </w:r>
      <w:r w:rsidRPr="008B3A5A">
        <w:t xml:space="preserve"> Units 1–4 in each VCE VM and VPC study, except in Units 3 and 4 of VPC Numeracy and Personal Development Skills, which were not implemented in 2023 </w:t>
      </w:r>
    </w:p>
    <w:p w14:paraId="14661643" w14:textId="77777777" w:rsidR="00F235CB" w:rsidRDefault="00F235CB" w:rsidP="00F235CB">
      <w:pPr>
        <w:pStyle w:val="VCAAbulletlevel2"/>
        <w:tabs>
          <w:tab w:val="clear" w:pos="425"/>
          <w:tab w:val="left" w:pos="0"/>
        </w:tabs>
      </w:pPr>
      <w:r>
        <w:t xml:space="preserve">the suitability of provider policy concerning matters such as the determination of satisfactory completion and authentication of student work. </w:t>
      </w:r>
    </w:p>
    <w:p w14:paraId="2B70B214" w14:textId="77777777" w:rsidR="00F235CB" w:rsidRPr="007F50C8" w:rsidRDefault="00F235CB" w:rsidP="00F235CB">
      <w:pPr>
        <w:pStyle w:val="VCAAbullet"/>
        <w:numPr>
          <w:ilvl w:val="0"/>
          <w:numId w:val="14"/>
        </w:numPr>
        <w:tabs>
          <w:tab w:val="clear" w:pos="425"/>
          <w:tab w:val="left" w:pos="0"/>
        </w:tabs>
        <w:ind w:left="357" w:hanging="357"/>
      </w:pPr>
      <w:r w:rsidRPr="007F50C8">
        <w:t xml:space="preserve">This enabled the VCAA to measure </w:t>
      </w:r>
      <w:r w:rsidRPr="00F235CB">
        <w:rPr>
          <w:rFonts w:eastAsia="Calibri"/>
        </w:rPr>
        <w:t>the quality of delivery in the first year of the VCE VM and VPC’s implementation</w:t>
      </w:r>
      <w:r w:rsidRPr="007F50C8">
        <w:t xml:space="preserve">. </w:t>
      </w:r>
    </w:p>
    <w:p w14:paraId="1D6C636A" w14:textId="77777777" w:rsidR="00F235CB" w:rsidRDefault="00F235CB" w:rsidP="00F235CB">
      <w:pPr>
        <w:pStyle w:val="VCAAbullet"/>
        <w:numPr>
          <w:ilvl w:val="0"/>
          <w:numId w:val="14"/>
        </w:numPr>
        <w:tabs>
          <w:tab w:val="clear" w:pos="425"/>
          <w:tab w:val="left" w:pos="0"/>
        </w:tabs>
        <w:ind w:left="357" w:hanging="357"/>
      </w:pPr>
      <w:r>
        <w:t xml:space="preserve">VCE VM studies are not scored, making it unnecessary to restrict the audit to Units 3 and 4 only. </w:t>
      </w:r>
    </w:p>
    <w:p w14:paraId="622E8B2F" w14:textId="77777777" w:rsidR="00F235CB" w:rsidRDefault="00F235CB" w:rsidP="00F235CB">
      <w:pPr>
        <w:pStyle w:val="VCAAbullet"/>
        <w:numPr>
          <w:ilvl w:val="0"/>
          <w:numId w:val="14"/>
        </w:numPr>
        <w:tabs>
          <w:tab w:val="clear" w:pos="425"/>
          <w:tab w:val="left" w:pos="0"/>
        </w:tabs>
        <w:ind w:left="357" w:hanging="357"/>
      </w:pPr>
      <w:r>
        <w:t xml:space="preserve">VPC studies are all benchmarked at the same level. It was therefore just as important to audit Units 1 and 2 as it was Units 3 and 4 of these studies. </w:t>
      </w:r>
    </w:p>
    <w:p w14:paraId="2E9E7453" w14:textId="77777777" w:rsidR="00F235CB" w:rsidRDefault="00F235CB" w:rsidP="00B6056C">
      <w:pPr>
        <w:pStyle w:val="VCAAHeading3"/>
      </w:pPr>
      <w:bookmarkStart w:id="8" w:name="_Toc159844790"/>
      <w:r>
        <w:t>Submission</w:t>
      </w:r>
      <w:bookmarkEnd w:id="8"/>
    </w:p>
    <w:p w14:paraId="0FE15D5C" w14:textId="6B1EB639" w:rsidR="00F235CB" w:rsidRDefault="00F235CB" w:rsidP="00F235CB">
      <w:pPr>
        <w:pStyle w:val="VCAAbody"/>
      </w:pPr>
      <w:r>
        <w:t xml:space="preserve">Audited providers were asked to complete an online questionnaire that comprised written responses to a series of questions and the </w:t>
      </w:r>
      <w:r w:rsidRPr="00C76DE8">
        <w:t>submi</w:t>
      </w:r>
      <w:r>
        <w:t>ssion of</w:t>
      </w:r>
      <w:r w:rsidRPr="00C76DE8">
        <w:t xml:space="preserve"> </w:t>
      </w:r>
      <w:r>
        <w:t xml:space="preserve">documentary evidence. </w:t>
      </w:r>
    </w:p>
    <w:p w14:paraId="53C757A8" w14:textId="77777777" w:rsidR="00F235CB" w:rsidRDefault="00F235CB" w:rsidP="00F235CB">
      <w:pPr>
        <w:pStyle w:val="VCAAbody"/>
      </w:pPr>
      <w:r>
        <w:t>Components audited in 2023 included:</w:t>
      </w:r>
    </w:p>
    <w:p w14:paraId="217A9B94" w14:textId="77777777" w:rsidR="00F235CB" w:rsidRDefault="00F235CB" w:rsidP="00F235CB">
      <w:pPr>
        <w:pStyle w:val="VCAAbullet"/>
        <w:numPr>
          <w:ilvl w:val="0"/>
          <w:numId w:val="12"/>
        </w:numPr>
        <w:tabs>
          <w:tab w:val="clear" w:pos="425"/>
          <w:tab w:val="left" w:pos="0"/>
        </w:tabs>
      </w:pPr>
      <w:r>
        <w:t>curriculum and assessment plan for the audited study</w:t>
      </w:r>
    </w:p>
    <w:p w14:paraId="77AF448B" w14:textId="77777777" w:rsidR="00F235CB" w:rsidRDefault="00F235CB" w:rsidP="00F235CB">
      <w:pPr>
        <w:pStyle w:val="VCAAbullet"/>
        <w:numPr>
          <w:ilvl w:val="0"/>
          <w:numId w:val="12"/>
        </w:numPr>
        <w:tabs>
          <w:tab w:val="clear" w:pos="425"/>
          <w:tab w:val="left" w:pos="0"/>
        </w:tabs>
      </w:pPr>
      <w:r>
        <w:t>two assessment tasks</w:t>
      </w:r>
    </w:p>
    <w:p w14:paraId="19E58927" w14:textId="77777777" w:rsidR="00F235CB" w:rsidRDefault="00F235CB" w:rsidP="00F235CB">
      <w:pPr>
        <w:pStyle w:val="VCAAbullet"/>
        <w:numPr>
          <w:ilvl w:val="0"/>
          <w:numId w:val="12"/>
        </w:numPr>
        <w:tabs>
          <w:tab w:val="clear" w:pos="425"/>
          <w:tab w:val="left" w:pos="0"/>
        </w:tabs>
      </w:pPr>
      <w:r>
        <w:t>documentation addressing policies and procedures for determining</w:t>
      </w:r>
      <w:r w:rsidRPr="00F53999">
        <w:t xml:space="preserve"> satisfactory completion</w:t>
      </w:r>
      <w:r>
        <w:t xml:space="preserve"> and</w:t>
      </w:r>
      <w:r w:rsidRPr="00F53999">
        <w:t xml:space="preserve"> authentication practices</w:t>
      </w:r>
      <w:r>
        <w:t>.</w:t>
      </w:r>
    </w:p>
    <w:p w14:paraId="15CB4C00" w14:textId="77777777" w:rsidR="00F235CB" w:rsidRDefault="00F235CB" w:rsidP="00F235CB">
      <w:pPr>
        <w:pStyle w:val="VCAAbody"/>
      </w:pPr>
      <w:r>
        <w:t xml:space="preserve">Providers were also asked to demonstrate their compliance with: </w:t>
      </w:r>
    </w:p>
    <w:p w14:paraId="332F63A2" w14:textId="77777777" w:rsidR="00F235CB" w:rsidRDefault="00F235CB" w:rsidP="00F235CB">
      <w:pPr>
        <w:pStyle w:val="VCAAbullet"/>
        <w:numPr>
          <w:ilvl w:val="0"/>
          <w:numId w:val="13"/>
        </w:numPr>
        <w:tabs>
          <w:tab w:val="clear" w:pos="425"/>
          <w:tab w:val="left" w:pos="0"/>
        </w:tabs>
      </w:pPr>
      <w:r>
        <w:t>administrative roles and responsibilities</w:t>
      </w:r>
    </w:p>
    <w:p w14:paraId="3C0E0A34" w14:textId="77777777" w:rsidR="00F235CB" w:rsidRDefault="00F235CB" w:rsidP="00F235CB">
      <w:pPr>
        <w:pStyle w:val="VCAAbullet"/>
        <w:numPr>
          <w:ilvl w:val="0"/>
          <w:numId w:val="13"/>
        </w:numPr>
        <w:tabs>
          <w:tab w:val="clear" w:pos="425"/>
          <w:tab w:val="left" w:pos="0"/>
        </w:tabs>
      </w:pPr>
      <w:r>
        <w:t>eligibility requirements for the award of the VCE VM or VPC</w:t>
      </w:r>
    </w:p>
    <w:p w14:paraId="01AA4A41" w14:textId="77777777" w:rsidR="00F235CB" w:rsidRDefault="00F235CB" w:rsidP="00F235CB">
      <w:pPr>
        <w:pStyle w:val="VCAAbullet"/>
        <w:numPr>
          <w:ilvl w:val="0"/>
          <w:numId w:val="13"/>
        </w:numPr>
        <w:tabs>
          <w:tab w:val="clear" w:pos="425"/>
          <w:tab w:val="left" w:pos="0"/>
        </w:tabs>
      </w:pPr>
      <w:r>
        <w:t xml:space="preserve">special provision requirements. </w:t>
      </w:r>
    </w:p>
    <w:p w14:paraId="7CEF5F86" w14:textId="77777777" w:rsidR="00F235CB" w:rsidRDefault="00F235CB" w:rsidP="00B6056C">
      <w:pPr>
        <w:pStyle w:val="VCAAHeading3"/>
      </w:pPr>
      <w:bookmarkStart w:id="9" w:name="_Toc159844791"/>
      <w:r>
        <w:t>Assessment</w:t>
      </w:r>
      <w:bookmarkEnd w:id="9"/>
    </w:p>
    <w:p w14:paraId="06309590" w14:textId="77777777" w:rsidR="00F235CB" w:rsidRDefault="00F235CB" w:rsidP="00F235CB">
      <w:pPr>
        <w:pStyle w:val="VCAAbody"/>
      </w:pPr>
      <w:r>
        <w:t xml:space="preserve">Audit submissions were reviewed by state reviewers who determined whether an audit submission met the VCAA standards and requirements using standardised audit assessment measures. Each state reviewer assessment was then thoroughly vetted by a VCAA representative to ensure it had been completed to standard and included constructive and practical recommendations. </w:t>
      </w:r>
    </w:p>
    <w:p w14:paraId="2C069D22" w14:textId="77777777" w:rsidR="00F235CB" w:rsidRDefault="00F235CB">
      <w:pPr>
        <w:rPr>
          <w:rFonts w:ascii="Arial" w:hAnsi="Arial" w:cs="Arial"/>
          <w:color w:val="0F7EB4"/>
          <w:sz w:val="24"/>
          <w:szCs w:val="20"/>
          <w:lang w:val="en" w:eastAsia="en-AU"/>
        </w:rPr>
      </w:pPr>
      <w:r>
        <w:br w:type="page"/>
      </w:r>
    </w:p>
    <w:p w14:paraId="10E67A53" w14:textId="1A50E24E" w:rsidR="00F235CB" w:rsidRDefault="00F235CB" w:rsidP="00B6056C">
      <w:pPr>
        <w:pStyle w:val="VCAAHeading3"/>
      </w:pPr>
      <w:bookmarkStart w:id="10" w:name="_Toc159844792"/>
      <w:r>
        <w:t>Post-audit</w:t>
      </w:r>
      <w:bookmarkEnd w:id="10"/>
    </w:p>
    <w:p w14:paraId="74EF80CA" w14:textId="77777777" w:rsidR="00F235CB" w:rsidRDefault="00F235CB" w:rsidP="00F235CB">
      <w:pPr>
        <w:pStyle w:val="VCAAbody"/>
      </w:pPr>
      <w:r>
        <w:t xml:space="preserve">Following the audit, each provider: </w:t>
      </w:r>
    </w:p>
    <w:p w14:paraId="232CBFE5" w14:textId="77777777" w:rsidR="00F235CB" w:rsidRPr="003C0860" w:rsidRDefault="00F235CB" w:rsidP="00F235CB">
      <w:pPr>
        <w:pStyle w:val="VCAAbullet"/>
        <w:numPr>
          <w:ilvl w:val="0"/>
          <w:numId w:val="14"/>
        </w:numPr>
        <w:tabs>
          <w:tab w:val="clear" w:pos="425"/>
          <w:tab w:val="left" w:pos="0"/>
        </w:tabs>
        <w:ind w:left="357" w:hanging="357"/>
      </w:pPr>
      <w:r w:rsidRPr="003C0860">
        <w:t>received an audit outcome report outlining positive aspects of their submission and areas requiring further attention</w:t>
      </w:r>
    </w:p>
    <w:p w14:paraId="06CA6712" w14:textId="77777777" w:rsidR="00F235CB" w:rsidRPr="003C0860" w:rsidRDefault="00F235CB" w:rsidP="00F235CB">
      <w:pPr>
        <w:pStyle w:val="VCAAbullet"/>
        <w:numPr>
          <w:ilvl w:val="0"/>
          <w:numId w:val="14"/>
        </w:numPr>
        <w:tabs>
          <w:tab w:val="clear" w:pos="425"/>
          <w:tab w:val="left" w:pos="0"/>
        </w:tabs>
        <w:ind w:left="357" w:hanging="357"/>
      </w:pPr>
      <w:r w:rsidRPr="003C0860">
        <w:t>was offered the opportunity to schedule a discussion with a VCAA representative to discuss their audit outcome report.</w:t>
      </w:r>
    </w:p>
    <w:p w14:paraId="1DE0DDD4" w14:textId="77777777" w:rsidR="00F235CB" w:rsidRDefault="00F235CB" w:rsidP="00F235CB">
      <w:pPr>
        <w:pStyle w:val="VCAAbody"/>
      </w:pPr>
      <w:r>
        <w:t>Audited providers were given the opportunity to provide detailed feedback regarding their experience of the 2023 VCE VM and VPC Audit through a post-audit survey.  Key survey findings include that:</w:t>
      </w:r>
    </w:p>
    <w:p w14:paraId="56AAE202" w14:textId="77777777" w:rsidR="00F235CB" w:rsidRPr="00A14152" w:rsidRDefault="00F235CB" w:rsidP="00F235CB">
      <w:pPr>
        <w:pStyle w:val="VCAAbullet"/>
        <w:numPr>
          <w:ilvl w:val="0"/>
          <w:numId w:val="14"/>
        </w:numPr>
        <w:tabs>
          <w:tab w:val="clear" w:pos="425"/>
          <w:tab w:val="left" w:pos="0"/>
        </w:tabs>
        <w:ind w:left="357" w:hanging="357"/>
      </w:pPr>
      <w:r>
        <w:t>more than 80</w:t>
      </w:r>
      <w:r w:rsidRPr="00A14152">
        <w:t xml:space="preserve">% of audited providers agreed </w:t>
      </w:r>
      <w:r>
        <w:t xml:space="preserve">or strongly agreed </w:t>
      </w:r>
      <w:r w:rsidRPr="00A14152">
        <w:t>that the Audit Outcome Report was a fair assessment of their implementation of the</w:t>
      </w:r>
      <w:r>
        <w:t xml:space="preserve"> audited</w:t>
      </w:r>
      <w:r w:rsidRPr="00A14152">
        <w:t xml:space="preserve"> </w:t>
      </w:r>
      <w:r>
        <w:t>s</w:t>
      </w:r>
      <w:r w:rsidRPr="00A14152">
        <w:t>tudy</w:t>
      </w:r>
    </w:p>
    <w:p w14:paraId="74AD5851" w14:textId="77777777" w:rsidR="00F235CB" w:rsidRPr="00A14152" w:rsidRDefault="00F235CB" w:rsidP="00F235CB">
      <w:pPr>
        <w:pStyle w:val="VCAAbullet"/>
        <w:numPr>
          <w:ilvl w:val="0"/>
          <w:numId w:val="14"/>
        </w:numPr>
        <w:tabs>
          <w:tab w:val="clear" w:pos="425"/>
          <w:tab w:val="left" w:pos="0"/>
        </w:tabs>
        <w:ind w:left="357" w:hanging="357"/>
      </w:pPr>
      <w:r w:rsidRPr="00A14152">
        <w:t>75% of audited providers agreed that the Audit Outcome Report provided them with helpful feedback and advice to improve their applied learning program/s</w:t>
      </w:r>
    </w:p>
    <w:p w14:paraId="3922035A" w14:textId="77777777" w:rsidR="00F235CB" w:rsidRDefault="00F235CB" w:rsidP="00F235CB">
      <w:pPr>
        <w:pStyle w:val="VCAAbullet"/>
        <w:numPr>
          <w:ilvl w:val="0"/>
          <w:numId w:val="14"/>
        </w:numPr>
        <w:tabs>
          <w:tab w:val="clear" w:pos="425"/>
          <w:tab w:val="left" w:pos="0"/>
        </w:tabs>
        <w:ind w:left="357" w:hanging="357"/>
      </w:pPr>
      <w:r w:rsidRPr="00A14152">
        <w:t>80% of audited providers agreed that they received the required support from the VCAA to complete</w:t>
      </w:r>
      <w:r>
        <w:t xml:space="preserve"> the audit.</w:t>
      </w:r>
    </w:p>
    <w:p w14:paraId="68E76B22" w14:textId="77777777" w:rsidR="00F235CB" w:rsidRPr="003C0860" w:rsidRDefault="00F235CB" w:rsidP="00F235CB">
      <w:pPr>
        <w:pStyle w:val="VCAAbody"/>
      </w:pPr>
      <w:r>
        <w:t>Feedback received through this survey has been used to inform the VCE VM and VPC Curriculum and Assessment Audit 2024.</w:t>
      </w:r>
    </w:p>
    <w:p w14:paraId="1105F695" w14:textId="77777777" w:rsidR="00F235CB" w:rsidRDefault="00F235CB" w:rsidP="00B6056C">
      <w:pPr>
        <w:pStyle w:val="VCAAHeading2"/>
      </w:pPr>
      <w:bookmarkStart w:id="11" w:name="_Toc159844793"/>
      <w:r w:rsidRPr="00853974">
        <w:t>Provider selections</w:t>
      </w:r>
      <w:bookmarkEnd w:id="11"/>
      <w:r w:rsidRPr="00853974">
        <w:t xml:space="preserve"> </w:t>
      </w:r>
    </w:p>
    <w:p w14:paraId="2CD175F1" w14:textId="77777777" w:rsidR="00F235CB" w:rsidRDefault="00F235CB" w:rsidP="00F235CB">
      <w:pPr>
        <w:pStyle w:val="VCAAbody"/>
      </w:pPr>
      <w:r>
        <w:t xml:space="preserve">In 2023, 176 providers were selected to participate in the VCE VM and VPC Audit, </w:t>
      </w:r>
      <w:r w:rsidRPr="007D73AF">
        <w:t xml:space="preserve">representing approximately ten percent of the total number of providers for each of the VCE VM and VPC studies. </w:t>
      </w:r>
    </w:p>
    <w:p w14:paraId="7AA660C9" w14:textId="77777777" w:rsidR="00F235CB" w:rsidRDefault="00F235CB" w:rsidP="00F235CB">
      <w:pPr>
        <w:pStyle w:val="VCAAbody"/>
      </w:pPr>
      <w:r>
        <w:t xml:space="preserve">Selected providers were audited for Units 1 and 2 or Units 3 and 4 of one VCE VM or VPC study. </w:t>
      </w:r>
      <w:r w:rsidDel="00603EC1">
        <w:rPr>
          <w:rStyle w:val="CommentReference"/>
        </w:rPr>
        <w:t xml:space="preserve"> </w:t>
      </w:r>
    </w:p>
    <w:p w14:paraId="5BDBEEBC" w14:textId="77777777" w:rsidR="00F235CB" w:rsidRDefault="00F235CB" w:rsidP="00F235CB">
      <w:pPr>
        <w:pStyle w:val="VCAAbody"/>
      </w:pPr>
      <w:r>
        <w:t>T</w:t>
      </w:r>
      <w:r w:rsidRPr="00F5488C">
        <w:t xml:space="preserve">he </w:t>
      </w:r>
      <w:r>
        <w:t xml:space="preserve">176 </w:t>
      </w:r>
      <w:r w:rsidRPr="00F5488C">
        <w:t>selected providers</w:t>
      </w:r>
      <w:r>
        <w:t xml:space="preserve"> included:</w:t>
      </w:r>
      <w:r w:rsidRPr="00F5488C">
        <w:t xml:space="preserve"> </w:t>
      </w:r>
    </w:p>
    <w:p w14:paraId="1F629BE8" w14:textId="77777777" w:rsidR="00F235CB" w:rsidRPr="00A14152" w:rsidRDefault="00F235CB" w:rsidP="00F235CB">
      <w:pPr>
        <w:pStyle w:val="VCAAbullet"/>
        <w:numPr>
          <w:ilvl w:val="0"/>
          <w:numId w:val="14"/>
        </w:numPr>
        <w:tabs>
          <w:tab w:val="clear" w:pos="425"/>
          <w:tab w:val="left" w:pos="0"/>
        </w:tabs>
        <w:ind w:left="357" w:hanging="357"/>
      </w:pPr>
      <w:r w:rsidRPr="00A14152">
        <w:t>107 providers that were audited for Units 1 and 2 or Units 3 and 4 of a VCE VM study</w:t>
      </w:r>
    </w:p>
    <w:p w14:paraId="2503E58E" w14:textId="77777777" w:rsidR="00F235CB" w:rsidRDefault="00F235CB" w:rsidP="00F235CB">
      <w:pPr>
        <w:pStyle w:val="VCAAbullet"/>
        <w:numPr>
          <w:ilvl w:val="0"/>
          <w:numId w:val="14"/>
        </w:numPr>
        <w:tabs>
          <w:tab w:val="clear" w:pos="425"/>
          <w:tab w:val="left" w:pos="0"/>
        </w:tabs>
        <w:ind w:left="357" w:hanging="357"/>
      </w:pPr>
      <w:r w:rsidRPr="00A14152">
        <w:t>69 providers</w:t>
      </w:r>
      <w:r>
        <w:t xml:space="preserve"> that were</w:t>
      </w:r>
      <w:r w:rsidRPr="00F5488C">
        <w:t xml:space="preserve"> audited for Units 1 and 2 or Units 3 and 4</w:t>
      </w:r>
      <w:r>
        <w:t xml:space="preserve"> of </w:t>
      </w:r>
      <w:r w:rsidRPr="00F5488C">
        <w:t>a VPC study</w:t>
      </w:r>
      <w:r>
        <w:t>.</w:t>
      </w:r>
    </w:p>
    <w:p w14:paraId="218A3CFF" w14:textId="77777777" w:rsidR="00F235CB" w:rsidRPr="003C0860" w:rsidRDefault="00F235CB" w:rsidP="00F235CB">
      <w:pPr>
        <w:pStyle w:val="VCAAbody"/>
      </w:pPr>
      <w:r>
        <w:t>Provider s</w:t>
      </w:r>
      <w:r w:rsidRPr="00C76DE8">
        <w:t>elections were largely random</w:t>
      </w:r>
      <w:r>
        <w:t xml:space="preserve"> with a</w:t>
      </w:r>
      <w:r w:rsidRPr="00C76DE8">
        <w:t xml:space="preserve"> proportionate representation of each sector and geographic location across both metropolitan and regional Victoria.</w:t>
      </w:r>
      <w:r>
        <w:t xml:space="preserve"> However, 34 providers offering an applied learning program for the first time in 2023 were automatically selected. Of these, </w:t>
      </w:r>
      <w:r w:rsidRPr="007D73AF">
        <w:t xml:space="preserve">31 </w:t>
      </w:r>
      <w:r>
        <w:t xml:space="preserve">were audited for a VCE VM study and three were audited for a VPC study. </w:t>
      </w:r>
    </w:p>
    <w:p w14:paraId="4F52D642" w14:textId="77777777" w:rsidR="00F235CB" w:rsidRDefault="00F235CB" w:rsidP="00F235CB">
      <w:pPr>
        <w:rPr>
          <w:rFonts w:ascii="Arial" w:hAnsi="Arial" w:cs="Arial"/>
          <w:color w:val="0F7EB4"/>
          <w:sz w:val="40"/>
          <w:szCs w:val="28"/>
        </w:rPr>
      </w:pPr>
      <w:r>
        <w:br w:type="page"/>
      </w:r>
    </w:p>
    <w:p w14:paraId="37F270BA" w14:textId="77777777" w:rsidR="00F235CB" w:rsidRPr="00853974" w:rsidRDefault="00F235CB" w:rsidP="00B6056C">
      <w:pPr>
        <w:pStyle w:val="VCAAHeading1"/>
      </w:pPr>
      <w:bookmarkStart w:id="12" w:name="_Toc159844794"/>
      <w:r w:rsidRPr="00853974">
        <w:t>2023 Audit Findings</w:t>
      </w:r>
      <w:bookmarkEnd w:id="12"/>
    </w:p>
    <w:p w14:paraId="6ADB65BC" w14:textId="77777777" w:rsidR="00F235CB" w:rsidRPr="00853974" w:rsidRDefault="00F235CB" w:rsidP="00B6056C">
      <w:pPr>
        <w:pStyle w:val="VCAAHeading2"/>
      </w:pPr>
      <w:bookmarkStart w:id="13" w:name="_Toc159844795"/>
      <w:r w:rsidRPr="00853974">
        <w:t>Common areas of good practice</w:t>
      </w:r>
      <w:bookmarkEnd w:id="13"/>
    </w:p>
    <w:p w14:paraId="7DDAD926" w14:textId="77777777" w:rsidR="00F235CB" w:rsidRDefault="00F235CB" w:rsidP="00F235CB">
      <w:pPr>
        <w:pStyle w:val="VCAAbody"/>
      </w:pPr>
      <w:r>
        <w:t xml:space="preserve">More than 85% of audited providers met VCAA expectations with less than 10% identified as requiring VCAA support with program delivery. </w:t>
      </w:r>
    </w:p>
    <w:p w14:paraId="4FC990BF" w14:textId="77777777" w:rsidR="00F235CB" w:rsidRPr="00C32E1A" w:rsidRDefault="00F235CB" w:rsidP="00F235CB">
      <w:pPr>
        <w:pStyle w:val="VCAAbody"/>
      </w:pPr>
      <w:proofErr w:type="gramStart"/>
      <w:r w:rsidRPr="00C32E1A">
        <w:t>The majority of</w:t>
      </w:r>
      <w:proofErr w:type="gramEnd"/>
      <w:r w:rsidRPr="00C32E1A">
        <w:t xml:space="preserve"> providers:</w:t>
      </w:r>
    </w:p>
    <w:p w14:paraId="02C2D8AA" w14:textId="77777777" w:rsidR="00F235CB" w:rsidRPr="006F3AAE" w:rsidRDefault="00F235CB" w:rsidP="00F235CB">
      <w:pPr>
        <w:pStyle w:val="VCAAbullet"/>
        <w:numPr>
          <w:ilvl w:val="0"/>
          <w:numId w:val="14"/>
        </w:numPr>
        <w:tabs>
          <w:tab w:val="clear" w:pos="425"/>
          <w:tab w:val="left" w:pos="0"/>
        </w:tabs>
        <w:ind w:left="357" w:hanging="357"/>
      </w:pPr>
      <w:r w:rsidRPr="006F3AAE">
        <w:t>developed curriculum and assessment plans that included a range of learning activities and multiple opportunities for students to achieve the required outcome/s or learning goal/s</w:t>
      </w:r>
    </w:p>
    <w:p w14:paraId="07FEAD1B" w14:textId="77777777" w:rsidR="00F235CB" w:rsidRPr="006F3AAE" w:rsidRDefault="00F235CB" w:rsidP="00F235CB">
      <w:pPr>
        <w:pStyle w:val="VCAAbullet"/>
        <w:numPr>
          <w:ilvl w:val="0"/>
          <w:numId w:val="14"/>
        </w:numPr>
        <w:tabs>
          <w:tab w:val="clear" w:pos="425"/>
          <w:tab w:val="left" w:pos="0"/>
        </w:tabs>
        <w:ind w:left="357" w:hanging="357"/>
      </w:pPr>
      <w:r w:rsidRPr="006F3AAE">
        <w:t>incorporated teaching and learning strategies, tasks and activities into their planning documentation based on the Pillars of Applied Learning</w:t>
      </w:r>
    </w:p>
    <w:p w14:paraId="504392E4" w14:textId="77777777" w:rsidR="00F235CB" w:rsidRPr="006F3AAE" w:rsidRDefault="00F235CB" w:rsidP="00F235CB">
      <w:pPr>
        <w:pStyle w:val="VCAAbullet"/>
        <w:numPr>
          <w:ilvl w:val="0"/>
          <w:numId w:val="14"/>
        </w:numPr>
        <w:tabs>
          <w:tab w:val="clear" w:pos="425"/>
          <w:tab w:val="left" w:pos="0"/>
        </w:tabs>
        <w:ind w:left="357" w:hanging="357"/>
      </w:pPr>
      <w:r w:rsidRPr="006F3AAE">
        <w:t>developed assessment tasks in accordance with the Pillars of Applied Learning and the VCE or VPC Assessment Principles</w:t>
      </w:r>
    </w:p>
    <w:p w14:paraId="4B671A7F" w14:textId="77777777" w:rsidR="00F235CB" w:rsidRPr="00BA2E13" w:rsidRDefault="00F235CB" w:rsidP="00F235CB">
      <w:pPr>
        <w:pStyle w:val="VCAAbullet"/>
        <w:numPr>
          <w:ilvl w:val="0"/>
          <w:numId w:val="14"/>
        </w:numPr>
        <w:tabs>
          <w:tab w:val="clear" w:pos="425"/>
          <w:tab w:val="left" w:pos="0"/>
        </w:tabs>
        <w:ind w:left="357" w:hanging="357"/>
        <w:rPr>
          <w:rFonts w:ascii="Calibri" w:eastAsia="Calibri" w:hAnsi="Calibri" w:cs="Calibri"/>
          <w:b/>
        </w:rPr>
      </w:pPr>
      <w:r w:rsidRPr="006F3AAE">
        <w:t>incorporated VCAA advice in the relevant administrative handbooks, VCE VM study designs and VPC curriculum designs.</w:t>
      </w:r>
    </w:p>
    <w:p w14:paraId="4D705759" w14:textId="77777777" w:rsidR="00F235CB" w:rsidRPr="00853974" w:rsidRDefault="00F235CB" w:rsidP="00B6056C">
      <w:pPr>
        <w:pStyle w:val="VCAAHeading2"/>
      </w:pPr>
      <w:bookmarkStart w:id="14" w:name="_Toc159844796"/>
      <w:r w:rsidRPr="00853974">
        <w:t>Common areas for improvement</w:t>
      </w:r>
      <w:bookmarkEnd w:id="14"/>
    </w:p>
    <w:p w14:paraId="69D3C9AC" w14:textId="77777777" w:rsidR="00F235CB" w:rsidRPr="00B66803" w:rsidRDefault="00F235CB" w:rsidP="00F235CB">
      <w:pPr>
        <w:pStyle w:val="VCAAbody"/>
      </w:pPr>
      <w:r w:rsidRPr="00B66803">
        <w:t xml:space="preserve">Audit findings identified </w:t>
      </w:r>
      <w:proofErr w:type="gramStart"/>
      <w:r w:rsidRPr="00B66803">
        <w:t>a number of</w:t>
      </w:r>
      <w:proofErr w:type="gramEnd"/>
      <w:r w:rsidRPr="00B66803">
        <w:t xml:space="preserve"> common opportunities to improve providers’ delivery of the VCE VM and VPC. These findings will be used to inform planning for professional learning opportunities to address common issues regarding providers’ development and delivery of VCE VM and VPC studies. </w:t>
      </w:r>
      <w:bookmarkStart w:id="15" w:name="_Hlk157615172"/>
    </w:p>
    <w:p w14:paraId="7CECAB3D" w14:textId="77777777" w:rsidR="00F235CB" w:rsidRPr="00853974" w:rsidRDefault="00F235CB" w:rsidP="00F235CB">
      <w:pPr>
        <w:pStyle w:val="VCAAbody"/>
        <w:spacing w:after="240"/>
        <w:rPr>
          <w:lang w:val="en-AU"/>
        </w:rPr>
      </w:pPr>
      <w:r w:rsidRPr="00853974">
        <w:rPr>
          <w:lang w:val="en-AU"/>
        </w:rPr>
        <w:t xml:space="preserve">The following table details areas identified for further attention and advice. </w:t>
      </w:r>
    </w:p>
    <w:tbl>
      <w:tblPr>
        <w:tblStyle w:val="VCAATableClosed"/>
        <w:tblW w:w="10065" w:type="dxa"/>
        <w:tblLook w:val="04A0" w:firstRow="1" w:lastRow="0" w:firstColumn="1" w:lastColumn="0" w:noHBand="0" w:noVBand="1"/>
      </w:tblPr>
      <w:tblGrid>
        <w:gridCol w:w="4254"/>
        <w:gridCol w:w="5811"/>
      </w:tblGrid>
      <w:tr w:rsidR="00F235CB" w:rsidRPr="00F235CB" w14:paraId="53EDEE1C" w14:textId="77777777" w:rsidTr="00D25A2A">
        <w:trPr>
          <w:cnfStyle w:val="100000000000" w:firstRow="1" w:lastRow="0" w:firstColumn="0" w:lastColumn="0" w:oddVBand="0" w:evenVBand="0" w:oddHBand="0" w:evenHBand="0" w:firstRowFirstColumn="0" w:firstRowLastColumn="0" w:lastRowFirstColumn="0" w:lastRowLastColumn="0"/>
        </w:trPr>
        <w:tc>
          <w:tcPr>
            <w:tcW w:w="4254" w:type="dxa"/>
          </w:tcPr>
          <w:bookmarkEnd w:id="15"/>
          <w:p w14:paraId="1E72489C" w14:textId="77777777" w:rsidR="00F235CB" w:rsidRPr="00F235CB" w:rsidRDefault="00F235CB" w:rsidP="00D25A2A">
            <w:pPr>
              <w:spacing w:before="60" w:after="60"/>
              <w:rPr>
                <w:rFonts w:cstheme="minorHAnsi"/>
                <w:b w:val="0"/>
                <w:bCs/>
              </w:rPr>
            </w:pPr>
            <w:r w:rsidRPr="00F235CB">
              <w:rPr>
                <w:rFonts w:cstheme="minorHAnsi"/>
                <w:bCs/>
              </w:rPr>
              <w:t>Findings</w:t>
            </w:r>
          </w:p>
        </w:tc>
        <w:tc>
          <w:tcPr>
            <w:tcW w:w="5811" w:type="dxa"/>
          </w:tcPr>
          <w:p w14:paraId="21584F7B" w14:textId="77777777" w:rsidR="00F235CB" w:rsidRPr="00F235CB" w:rsidRDefault="00F235CB" w:rsidP="00D25A2A">
            <w:pPr>
              <w:spacing w:before="60" w:after="60"/>
              <w:rPr>
                <w:rFonts w:cstheme="minorHAnsi"/>
                <w:b w:val="0"/>
                <w:bCs/>
              </w:rPr>
            </w:pPr>
            <w:r w:rsidRPr="00F235CB">
              <w:rPr>
                <w:rFonts w:cstheme="minorHAnsi"/>
                <w:bCs/>
              </w:rPr>
              <w:t>VCAA Support</w:t>
            </w:r>
          </w:p>
        </w:tc>
      </w:tr>
      <w:tr w:rsidR="00F235CB" w:rsidRPr="00F235CB" w14:paraId="30F76FCF" w14:textId="77777777" w:rsidTr="00D25A2A">
        <w:trPr>
          <w:trHeight w:val="2657"/>
        </w:trPr>
        <w:tc>
          <w:tcPr>
            <w:tcW w:w="4254" w:type="dxa"/>
          </w:tcPr>
          <w:p w14:paraId="69D48C80" w14:textId="77777777" w:rsidR="00F235CB" w:rsidRPr="00F235CB" w:rsidRDefault="00F235CB" w:rsidP="00D25A2A">
            <w:pPr>
              <w:spacing w:before="60" w:after="60"/>
              <w:rPr>
                <w:rFonts w:cstheme="minorHAnsi"/>
              </w:rPr>
            </w:pPr>
            <w:r w:rsidRPr="00F235CB">
              <w:rPr>
                <w:rFonts w:cstheme="minorHAnsi"/>
              </w:rPr>
              <w:t xml:space="preserve">Some submissions showed that the </w:t>
            </w:r>
            <w:hyperlink r:id="rId31" w:history="1">
              <w:r w:rsidRPr="00F235CB">
                <w:rPr>
                  <w:rStyle w:val="Hyperlink"/>
                  <w:rFonts w:cstheme="minorHAnsi"/>
                </w:rPr>
                <w:t>Pillars of Applied Learning</w:t>
              </w:r>
            </w:hyperlink>
            <w:r w:rsidRPr="00F235CB">
              <w:rPr>
                <w:rFonts w:cstheme="minorHAnsi"/>
              </w:rPr>
              <w:t xml:space="preserve"> (POAL) need to be made more evident or have not been sufficiently addressed in the planning documentation and/or assessment tasks.</w:t>
            </w:r>
          </w:p>
        </w:tc>
        <w:tc>
          <w:tcPr>
            <w:tcW w:w="5811" w:type="dxa"/>
          </w:tcPr>
          <w:p w14:paraId="1A1EECA9" w14:textId="77777777" w:rsidR="00F235CB" w:rsidRPr="00F235CB" w:rsidRDefault="00F235CB" w:rsidP="00D25A2A">
            <w:pPr>
              <w:pStyle w:val="ListParagraph"/>
              <w:spacing w:before="120" w:line="280" w:lineRule="exact"/>
              <w:ind w:left="-28"/>
              <w:contextualSpacing w:val="0"/>
              <w:rPr>
                <w:rFonts w:cstheme="minorHAnsi"/>
                <w:szCs w:val="22"/>
              </w:rPr>
            </w:pPr>
            <w:r w:rsidRPr="00F235CB">
              <w:rPr>
                <w:rFonts w:cstheme="minorHAnsi"/>
                <w:szCs w:val="22"/>
              </w:rPr>
              <w:t>As the Pillars of Applied Learning are still a new concept, the VCAA will continue to provide advice and support to emphasise their importance.</w:t>
            </w:r>
          </w:p>
          <w:p w14:paraId="2F69C0EC" w14:textId="77777777" w:rsidR="00F235CB" w:rsidRPr="00F235CB" w:rsidRDefault="00F235CB" w:rsidP="00D25A2A">
            <w:pPr>
              <w:pStyle w:val="ListParagraph"/>
              <w:spacing w:before="120" w:line="280" w:lineRule="exact"/>
              <w:ind w:left="-28"/>
              <w:contextualSpacing w:val="0"/>
              <w:rPr>
                <w:rFonts w:cstheme="minorHAnsi"/>
                <w:szCs w:val="22"/>
              </w:rPr>
            </w:pPr>
            <w:r w:rsidRPr="00F235CB">
              <w:rPr>
                <w:rFonts w:cstheme="minorHAnsi"/>
                <w:szCs w:val="22"/>
              </w:rPr>
              <w:t>The VCAA will continue to provide professional learning, both face-to-face and online, which will include the POAL and how they can be used.</w:t>
            </w:r>
          </w:p>
          <w:p w14:paraId="071AFA0D" w14:textId="77777777" w:rsidR="00F235CB" w:rsidRPr="00F235CB" w:rsidRDefault="00F235CB" w:rsidP="00D25A2A">
            <w:pPr>
              <w:pStyle w:val="ListParagraph"/>
              <w:spacing w:before="120" w:line="280" w:lineRule="exact"/>
              <w:ind w:left="-28"/>
              <w:contextualSpacing w:val="0"/>
              <w:rPr>
                <w:rFonts w:cstheme="minorHAnsi"/>
                <w:szCs w:val="22"/>
              </w:rPr>
            </w:pPr>
            <w:r w:rsidRPr="00F235CB">
              <w:rPr>
                <w:rFonts w:cstheme="minorHAnsi"/>
                <w:szCs w:val="22"/>
              </w:rPr>
              <w:t>Providers are encouraged to familiarise themselves with the VCAA’s current suite of resources regarding approaches to applied learning – see ‘Support resources’ below.</w:t>
            </w:r>
          </w:p>
        </w:tc>
      </w:tr>
      <w:tr w:rsidR="00F235CB" w:rsidRPr="00F235CB" w14:paraId="2D3BBC02" w14:textId="77777777" w:rsidTr="004C06CD">
        <w:trPr>
          <w:trHeight w:val="3009"/>
        </w:trPr>
        <w:tc>
          <w:tcPr>
            <w:tcW w:w="4254" w:type="dxa"/>
          </w:tcPr>
          <w:p w14:paraId="1F891CB0" w14:textId="77777777" w:rsidR="00F235CB" w:rsidRPr="00F235CB" w:rsidRDefault="00F235CB" w:rsidP="00D25A2A">
            <w:pPr>
              <w:spacing w:before="60" w:after="60"/>
              <w:rPr>
                <w:rFonts w:cstheme="minorHAnsi"/>
              </w:rPr>
            </w:pPr>
            <w:r w:rsidRPr="00F235CB">
              <w:rPr>
                <w:rFonts w:cstheme="minorHAnsi"/>
              </w:rPr>
              <w:t xml:space="preserve">In some submissions, key knowledge and skills could be made clearer in the learning and assessment tasks of the curriculum and assessment planning documentation. In some cases, they did not align with the relevant outcome/s or learning goal/s. </w:t>
            </w:r>
          </w:p>
        </w:tc>
        <w:tc>
          <w:tcPr>
            <w:tcW w:w="5811" w:type="dxa"/>
          </w:tcPr>
          <w:p w14:paraId="6A1E4029" w14:textId="77777777" w:rsidR="00F235CB" w:rsidRPr="00F235CB" w:rsidRDefault="00F235CB" w:rsidP="00D25A2A">
            <w:pPr>
              <w:pStyle w:val="ListParagraph"/>
              <w:spacing w:before="120" w:line="280" w:lineRule="exact"/>
              <w:ind w:left="-28"/>
              <w:contextualSpacing w:val="0"/>
              <w:rPr>
                <w:rFonts w:cstheme="minorHAnsi"/>
                <w:szCs w:val="22"/>
              </w:rPr>
            </w:pPr>
            <w:r w:rsidRPr="00F235CB">
              <w:rPr>
                <w:rFonts w:cstheme="minorHAnsi"/>
                <w:szCs w:val="22"/>
              </w:rPr>
              <w:t xml:space="preserve">Throughout 2024, the VCAA will provide targeted support to address incorporating the key knowledge and skills into curriculum and assessment planning. For more information visit </w:t>
            </w:r>
            <w:hyperlink r:id="rId32" w:history="1">
              <w:r w:rsidRPr="00F235CB">
                <w:rPr>
                  <w:rStyle w:val="Hyperlink"/>
                  <w:rFonts w:cstheme="minorHAnsi"/>
                  <w:szCs w:val="22"/>
                </w:rPr>
                <w:t>VCE VM and VPC Professional Learning</w:t>
              </w:r>
            </w:hyperlink>
            <w:r w:rsidRPr="00F235CB">
              <w:rPr>
                <w:rFonts w:cstheme="minorHAnsi"/>
                <w:szCs w:val="22"/>
              </w:rPr>
              <w:t>.</w:t>
            </w:r>
          </w:p>
          <w:p w14:paraId="259055E3" w14:textId="77777777" w:rsidR="00F235CB" w:rsidRPr="00F235CB" w:rsidRDefault="00F235CB" w:rsidP="00D25A2A">
            <w:pPr>
              <w:pStyle w:val="ListParagraph"/>
              <w:spacing w:before="120" w:line="280" w:lineRule="exact"/>
              <w:ind w:left="-28"/>
              <w:contextualSpacing w:val="0"/>
              <w:rPr>
                <w:rFonts w:cstheme="minorHAnsi"/>
                <w:szCs w:val="22"/>
              </w:rPr>
            </w:pPr>
            <w:r w:rsidRPr="00F235CB">
              <w:rPr>
                <w:rFonts w:cstheme="minorHAnsi"/>
                <w:szCs w:val="22"/>
              </w:rPr>
              <w:t xml:space="preserve">The VCAA 2023 webinar, </w:t>
            </w:r>
            <w:r w:rsidRPr="00F235CB">
              <w:rPr>
                <w:rFonts w:cstheme="minorHAnsi"/>
                <w:i/>
                <w:iCs/>
                <w:szCs w:val="22"/>
              </w:rPr>
              <w:t xml:space="preserve">Assessment practices that promote success in the VCE VM and VPC, </w:t>
            </w:r>
            <w:r w:rsidRPr="00F235CB">
              <w:rPr>
                <w:rFonts w:cstheme="minorHAnsi"/>
                <w:szCs w:val="22"/>
              </w:rPr>
              <w:t xml:space="preserve">addressed the alignment of key knowledge and skills or applications to a VCE VM outcome or VPC learning goal. To access this webinar and other useful resources, visit </w:t>
            </w:r>
            <w:hyperlink r:id="rId33" w:history="1">
              <w:r w:rsidRPr="00F235CB">
                <w:rPr>
                  <w:rStyle w:val="Hyperlink"/>
                  <w:rFonts w:cstheme="minorHAnsi"/>
                  <w:szCs w:val="22"/>
                </w:rPr>
                <w:t>Past Professional Learning Materials</w:t>
              </w:r>
            </w:hyperlink>
            <w:r w:rsidRPr="00F235CB">
              <w:rPr>
                <w:rFonts w:cstheme="minorHAnsi"/>
                <w:szCs w:val="22"/>
              </w:rPr>
              <w:t xml:space="preserve">. </w:t>
            </w:r>
          </w:p>
        </w:tc>
      </w:tr>
      <w:tr w:rsidR="00F235CB" w:rsidRPr="00F235CB" w14:paraId="290C4F1D" w14:textId="77777777" w:rsidTr="004C06CD">
        <w:trPr>
          <w:trHeight w:val="7262"/>
        </w:trPr>
        <w:tc>
          <w:tcPr>
            <w:tcW w:w="4254" w:type="dxa"/>
          </w:tcPr>
          <w:p w14:paraId="67A86AB2" w14:textId="77777777" w:rsidR="00F235CB" w:rsidRPr="00F235CB" w:rsidRDefault="00F235CB" w:rsidP="00D25A2A">
            <w:pPr>
              <w:spacing w:before="60" w:after="60"/>
              <w:rPr>
                <w:rFonts w:cstheme="minorHAnsi"/>
              </w:rPr>
            </w:pPr>
            <w:r w:rsidRPr="00F235CB">
              <w:rPr>
                <w:rFonts w:cstheme="minorHAnsi"/>
              </w:rPr>
              <w:t xml:space="preserve">Some providers used commercially produced or publicly available resources but did not adapt them to suit the context of the school/provider and student needs and interests. </w:t>
            </w:r>
          </w:p>
        </w:tc>
        <w:tc>
          <w:tcPr>
            <w:tcW w:w="5811" w:type="dxa"/>
          </w:tcPr>
          <w:p w14:paraId="431223ED" w14:textId="77777777" w:rsidR="00F235CB" w:rsidRPr="00F235CB" w:rsidRDefault="00F235CB" w:rsidP="00D25A2A">
            <w:pPr>
              <w:spacing w:before="60" w:after="60"/>
              <w:rPr>
                <w:rFonts w:cstheme="minorHAnsi"/>
              </w:rPr>
            </w:pPr>
            <w:r w:rsidRPr="00F235CB">
              <w:rPr>
                <w:rFonts w:cstheme="minorHAnsi"/>
              </w:rPr>
              <w:t xml:space="preserve">Commercially produced or publicly available resources may require adaptation to ensure they align with: </w:t>
            </w:r>
          </w:p>
          <w:p w14:paraId="29F91F34" w14:textId="77777777" w:rsidR="00F235CB" w:rsidRPr="00F235CB" w:rsidRDefault="00F235CB" w:rsidP="00F235CB">
            <w:pPr>
              <w:pStyle w:val="ListParagraph"/>
              <w:numPr>
                <w:ilvl w:val="0"/>
                <w:numId w:val="10"/>
              </w:numPr>
              <w:spacing w:before="60" w:after="60"/>
              <w:ind w:left="357" w:hanging="357"/>
              <w:contextualSpacing w:val="0"/>
              <w:rPr>
                <w:rFonts w:cstheme="minorHAnsi"/>
                <w:szCs w:val="22"/>
              </w:rPr>
            </w:pPr>
            <w:r w:rsidRPr="00F235CB">
              <w:rPr>
                <w:rFonts w:cstheme="minorHAnsi"/>
                <w:szCs w:val="22"/>
              </w:rPr>
              <w:t xml:space="preserve">the context of the provider and its setting/s </w:t>
            </w:r>
          </w:p>
          <w:p w14:paraId="552EDB24" w14:textId="77777777" w:rsidR="00F235CB" w:rsidRPr="00F235CB" w:rsidRDefault="00F235CB" w:rsidP="00F235CB">
            <w:pPr>
              <w:pStyle w:val="ListParagraph"/>
              <w:numPr>
                <w:ilvl w:val="0"/>
                <w:numId w:val="10"/>
              </w:numPr>
              <w:spacing w:before="120" w:line="280" w:lineRule="exact"/>
              <w:ind w:left="357" w:hanging="357"/>
              <w:contextualSpacing w:val="0"/>
              <w:rPr>
                <w:rFonts w:cstheme="minorHAnsi"/>
                <w:szCs w:val="22"/>
              </w:rPr>
            </w:pPr>
            <w:r w:rsidRPr="00F235CB">
              <w:rPr>
                <w:rFonts w:cstheme="minorHAnsi"/>
                <w:szCs w:val="22"/>
              </w:rPr>
              <w:t xml:space="preserve">the needs and interests of the student cohort. </w:t>
            </w:r>
          </w:p>
          <w:p w14:paraId="0199D856" w14:textId="77777777" w:rsidR="00F235CB" w:rsidRPr="00F235CB" w:rsidRDefault="00F235CB" w:rsidP="00D25A2A">
            <w:pPr>
              <w:spacing w:before="120" w:after="120" w:line="280" w:lineRule="exact"/>
              <w:rPr>
                <w:rFonts w:cstheme="minorHAnsi"/>
              </w:rPr>
            </w:pPr>
            <w:r w:rsidRPr="00F235CB">
              <w:rPr>
                <w:rFonts w:cstheme="minorHAnsi"/>
              </w:rPr>
              <w:t>Before using them, providers are advised to evaluate commercially produced or publicly available resources thoroughly and consider adjustments to enhance their suitability for the specific context and students.</w:t>
            </w:r>
          </w:p>
          <w:p w14:paraId="060D1012" w14:textId="77777777" w:rsidR="00F235CB" w:rsidRPr="00F235CB" w:rsidRDefault="00F235CB" w:rsidP="00D25A2A">
            <w:pPr>
              <w:spacing w:before="120" w:after="120" w:line="280" w:lineRule="exact"/>
              <w:rPr>
                <w:rFonts w:cstheme="minorHAnsi"/>
              </w:rPr>
            </w:pPr>
            <w:r w:rsidRPr="00F235CB">
              <w:rPr>
                <w:rFonts w:cstheme="minorHAnsi"/>
              </w:rPr>
              <w:t>Questions to ask when evaluating a commercially produced or publicly available resource for suitability may include:</w:t>
            </w:r>
          </w:p>
          <w:p w14:paraId="3E2E3830" w14:textId="77777777" w:rsidR="00F235CB" w:rsidRPr="00F235CB" w:rsidRDefault="00F235CB" w:rsidP="00F235CB">
            <w:pPr>
              <w:pStyle w:val="VCAAbullet"/>
              <w:numPr>
                <w:ilvl w:val="0"/>
                <w:numId w:val="14"/>
              </w:numPr>
              <w:tabs>
                <w:tab w:val="clear" w:pos="425"/>
                <w:tab w:val="left" w:pos="0"/>
              </w:tabs>
              <w:ind w:left="357" w:hanging="357"/>
              <w:rPr>
                <w:rFonts w:ascii="Arial Narrow" w:eastAsiaTheme="minorHAnsi" w:hAnsi="Arial Narrow"/>
                <w:sz w:val="22"/>
              </w:rPr>
            </w:pPr>
            <w:r w:rsidRPr="00F235CB">
              <w:rPr>
                <w:rFonts w:ascii="Arial Narrow" w:eastAsiaTheme="minorHAnsi" w:hAnsi="Arial Narrow"/>
                <w:sz w:val="22"/>
              </w:rPr>
              <w:t>Does the resource have meaning and purpose for our students?</w:t>
            </w:r>
          </w:p>
          <w:p w14:paraId="0E2E70E0" w14:textId="77777777" w:rsidR="00F235CB" w:rsidRPr="00F235CB" w:rsidRDefault="00F235CB" w:rsidP="00F235CB">
            <w:pPr>
              <w:pStyle w:val="VCAAbullet"/>
              <w:numPr>
                <w:ilvl w:val="0"/>
                <w:numId w:val="14"/>
              </w:numPr>
              <w:tabs>
                <w:tab w:val="clear" w:pos="425"/>
                <w:tab w:val="left" w:pos="0"/>
              </w:tabs>
              <w:ind w:left="357" w:hanging="357"/>
              <w:rPr>
                <w:rFonts w:ascii="Arial Narrow" w:eastAsiaTheme="minorHAnsi" w:hAnsi="Arial Narrow"/>
                <w:sz w:val="22"/>
              </w:rPr>
            </w:pPr>
            <w:r w:rsidRPr="00F235CB">
              <w:rPr>
                <w:rFonts w:ascii="Arial Narrow" w:eastAsiaTheme="minorHAnsi" w:hAnsi="Arial Narrow"/>
                <w:sz w:val="22"/>
              </w:rPr>
              <w:t>Is the resource/task appropriate for our students?</w:t>
            </w:r>
          </w:p>
          <w:p w14:paraId="26ACF707" w14:textId="77777777" w:rsidR="00F235CB" w:rsidRPr="00F235CB" w:rsidRDefault="00F235CB" w:rsidP="00F235CB">
            <w:pPr>
              <w:pStyle w:val="VCAAbullet"/>
              <w:numPr>
                <w:ilvl w:val="0"/>
                <w:numId w:val="14"/>
              </w:numPr>
              <w:tabs>
                <w:tab w:val="clear" w:pos="425"/>
                <w:tab w:val="left" w:pos="0"/>
              </w:tabs>
              <w:ind w:left="357" w:hanging="357"/>
              <w:rPr>
                <w:rFonts w:ascii="Arial Narrow" w:eastAsiaTheme="minorHAnsi" w:hAnsi="Arial Narrow"/>
                <w:sz w:val="22"/>
              </w:rPr>
            </w:pPr>
            <w:r w:rsidRPr="00F235CB">
              <w:rPr>
                <w:rFonts w:ascii="Arial Narrow" w:eastAsiaTheme="minorHAnsi" w:hAnsi="Arial Narrow"/>
                <w:sz w:val="22"/>
              </w:rPr>
              <w:t>Does the resource/task need modification to align with the relevant and current study / curriculum design and to ensure adherence to the VCAA standards and requirements?</w:t>
            </w:r>
          </w:p>
          <w:p w14:paraId="548D7D1E" w14:textId="77777777" w:rsidR="00F235CB" w:rsidRPr="00F235CB" w:rsidRDefault="00F235CB" w:rsidP="00F235CB">
            <w:pPr>
              <w:pStyle w:val="VCAAbullet"/>
              <w:numPr>
                <w:ilvl w:val="0"/>
                <w:numId w:val="14"/>
              </w:numPr>
              <w:tabs>
                <w:tab w:val="clear" w:pos="425"/>
                <w:tab w:val="left" w:pos="0"/>
              </w:tabs>
              <w:ind w:left="357" w:hanging="357"/>
              <w:rPr>
                <w:rFonts w:ascii="Arial Narrow" w:eastAsiaTheme="minorHAnsi" w:hAnsi="Arial Narrow"/>
                <w:sz w:val="22"/>
              </w:rPr>
            </w:pPr>
            <w:r w:rsidRPr="00F235CB">
              <w:rPr>
                <w:rFonts w:ascii="Arial Narrow" w:eastAsiaTheme="minorHAnsi" w:hAnsi="Arial Narrow"/>
                <w:sz w:val="22"/>
              </w:rPr>
              <w:t>Does the resource/task align with the intended outcome/s or learning goal/s?</w:t>
            </w:r>
          </w:p>
          <w:p w14:paraId="5305BCDE" w14:textId="77777777" w:rsidR="00F235CB" w:rsidRPr="00F235CB" w:rsidRDefault="00F235CB" w:rsidP="00F235CB">
            <w:pPr>
              <w:pStyle w:val="VCAAbullet"/>
              <w:numPr>
                <w:ilvl w:val="0"/>
                <w:numId w:val="14"/>
              </w:numPr>
              <w:tabs>
                <w:tab w:val="clear" w:pos="425"/>
                <w:tab w:val="left" w:pos="0"/>
              </w:tabs>
              <w:ind w:left="357" w:hanging="357"/>
              <w:rPr>
                <w:rFonts w:ascii="Arial Narrow" w:eastAsiaTheme="minorHAnsi" w:hAnsi="Arial Narrow"/>
                <w:sz w:val="22"/>
              </w:rPr>
            </w:pPr>
            <w:r w:rsidRPr="00F235CB">
              <w:rPr>
                <w:rFonts w:ascii="Arial Narrow" w:eastAsiaTheme="minorHAnsi" w:hAnsi="Arial Narrow"/>
                <w:sz w:val="22"/>
              </w:rPr>
              <w:t>Does the resource/task align to the POAL?</w:t>
            </w:r>
          </w:p>
          <w:p w14:paraId="1E2B69BE" w14:textId="77777777" w:rsidR="00F235CB" w:rsidRPr="00F235CB" w:rsidRDefault="00F235CB" w:rsidP="00F235CB">
            <w:pPr>
              <w:pStyle w:val="VCAAbullet"/>
              <w:numPr>
                <w:ilvl w:val="0"/>
                <w:numId w:val="14"/>
              </w:numPr>
              <w:tabs>
                <w:tab w:val="clear" w:pos="425"/>
                <w:tab w:val="left" w:pos="0"/>
              </w:tabs>
              <w:ind w:left="357" w:hanging="357"/>
              <w:rPr>
                <w:rFonts w:ascii="Arial Narrow" w:eastAsiaTheme="minorHAnsi" w:hAnsi="Arial Narrow"/>
                <w:sz w:val="22"/>
              </w:rPr>
            </w:pPr>
            <w:r w:rsidRPr="00F235CB">
              <w:rPr>
                <w:rFonts w:ascii="Arial Narrow" w:eastAsiaTheme="minorHAnsi" w:hAnsi="Arial Narrow"/>
                <w:sz w:val="22"/>
              </w:rPr>
              <w:t xml:space="preserve">Is the language used suitable for our students? </w:t>
            </w:r>
          </w:p>
          <w:p w14:paraId="02845061" w14:textId="77777777" w:rsidR="00F235CB" w:rsidRPr="00F235CB" w:rsidRDefault="00F235CB" w:rsidP="00F235CB">
            <w:pPr>
              <w:pStyle w:val="VCAAbullet"/>
              <w:numPr>
                <w:ilvl w:val="0"/>
                <w:numId w:val="14"/>
              </w:numPr>
              <w:tabs>
                <w:tab w:val="clear" w:pos="425"/>
                <w:tab w:val="left" w:pos="0"/>
              </w:tabs>
              <w:ind w:left="357" w:hanging="357"/>
              <w:rPr>
                <w:rFonts w:ascii="Arial Narrow" w:hAnsi="Arial Narrow"/>
                <w:sz w:val="22"/>
              </w:rPr>
            </w:pPr>
            <w:r w:rsidRPr="00F235CB">
              <w:rPr>
                <w:rFonts w:ascii="Arial Narrow" w:eastAsiaTheme="minorHAnsi" w:hAnsi="Arial Narrow"/>
                <w:sz w:val="22"/>
              </w:rPr>
              <w:t>If it is an assessment task, does it include a suitable assessment tool? If not, can we create one to capture the requirements and expectations of the task?</w:t>
            </w:r>
            <w:r w:rsidRPr="00F235CB">
              <w:rPr>
                <w:rFonts w:ascii="Arial Narrow" w:hAnsi="Arial Narrow"/>
                <w:sz w:val="22"/>
              </w:rPr>
              <w:t xml:space="preserve"> </w:t>
            </w:r>
          </w:p>
        </w:tc>
      </w:tr>
      <w:tr w:rsidR="00F235CB" w:rsidRPr="00F235CB" w14:paraId="7B2B31F5" w14:textId="77777777" w:rsidTr="004C06CD">
        <w:trPr>
          <w:trHeight w:val="1270"/>
        </w:trPr>
        <w:tc>
          <w:tcPr>
            <w:tcW w:w="4254" w:type="dxa"/>
          </w:tcPr>
          <w:p w14:paraId="5843D604" w14:textId="77777777" w:rsidR="00F235CB" w:rsidRPr="00F235CB" w:rsidRDefault="00F235CB" w:rsidP="00D25A2A">
            <w:pPr>
              <w:spacing w:before="60" w:after="60"/>
              <w:rPr>
                <w:rFonts w:cstheme="minorHAnsi"/>
              </w:rPr>
            </w:pPr>
            <w:r w:rsidRPr="00F235CB">
              <w:rPr>
                <w:rFonts w:cstheme="minorHAnsi"/>
              </w:rPr>
              <w:t>In some submissions, assessment criteria were not included or did not adequately outline the requirements for successful achievement of outcomes or learning goals.</w:t>
            </w:r>
          </w:p>
        </w:tc>
        <w:tc>
          <w:tcPr>
            <w:tcW w:w="5811" w:type="dxa"/>
          </w:tcPr>
          <w:p w14:paraId="3D763710" w14:textId="77777777" w:rsidR="00F235CB" w:rsidRPr="00F235CB" w:rsidRDefault="00F235CB" w:rsidP="00D25A2A">
            <w:pPr>
              <w:spacing w:before="60" w:after="60"/>
              <w:rPr>
                <w:rFonts w:cstheme="minorHAnsi"/>
              </w:rPr>
            </w:pPr>
            <w:r w:rsidRPr="00F235CB">
              <w:rPr>
                <w:rFonts w:cstheme="minorHAnsi"/>
              </w:rPr>
              <w:t xml:space="preserve">The VCAA has provided guidance to support teachers to develop an assessment guide or rubric to enable them to make decisions about the evidence of student learning. Please refer to advice contained within the </w:t>
            </w:r>
            <w:hyperlink r:id="rId34" w:history="1">
              <w:r w:rsidRPr="00F235CB">
                <w:rPr>
                  <w:rStyle w:val="Hyperlink"/>
                  <w:rFonts w:cstheme="minorHAnsi"/>
                </w:rPr>
                <w:t>VCE VM study designs</w:t>
              </w:r>
            </w:hyperlink>
            <w:r w:rsidRPr="00F235CB">
              <w:rPr>
                <w:rFonts w:cstheme="minorHAnsi"/>
              </w:rPr>
              <w:t xml:space="preserve"> and the </w:t>
            </w:r>
            <w:hyperlink r:id="rId35" w:history="1">
              <w:r w:rsidRPr="00F235CB">
                <w:rPr>
                  <w:rStyle w:val="Hyperlink"/>
                  <w:rFonts w:cstheme="minorHAnsi"/>
                </w:rPr>
                <w:t>VPC curriculum designs</w:t>
              </w:r>
            </w:hyperlink>
            <w:r w:rsidRPr="00F235CB">
              <w:rPr>
                <w:rFonts w:cstheme="minorHAnsi"/>
              </w:rPr>
              <w:t xml:space="preserve">. </w:t>
            </w:r>
          </w:p>
        </w:tc>
      </w:tr>
      <w:tr w:rsidR="00F235CB" w:rsidRPr="00F235CB" w14:paraId="2AC387AC" w14:textId="77777777" w:rsidTr="004C06CD">
        <w:trPr>
          <w:trHeight w:val="3699"/>
        </w:trPr>
        <w:tc>
          <w:tcPr>
            <w:tcW w:w="4254" w:type="dxa"/>
          </w:tcPr>
          <w:p w14:paraId="43287957" w14:textId="77777777" w:rsidR="00F235CB" w:rsidRPr="00F235CB" w:rsidRDefault="00F235CB" w:rsidP="00D25A2A">
            <w:pPr>
              <w:spacing w:before="60" w:after="60"/>
              <w:rPr>
                <w:rFonts w:cstheme="minorHAnsi"/>
              </w:rPr>
            </w:pPr>
            <w:r w:rsidRPr="00F235CB">
              <w:rPr>
                <w:rFonts w:cstheme="minorHAnsi"/>
              </w:rPr>
              <w:t>In some cases, timelines and/or timeframes were not evident in the curriculum and assessment planning documentation or assessment tasks.</w:t>
            </w:r>
          </w:p>
        </w:tc>
        <w:tc>
          <w:tcPr>
            <w:tcW w:w="5811" w:type="dxa"/>
          </w:tcPr>
          <w:p w14:paraId="02C3E9D5" w14:textId="77777777" w:rsidR="00F235CB" w:rsidRPr="00F235CB" w:rsidRDefault="00F235CB" w:rsidP="00D25A2A">
            <w:pPr>
              <w:spacing w:before="120" w:after="120" w:line="280" w:lineRule="exact"/>
              <w:rPr>
                <w:rFonts w:cstheme="minorHAnsi"/>
              </w:rPr>
            </w:pPr>
            <w:r w:rsidRPr="00F235CB">
              <w:rPr>
                <w:rFonts w:cstheme="minorHAnsi"/>
              </w:rPr>
              <w:t xml:space="preserve">The VCAA’s standards and requirements for school-assessed course work require schools/providers to specify the work that a student must do to achieve an ‘S’ and the conditions under which the work is to be done. Students must be clearly informed of these requirements in writing before the commencement of a Unit. One of these requirements is providing timelines and deadlines for completing work. </w:t>
            </w:r>
          </w:p>
          <w:p w14:paraId="30EE4115" w14:textId="77777777" w:rsidR="00F235CB" w:rsidRPr="00F235CB" w:rsidRDefault="00F235CB" w:rsidP="00D25A2A">
            <w:pPr>
              <w:spacing w:before="120" w:after="120" w:line="280" w:lineRule="exact"/>
              <w:rPr>
                <w:rFonts w:cstheme="minorHAnsi"/>
              </w:rPr>
            </w:pPr>
            <w:r w:rsidRPr="00F235CB">
              <w:rPr>
                <w:rFonts w:cstheme="minorHAnsi"/>
              </w:rPr>
              <w:t xml:space="preserve">For further information about the VCAA’s standards and requirements for school-assessed course work, refer to: </w:t>
            </w:r>
          </w:p>
          <w:p w14:paraId="3F439F05" w14:textId="77777777" w:rsidR="00F235CB" w:rsidRPr="00F235CB" w:rsidRDefault="00F235CB" w:rsidP="00F235CB">
            <w:pPr>
              <w:pStyle w:val="ListParagraph"/>
              <w:numPr>
                <w:ilvl w:val="0"/>
                <w:numId w:val="11"/>
              </w:numPr>
              <w:spacing w:before="60" w:after="60"/>
              <w:ind w:left="357" w:hanging="357"/>
              <w:contextualSpacing w:val="0"/>
              <w:rPr>
                <w:rFonts w:cstheme="minorHAnsi"/>
                <w:szCs w:val="22"/>
              </w:rPr>
            </w:pPr>
            <w:r w:rsidRPr="00F235CB">
              <w:rPr>
                <w:rFonts w:cstheme="minorHAnsi"/>
                <w:szCs w:val="22"/>
              </w:rPr>
              <w:t xml:space="preserve">the </w:t>
            </w:r>
            <w:hyperlink r:id="rId36" w:history="1">
              <w:r w:rsidRPr="00F235CB">
                <w:rPr>
                  <w:rStyle w:val="Hyperlink"/>
                  <w:rFonts w:cstheme="minorHAnsi"/>
                  <w:i/>
                  <w:iCs/>
                  <w:szCs w:val="22"/>
                </w:rPr>
                <w:t>VCE Administrative Handbook</w:t>
              </w:r>
              <w:r w:rsidRPr="00F235CB">
                <w:rPr>
                  <w:rStyle w:val="Hyperlink"/>
                  <w:i/>
                  <w:iCs/>
                  <w:szCs w:val="22"/>
                </w:rPr>
                <w:t xml:space="preserve"> 2024</w:t>
              </w:r>
            </w:hyperlink>
            <w:r w:rsidRPr="00F235CB">
              <w:rPr>
                <w:rFonts w:cstheme="minorHAnsi"/>
                <w:szCs w:val="22"/>
              </w:rPr>
              <w:t xml:space="preserve"> (pp. 33, 42 and 85)</w:t>
            </w:r>
          </w:p>
          <w:p w14:paraId="20384BE0" w14:textId="77777777" w:rsidR="00F235CB" w:rsidRPr="00F235CB" w:rsidRDefault="00F235CB" w:rsidP="00F235CB">
            <w:pPr>
              <w:pStyle w:val="ListParagraph"/>
              <w:numPr>
                <w:ilvl w:val="0"/>
                <w:numId w:val="11"/>
              </w:numPr>
              <w:spacing w:before="60" w:after="60"/>
              <w:ind w:left="357" w:hanging="357"/>
              <w:contextualSpacing w:val="0"/>
              <w:rPr>
                <w:rFonts w:cstheme="minorHAnsi"/>
                <w:szCs w:val="22"/>
              </w:rPr>
            </w:pPr>
            <w:r w:rsidRPr="00F235CB">
              <w:rPr>
                <w:rFonts w:cstheme="minorHAnsi"/>
                <w:szCs w:val="22"/>
              </w:rPr>
              <w:t xml:space="preserve">the </w:t>
            </w:r>
            <w:hyperlink r:id="rId37" w:history="1">
              <w:r w:rsidRPr="00F235CB">
                <w:rPr>
                  <w:rStyle w:val="Hyperlink"/>
                  <w:rFonts w:cstheme="minorHAnsi"/>
                  <w:i/>
                  <w:iCs/>
                  <w:szCs w:val="22"/>
                </w:rPr>
                <w:t>VPC Administrative Handbook 2024</w:t>
              </w:r>
            </w:hyperlink>
            <w:r w:rsidRPr="00F235CB">
              <w:rPr>
                <w:rFonts w:cstheme="minorHAnsi"/>
                <w:szCs w:val="22"/>
              </w:rPr>
              <w:t xml:space="preserve"> (pp. 13 and 20).</w:t>
            </w:r>
          </w:p>
        </w:tc>
      </w:tr>
      <w:tr w:rsidR="00F235CB" w:rsidRPr="00F235CB" w14:paraId="77E31932" w14:textId="77777777" w:rsidTr="004C06CD">
        <w:trPr>
          <w:trHeight w:val="1734"/>
        </w:trPr>
        <w:tc>
          <w:tcPr>
            <w:tcW w:w="4254" w:type="dxa"/>
          </w:tcPr>
          <w:p w14:paraId="2A38AD46" w14:textId="77777777" w:rsidR="00F235CB" w:rsidRPr="00F235CB" w:rsidRDefault="00F235CB" w:rsidP="00D25A2A">
            <w:pPr>
              <w:spacing w:before="60" w:after="60"/>
              <w:rPr>
                <w:rFonts w:cstheme="minorHAnsi"/>
              </w:rPr>
            </w:pPr>
            <w:r w:rsidRPr="00F235CB">
              <w:rPr>
                <w:rFonts w:cstheme="minorHAnsi"/>
              </w:rPr>
              <w:t>Some Numeracy audit submissions indicated that Numeracy is not being consistently delivered as designed. For example, the problem-solving cycle and/or the mathematics toolkit were not always adequately evident in the learning and assessment activities.</w:t>
            </w:r>
          </w:p>
        </w:tc>
        <w:tc>
          <w:tcPr>
            <w:tcW w:w="5811" w:type="dxa"/>
          </w:tcPr>
          <w:p w14:paraId="5B5C1D76" w14:textId="77777777" w:rsidR="00F235CB" w:rsidRPr="00F235CB" w:rsidRDefault="00F235CB" w:rsidP="00D25A2A">
            <w:pPr>
              <w:spacing w:before="60" w:after="60"/>
              <w:rPr>
                <w:rFonts w:cstheme="minorHAnsi"/>
              </w:rPr>
            </w:pPr>
            <w:r w:rsidRPr="00F235CB">
              <w:rPr>
                <w:rFonts w:cstheme="minorHAnsi"/>
              </w:rPr>
              <w:t xml:space="preserve">The VCAA will continue to provide professional learning about and support with the delivery of all VCE VM and VPC curriculum, including Numeracy. </w:t>
            </w:r>
          </w:p>
        </w:tc>
      </w:tr>
      <w:tr w:rsidR="00F235CB" w:rsidRPr="00F235CB" w14:paraId="724E3BBB" w14:textId="77777777" w:rsidTr="00F235CB">
        <w:trPr>
          <w:trHeight w:val="8963"/>
        </w:trPr>
        <w:tc>
          <w:tcPr>
            <w:tcW w:w="4254" w:type="dxa"/>
          </w:tcPr>
          <w:p w14:paraId="5E4A917E" w14:textId="77777777" w:rsidR="00F235CB" w:rsidRPr="00F235CB" w:rsidRDefault="00F235CB" w:rsidP="00D25A2A">
            <w:pPr>
              <w:spacing w:before="60" w:after="60"/>
              <w:rPr>
                <w:rFonts w:cstheme="minorHAnsi"/>
              </w:rPr>
            </w:pPr>
            <w:r w:rsidRPr="00F235CB">
              <w:rPr>
                <w:rFonts w:cstheme="minorHAnsi"/>
              </w:rPr>
              <w:t>Some submissions did not include policies for satisfactory completion of a unit and authentication of student work. Some of the policies that were submitted were not updated to reflect aspects specific to the VCE VM and/or VPC.</w:t>
            </w:r>
          </w:p>
        </w:tc>
        <w:tc>
          <w:tcPr>
            <w:tcW w:w="5811" w:type="dxa"/>
          </w:tcPr>
          <w:p w14:paraId="6DBC7233" w14:textId="77777777" w:rsidR="00F235CB" w:rsidRPr="00F235CB" w:rsidRDefault="00F235CB" w:rsidP="00D25A2A">
            <w:pPr>
              <w:spacing w:before="120" w:after="120" w:line="280" w:lineRule="exact"/>
              <w:rPr>
                <w:rFonts w:cstheme="minorHAnsi"/>
              </w:rPr>
            </w:pPr>
            <w:r w:rsidRPr="00F235CB">
              <w:rPr>
                <w:rFonts w:cstheme="minorHAnsi"/>
              </w:rPr>
              <w:t xml:space="preserve">Policies and procedures are important as these set the expectations and accountabilities for all members of the provider community including staff, </w:t>
            </w:r>
            <w:proofErr w:type="gramStart"/>
            <w:r w:rsidRPr="00F235CB">
              <w:rPr>
                <w:rFonts w:cstheme="minorHAnsi"/>
              </w:rPr>
              <w:t>students</w:t>
            </w:r>
            <w:proofErr w:type="gramEnd"/>
            <w:r w:rsidRPr="00F235CB">
              <w:rPr>
                <w:rFonts w:cstheme="minorHAnsi"/>
              </w:rPr>
              <w:t xml:space="preserve"> and parents/carers.  </w:t>
            </w:r>
          </w:p>
          <w:p w14:paraId="71761027" w14:textId="77777777" w:rsidR="00F235CB" w:rsidRPr="00F235CB" w:rsidRDefault="00F235CB" w:rsidP="00D25A2A">
            <w:pPr>
              <w:spacing w:before="120" w:after="120" w:line="280" w:lineRule="exact"/>
              <w:rPr>
                <w:rFonts w:cstheme="minorHAnsi"/>
              </w:rPr>
            </w:pPr>
            <w:r w:rsidRPr="00F235CB">
              <w:rPr>
                <w:rFonts w:cstheme="minorHAnsi"/>
              </w:rPr>
              <w:t xml:space="preserve">Policies and procedures should be clear and explicit and clearly communicated and accessible to all members of the provider community. This can be through the provider’s handbook and/or the provider’s website. </w:t>
            </w:r>
          </w:p>
          <w:p w14:paraId="59568B4C" w14:textId="77777777" w:rsidR="00F235CB" w:rsidRPr="00F235CB" w:rsidRDefault="00F235CB" w:rsidP="00D25A2A">
            <w:pPr>
              <w:spacing w:before="120" w:after="120" w:line="280" w:lineRule="exact"/>
              <w:rPr>
                <w:rFonts w:cstheme="minorHAnsi"/>
              </w:rPr>
            </w:pPr>
            <w:r w:rsidRPr="00F235CB">
              <w:rPr>
                <w:rFonts w:cstheme="minorHAnsi"/>
              </w:rPr>
              <w:t xml:space="preserve">Where policies regarding satisfactory completion of a unit and authentication of student work are already in place, providers must ensure they are updated to include the VCE VM and VPC. </w:t>
            </w:r>
          </w:p>
          <w:p w14:paraId="682AC86F" w14:textId="77777777" w:rsidR="00F235CB" w:rsidRPr="00F235CB" w:rsidRDefault="00F235CB" w:rsidP="00D25A2A">
            <w:pPr>
              <w:spacing w:before="60" w:after="60"/>
              <w:rPr>
                <w:rFonts w:cstheme="minorHAnsi"/>
              </w:rPr>
            </w:pPr>
            <w:r w:rsidRPr="00F235CB">
              <w:rPr>
                <w:rFonts w:cstheme="minorHAnsi"/>
              </w:rPr>
              <w:t xml:space="preserve">Policy advice is available in the VCE and VPC administrative handbooks: </w:t>
            </w:r>
          </w:p>
          <w:p w14:paraId="4C5844C2" w14:textId="77777777" w:rsidR="00F235CB" w:rsidRPr="00F235CB" w:rsidRDefault="00F235CB" w:rsidP="00D25A2A">
            <w:pPr>
              <w:pStyle w:val="VCAAbody"/>
              <w:rPr>
                <w:rFonts w:ascii="Arial Narrow" w:hAnsi="Arial Narrow" w:cstheme="majorHAnsi"/>
                <w:sz w:val="22"/>
              </w:rPr>
            </w:pPr>
            <w:r w:rsidRPr="00F235CB">
              <w:rPr>
                <w:rFonts w:ascii="Arial Narrow" w:hAnsi="Arial Narrow"/>
                <w:sz w:val="22"/>
              </w:rPr>
              <w:t xml:space="preserve">VCE VM – see </w:t>
            </w:r>
            <w:hyperlink r:id="rId38" w:history="1">
              <w:r w:rsidRPr="00F235CB">
                <w:rPr>
                  <w:rStyle w:val="Hyperlink"/>
                  <w:rFonts w:ascii="Arial Narrow" w:hAnsi="Arial Narrow" w:cstheme="majorHAnsi"/>
                  <w:i/>
                  <w:iCs/>
                  <w:sz w:val="22"/>
                </w:rPr>
                <w:t>VCE Administrative Handbook 2024</w:t>
              </w:r>
            </w:hyperlink>
            <w:r w:rsidRPr="00F235CB">
              <w:rPr>
                <w:rStyle w:val="Hyperlink"/>
                <w:rFonts w:ascii="Arial Narrow" w:hAnsi="Arial Narrow" w:cstheme="majorHAnsi"/>
                <w:color w:val="auto"/>
                <w:sz w:val="22"/>
              </w:rPr>
              <w:t>:</w:t>
            </w:r>
          </w:p>
          <w:p w14:paraId="715298AC" w14:textId="77777777" w:rsidR="00F235CB" w:rsidRPr="00F235CB" w:rsidRDefault="00F235CB" w:rsidP="00F235CB">
            <w:pPr>
              <w:pStyle w:val="VCAAbullet"/>
              <w:numPr>
                <w:ilvl w:val="0"/>
                <w:numId w:val="14"/>
              </w:numPr>
              <w:tabs>
                <w:tab w:val="clear" w:pos="425"/>
                <w:tab w:val="left" w:pos="0"/>
              </w:tabs>
              <w:ind w:left="357" w:hanging="357"/>
              <w:rPr>
                <w:rFonts w:ascii="Arial Narrow" w:hAnsi="Arial Narrow"/>
                <w:sz w:val="22"/>
              </w:rPr>
            </w:pPr>
            <w:r w:rsidRPr="00F235CB">
              <w:rPr>
                <w:rFonts w:ascii="Arial Narrow" w:hAnsi="Arial Narrow"/>
                <w:sz w:val="22"/>
              </w:rPr>
              <w:t xml:space="preserve">Satisfactory Completion of a Unit – refer to page 81 </w:t>
            </w:r>
          </w:p>
          <w:p w14:paraId="08B7E24B" w14:textId="77777777" w:rsidR="00F235CB" w:rsidRPr="00F235CB" w:rsidRDefault="00F235CB" w:rsidP="00F235CB">
            <w:pPr>
              <w:pStyle w:val="VCAAbullet"/>
              <w:numPr>
                <w:ilvl w:val="0"/>
                <w:numId w:val="14"/>
              </w:numPr>
              <w:tabs>
                <w:tab w:val="clear" w:pos="425"/>
                <w:tab w:val="left" w:pos="0"/>
              </w:tabs>
              <w:ind w:left="357" w:hanging="357"/>
              <w:rPr>
                <w:rFonts w:ascii="Arial Narrow" w:hAnsi="Arial Narrow"/>
                <w:sz w:val="22"/>
              </w:rPr>
            </w:pPr>
            <w:r w:rsidRPr="00F235CB">
              <w:rPr>
                <w:rFonts w:ascii="Arial Narrow" w:hAnsi="Arial Narrow"/>
                <w:sz w:val="22"/>
              </w:rPr>
              <w:t xml:space="preserve">Authentication of student work – refer to page 84 </w:t>
            </w:r>
          </w:p>
          <w:p w14:paraId="117108A1" w14:textId="77777777" w:rsidR="00F235CB" w:rsidRPr="00F235CB" w:rsidRDefault="00F235CB" w:rsidP="00D25A2A">
            <w:pPr>
              <w:pStyle w:val="VCAAbody"/>
              <w:rPr>
                <w:rFonts w:ascii="Arial Narrow" w:hAnsi="Arial Narrow" w:cstheme="majorHAnsi"/>
                <w:sz w:val="22"/>
              </w:rPr>
            </w:pPr>
            <w:r w:rsidRPr="00F235CB">
              <w:rPr>
                <w:rFonts w:ascii="Arial Narrow" w:hAnsi="Arial Narrow" w:cstheme="majorHAnsi"/>
                <w:sz w:val="22"/>
              </w:rPr>
              <w:t xml:space="preserve">VPC – see </w:t>
            </w:r>
            <w:hyperlink r:id="rId39" w:history="1">
              <w:r w:rsidRPr="00F235CB">
                <w:rPr>
                  <w:rStyle w:val="Hyperlink"/>
                  <w:rFonts w:ascii="Arial Narrow" w:hAnsi="Arial Narrow" w:cstheme="majorHAnsi"/>
                  <w:i/>
                  <w:iCs/>
                  <w:sz w:val="22"/>
                </w:rPr>
                <w:t>VPC Administrative Handbook 2024</w:t>
              </w:r>
            </w:hyperlink>
            <w:r w:rsidRPr="00F235CB">
              <w:rPr>
                <w:rFonts w:ascii="Arial Narrow" w:hAnsi="Arial Narrow" w:cstheme="majorHAnsi"/>
                <w:sz w:val="22"/>
              </w:rPr>
              <w:t>:</w:t>
            </w:r>
          </w:p>
          <w:p w14:paraId="3864B080" w14:textId="77777777" w:rsidR="00F235CB" w:rsidRPr="00F235CB" w:rsidRDefault="00F235CB" w:rsidP="00F235CB">
            <w:pPr>
              <w:pStyle w:val="VCAAbullet"/>
              <w:numPr>
                <w:ilvl w:val="0"/>
                <w:numId w:val="14"/>
              </w:numPr>
              <w:tabs>
                <w:tab w:val="clear" w:pos="425"/>
                <w:tab w:val="left" w:pos="0"/>
              </w:tabs>
              <w:ind w:left="357" w:hanging="357"/>
              <w:rPr>
                <w:rFonts w:ascii="Arial Narrow" w:hAnsi="Arial Narrow"/>
                <w:sz w:val="22"/>
              </w:rPr>
            </w:pPr>
            <w:r w:rsidRPr="00F235CB">
              <w:rPr>
                <w:rFonts w:ascii="Arial Narrow" w:hAnsi="Arial Narrow"/>
                <w:sz w:val="22"/>
              </w:rPr>
              <w:t>Satisfactory Completion of a Unit – refer to page 35</w:t>
            </w:r>
          </w:p>
          <w:p w14:paraId="09D3F831" w14:textId="77777777" w:rsidR="00F235CB" w:rsidRPr="00F235CB" w:rsidRDefault="00F235CB" w:rsidP="00F235CB">
            <w:pPr>
              <w:pStyle w:val="VCAAbullet"/>
              <w:numPr>
                <w:ilvl w:val="0"/>
                <w:numId w:val="14"/>
              </w:numPr>
              <w:tabs>
                <w:tab w:val="clear" w:pos="425"/>
                <w:tab w:val="left" w:pos="0"/>
              </w:tabs>
              <w:ind w:left="357" w:hanging="357"/>
              <w:rPr>
                <w:rFonts w:ascii="Arial Narrow" w:hAnsi="Arial Narrow"/>
                <w:sz w:val="22"/>
                <w:lang w:val="en-AU"/>
              </w:rPr>
            </w:pPr>
            <w:r w:rsidRPr="00F235CB">
              <w:rPr>
                <w:rFonts w:ascii="Arial Narrow" w:hAnsi="Arial Narrow"/>
                <w:sz w:val="22"/>
              </w:rPr>
              <w:t>Authentication of student work – refer to page</w:t>
            </w:r>
            <w:r w:rsidRPr="00F235CB">
              <w:rPr>
                <w:rFonts w:ascii="Arial Narrow" w:hAnsi="Arial Narrow"/>
                <w:sz w:val="22"/>
                <w:lang w:val="en-AU"/>
              </w:rPr>
              <w:t xml:space="preserve"> </w:t>
            </w:r>
            <w:r w:rsidRPr="00F235CB">
              <w:rPr>
                <w:rFonts w:ascii="Arial Narrow" w:hAnsi="Arial Narrow"/>
                <w:sz w:val="22"/>
              </w:rPr>
              <w:t>37</w:t>
            </w:r>
          </w:p>
          <w:p w14:paraId="23E5338A" w14:textId="77777777" w:rsidR="00F235CB" w:rsidRPr="00F235CB" w:rsidRDefault="00F235CB" w:rsidP="00F235CB">
            <w:pPr>
              <w:pStyle w:val="VCAAbullet"/>
              <w:numPr>
                <w:ilvl w:val="0"/>
                <w:numId w:val="14"/>
              </w:numPr>
              <w:tabs>
                <w:tab w:val="clear" w:pos="425"/>
                <w:tab w:val="left" w:pos="0"/>
              </w:tabs>
              <w:ind w:left="357" w:hanging="357"/>
              <w:rPr>
                <w:rFonts w:ascii="Arial Narrow" w:hAnsi="Arial Narrow"/>
                <w:sz w:val="22"/>
                <w:lang w:val="en-AU"/>
              </w:rPr>
            </w:pPr>
            <w:r w:rsidRPr="00F235CB">
              <w:rPr>
                <w:rFonts w:ascii="Arial Narrow" w:hAnsi="Arial Narrow"/>
                <w:sz w:val="22"/>
              </w:rPr>
              <w:t>For advice and templates relating to policy development:</w:t>
            </w:r>
          </w:p>
          <w:p w14:paraId="2AF6F067" w14:textId="77777777" w:rsidR="00F235CB" w:rsidRPr="00F235CB" w:rsidRDefault="00F235CB" w:rsidP="00F235CB">
            <w:pPr>
              <w:pStyle w:val="VCAAbullet"/>
              <w:numPr>
                <w:ilvl w:val="0"/>
                <w:numId w:val="14"/>
              </w:numPr>
              <w:tabs>
                <w:tab w:val="clear" w:pos="425"/>
                <w:tab w:val="left" w:pos="0"/>
              </w:tabs>
              <w:ind w:left="357" w:hanging="357"/>
              <w:rPr>
                <w:rFonts w:ascii="Arial Narrow" w:hAnsi="Arial Narrow" w:cstheme="minorHAnsi"/>
                <w:sz w:val="22"/>
                <w:lang w:val="en-US"/>
              </w:rPr>
            </w:pPr>
            <w:r w:rsidRPr="00F235CB">
              <w:rPr>
                <w:rFonts w:ascii="Arial Narrow" w:hAnsi="Arial Narrow" w:cstheme="minorHAnsi"/>
                <w:sz w:val="22"/>
                <w:lang w:val="en-US"/>
              </w:rPr>
              <w:t xml:space="preserve">Government schools may refer to the </w:t>
            </w:r>
            <w:hyperlink r:id="rId40" w:history="1">
              <w:r w:rsidRPr="00F235CB">
                <w:rPr>
                  <w:rStyle w:val="Hyperlink"/>
                  <w:rFonts w:ascii="Arial Narrow" w:hAnsi="Arial Narrow" w:cstheme="minorHAnsi"/>
                  <w:sz w:val="22"/>
                  <w:lang w:val="en-US"/>
                </w:rPr>
                <w:t>Schools Policy Templates Portal</w:t>
              </w:r>
            </w:hyperlink>
          </w:p>
          <w:p w14:paraId="5E716CE4" w14:textId="77777777" w:rsidR="00F235CB" w:rsidRPr="00F235CB" w:rsidRDefault="00F235CB" w:rsidP="00F235CB">
            <w:pPr>
              <w:pStyle w:val="VCAAbullet"/>
              <w:numPr>
                <w:ilvl w:val="0"/>
                <w:numId w:val="14"/>
              </w:numPr>
              <w:tabs>
                <w:tab w:val="clear" w:pos="425"/>
                <w:tab w:val="left" w:pos="0"/>
              </w:tabs>
              <w:ind w:left="357" w:hanging="357"/>
              <w:rPr>
                <w:rFonts w:ascii="Arial Narrow" w:hAnsi="Arial Narrow"/>
                <w:sz w:val="22"/>
              </w:rPr>
            </w:pPr>
            <w:r w:rsidRPr="00F235CB">
              <w:rPr>
                <w:rFonts w:ascii="Arial Narrow" w:hAnsi="Arial Narrow"/>
                <w:sz w:val="22"/>
              </w:rPr>
              <w:t xml:space="preserve">Catholic schools may seek assistance from their Diocese – see </w:t>
            </w:r>
            <w:hyperlink r:id="rId41" w:anchor="diocesan-offices" w:history="1">
              <w:r w:rsidRPr="00F235CB">
                <w:rPr>
                  <w:rStyle w:val="Hyperlink"/>
                  <w:rFonts w:ascii="Arial Narrow" w:hAnsi="Arial Narrow"/>
                  <w:sz w:val="22"/>
                </w:rPr>
                <w:t>Diocesan Offices</w:t>
              </w:r>
            </w:hyperlink>
            <w:r w:rsidRPr="00F235CB">
              <w:rPr>
                <w:rFonts w:ascii="Arial Narrow" w:hAnsi="Arial Narrow"/>
                <w:sz w:val="22"/>
              </w:rPr>
              <w:t xml:space="preserve"> on the Victorian Catholic Education Authority website.</w:t>
            </w:r>
          </w:p>
          <w:p w14:paraId="406B5FFD" w14:textId="77777777" w:rsidR="00F235CB" w:rsidRPr="00F235CB" w:rsidRDefault="00F235CB" w:rsidP="00F235CB">
            <w:pPr>
              <w:pStyle w:val="VCAAbullet"/>
              <w:numPr>
                <w:ilvl w:val="0"/>
                <w:numId w:val="14"/>
              </w:numPr>
              <w:tabs>
                <w:tab w:val="clear" w:pos="425"/>
                <w:tab w:val="left" w:pos="0"/>
              </w:tabs>
              <w:ind w:left="357" w:hanging="357"/>
              <w:rPr>
                <w:rFonts w:ascii="Arial Narrow" w:hAnsi="Arial Narrow"/>
                <w:sz w:val="22"/>
              </w:rPr>
            </w:pPr>
            <w:r w:rsidRPr="00F235CB">
              <w:rPr>
                <w:rFonts w:ascii="Arial Narrow" w:hAnsi="Arial Narrow"/>
                <w:sz w:val="22"/>
              </w:rPr>
              <w:t xml:space="preserve">Independent schools (members of Independent Schools Victoria (ISV) only) – refer to the </w:t>
            </w:r>
            <w:hyperlink r:id="rId42" w:history="1">
              <w:r w:rsidRPr="00F235CB">
                <w:rPr>
                  <w:rStyle w:val="Hyperlink"/>
                  <w:rFonts w:ascii="Arial Narrow" w:hAnsi="Arial Narrow" w:cstheme="minorHAnsi"/>
                  <w:sz w:val="22"/>
                  <w:lang w:val="en-US"/>
                </w:rPr>
                <w:t>isConnect</w:t>
              </w:r>
            </w:hyperlink>
            <w:r w:rsidRPr="00F235CB">
              <w:rPr>
                <w:rFonts w:ascii="Arial Narrow" w:hAnsi="Arial Narrow"/>
                <w:sz w:val="22"/>
              </w:rPr>
              <w:t xml:space="preserve"> portal.</w:t>
            </w:r>
          </w:p>
        </w:tc>
      </w:tr>
    </w:tbl>
    <w:p w14:paraId="3E56786F" w14:textId="77777777" w:rsidR="00F235CB" w:rsidRDefault="00F235CB" w:rsidP="00F235CB">
      <w:pPr>
        <w:rPr>
          <w:rFonts w:ascii="Arial" w:hAnsi="Arial" w:cs="Arial"/>
          <w:color w:val="0F7EB4"/>
          <w:sz w:val="40"/>
          <w:szCs w:val="28"/>
        </w:rPr>
      </w:pPr>
      <w:r>
        <w:br w:type="page"/>
      </w:r>
    </w:p>
    <w:p w14:paraId="16570BC6" w14:textId="77777777" w:rsidR="00F235CB" w:rsidRPr="00E95EDE" w:rsidRDefault="00F235CB" w:rsidP="00B6056C">
      <w:pPr>
        <w:pStyle w:val="VCAAHeading1"/>
      </w:pPr>
      <w:bookmarkStart w:id="16" w:name="_Toc159844797"/>
      <w:r w:rsidRPr="00E95EDE">
        <w:t>Support resources</w:t>
      </w:r>
      <w:bookmarkEnd w:id="16"/>
    </w:p>
    <w:p w14:paraId="246B6F6B" w14:textId="77777777" w:rsidR="00F235CB" w:rsidRDefault="00F235CB" w:rsidP="00B6056C">
      <w:pPr>
        <w:pStyle w:val="VCAAHeading2"/>
      </w:pPr>
      <w:bookmarkStart w:id="17" w:name="_Toc159844798"/>
      <w:r>
        <w:t>Professional learning</w:t>
      </w:r>
      <w:bookmarkEnd w:id="17"/>
    </w:p>
    <w:p w14:paraId="489E1019" w14:textId="77777777" w:rsidR="00F235CB" w:rsidRPr="005E0F1E" w:rsidRDefault="00F235CB" w:rsidP="00F235CB">
      <w:pPr>
        <w:pStyle w:val="VCAAbody"/>
        <w:rPr>
          <w:rFonts w:cstheme="minorHAnsi"/>
        </w:rPr>
      </w:pPr>
      <w:r w:rsidRPr="005E0F1E">
        <w:rPr>
          <w:rFonts w:cstheme="minorHAnsi"/>
        </w:rPr>
        <w:t xml:space="preserve">The </w:t>
      </w:r>
      <w:hyperlink r:id="rId43" w:history="1">
        <w:r w:rsidRPr="005E0F1E">
          <w:rPr>
            <w:rStyle w:val="Hyperlink"/>
            <w:rFonts w:cstheme="minorHAnsi"/>
          </w:rPr>
          <w:t>VCE VM and VPC Professional Learning</w:t>
        </w:r>
      </w:hyperlink>
      <w:r w:rsidRPr="005E0F1E">
        <w:rPr>
          <w:rFonts w:cstheme="minorHAnsi"/>
        </w:rPr>
        <w:t xml:space="preserve"> page provides support resources and professional learning opportunities across different modalities including:</w:t>
      </w:r>
    </w:p>
    <w:p w14:paraId="72DC59B5" w14:textId="77777777" w:rsidR="00F235CB" w:rsidRPr="002F73D8" w:rsidRDefault="00F235CB" w:rsidP="00F235CB">
      <w:pPr>
        <w:pStyle w:val="VCAAbullet"/>
        <w:numPr>
          <w:ilvl w:val="0"/>
          <w:numId w:val="14"/>
        </w:numPr>
        <w:tabs>
          <w:tab w:val="clear" w:pos="425"/>
          <w:tab w:val="left" w:pos="0"/>
        </w:tabs>
        <w:ind w:left="357" w:hanging="357"/>
      </w:pPr>
      <w:r w:rsidRPr="002F73D8">
        <w:t>on-demand learning modules via the VCE VM and VPC Professional Learning Platform</w:t>
      </w:r>
    </w:p>
    <w:p w14:paraId="0A6A71AA" w14:textId="77777777" w:rsidR="00F235CB" w:rsidRPr="002F73D8" w:rsidRDefault="00F235CB" w:rsidP="00F235CB">
      <w:pPr>
        <w:pStyle w:val="VCAAbullet"/>
        <w:numPr>
          <w:ilvl w:val="0"/>
          <w:numId w:val="14"/>
        </w:numPr>
        <w:tabs>
          <w:tab w:val="clear" w:pos="425"/>
          <w:tab w:val="left" w:pos="0"/>
        </w:tabs>
        <w:ind w:left="357" w:hanging="357"/>
      </w:pPr>
      <w:r w:rsidRPr="002F73D8">
        <w:t>information about upcoming webinars and face-to-face professional learning opportunities</w:t>
      </w:r>
    </w:p>
    <w:p w14:paraId="30973271" w14:textId="77777777" w:rsidR="00F235CB" w:rsidRPr="005E0F1E" w:rsidRDefault="00F235CB" w:rsidP="00F235CB">
      <w:pPr>
        <w:pStyle w:val="VCAAbullet"/>
        <w:numPr>
          <w:ilvl w:val="0"/>
          <w:numId w:val="14"/>
        </w:numPr>
        <w:tabs>
          <w:tab w:val="clear" w:pos="425"/>
          <w:tab w:val="left" w:pos="0"/>
        </w:tabs>
        <w:ind w:left="357" w:hanging="357"/>
      </w:pPr>
      <w:r w:rsidRPr="002F73D8">
        <w:t>recordings</w:t>
      </w:r>
      <w:r w:rsidRPr="00E95EDE">
        <w:t xml:space="preserve"> of past webinars and information sessions</w:t>
      </w:r>
      <w:r w:rsidRPr="005E0F1E">
        <w:rPr>
          <w:rStyle w:val="Hyperlink"/>
          <w:rFonts w:cstheme="minorHAnsi"/>
          <w:color w:val="auto"/>
        </w:rPr>
        <w:t>.</w:t>
      </w:r>
    </w:p>
    <w:p w14:paraId="3376EEEB" w14:textId="77777777" w:rsidR="00F235CB" w:rsidRDefault="00F235CB" w:rsidP="00B6056C">
      <w:pPr>
        <w:pStyle w:val="VCAAHeading2"/>
      </w:pPr>
      <w:bookmarkStart w:id="18" w:name="_Toc159844799"/>
      <w:r w:rsidRPr="00E95EDE">
        <w:t>Communities of Practice</w:t>
      </w:r>
      <w:bookmarkEnd w:id="18"/>
      <w:r w:rsidRPr="00E95EDE">
        <w:t xml:space="preserve"> </w:t>
      </w:r>
    </w:p>
    <w:p w14:paraId="74B88D5A" w14:textId="77777777" w:rsidR="00F235CB" w:rsidRDefault="00F235CB" w:rsidP="00F235CB">
      <w:pPr>
        <w:pStyle w:val="VCAAbody"/>
      </w:pPr>
      <w:r w:rsidRPr="00E95EDE">
        <w:t>The VCE VM and VPC Communities of Practice (CoP</w:t>
      </w:r>
      <w:r>
        <w:t>s</w:t>
      </w:r>
      <w:r w:rsidRPr="00E95EDE">
        <w:t xml:space="preserve">) were launched in 2022 to provide support to teachers through local area networks focusing on collaborative development of curriculum and pedagogical practice. </w:t>
      </w:r>
    </w:p>
    <w:p w14:paraId="6713A9AF" w14:textId="77777777" w:rsidR="00F235CB" w:rsidRPr="00E95EDE" w:rsidRDefault="00F235CB" w:rsidP="00F235CB">
      <w:pPr>
        <w:pStyle w:val="VCAAbody"/>
      </w:pPr>
      <w:r w:rsidRPr="00E95EDE">
        <w:t xml:space="preserve">For more information on CoP locations and how to become a member visit the </w:t>
      </w:r>
      <w:hyperlink r:id="rId44" w:history="1">
        <w:r w:rsidRPr="00E95EDE">
          <w:rPr>
            <w:rStyle w:val="Hyperlink"/>
            <w:rFonts w:cstheme="minorHAnsi"/>
          </w:rPr>
          <w:t>VCE VM and VPC Communities of Practice</w:t>
        </w:r>
      </w:hyperlink>
      <w:r w:rsidRPr="00E95EDE">
        <w:t xml:space="preserve"> webpage.</w:t>
      </w:r>
    </w:p>
    <w:p w14:paraId="78617F4E" w14:textId="77777777" w:rsidR="00F235CB" w:rsidRDefault="00F235CB" w:rsidP="00B6056C">
      <w:pPr>
        <w:pStyle w:val="VCAAHeading2"/>
      </w:pPr>
      <w:bookmarkStart w:id="19" w:name="_Toc159844800"/>
      <w:r w:rsidRPr="005E0F1E">
        <w:t xml:space="preserve">Applied </w:t>
      </w:r>
      <w:r>
        <w:t>l</w:t>
      </w:r>
      <w:r w:rsidRPr="005E0F1E">
        <w:t xml:space="preserve">earning </w:t>
      </w:r>
      <w:r>
        <w:t>approaches</w:t>
      </w:r>
      <w:bookmarkEnd w:id="19"/>
      <w:r w:rsidRPr="005E0F1E">
        <w:t xml:space="preserve"> </w:t>
      </w:r>
    </w:p>
    <w:p w14:paraId="4F5DC048" w14:textId="77777777" w:rsidR="00F235CB" w:rsidRPr="00E95EDE" w:rsidRDefault="00F235CB" w:rsidP="00F235CB">
      <w:pPr>
        <w:pStyle w:val="VCAAbody"/>
      </w:pPr>
      <w:r>
        <w:t>The VCAA has developed guidance and advice specifically regarding a</w:t>
      </w:r>
      <w:r w:rsidRPr="005E0F1E">
        <w:t xml:space="preserve">pproaches to </w:t>
      </w:r>
      <w:r>
        <w:t>l</w:t>
      </w:r>
      <w:r w:rsidRPr="005E0F1E">
        <w:t xml:space="preserve">earning in the </w:t>
      </w:r>
      <w:r>
        <w:t xml:space="preserve">VCE VM and VPC. </w:t>
      </w:r>
    </w:p>
    <w:p w14:paraId="5AA66831" w14:textId="77777777" w:rsidR="00F235CB" w:rsidRPr="00E95EDE" w:rsidRDefault="00F235CB" w:rsidP="00F235CB">
      <w:pPr>
        <w:pStyle w:val="VCAAbody"/>
      </w:pPr>
      <w:r>
        <w:t xml:space="preserve">Visit the </w:t>
      </w:r>
      <w:hyperlink r:id="rId45" w:history="1">
        <w:r w:rsidRPr="005E0F1E">
          <w:rPr>
            <w:rStyle w:val="Hyperlink"/>
          </w:rPr>
          <w:t>VCAA website</w:t>
        </w:r>
      </w:hyperlink>
      <w:r>
        <w:t xml:space="preserve"> for more information. </w:t>
      </w:r>
    </w:p>
    <w:p w14:paraId="3271F43B" w14:textId="77777777" w:rsidR="00263A66" w:rsidRPr="00210AB7" w:rsidRDefault="00263A66" w:rsidP="00DD1AF6">
      <w:pPr>
        <w:pStyle w:val="VCAAfigures"/>
        <w:rPr>
          <w:lang w:val="en-AU"/>
        </w:rPr>
      </w:pPr>
    </w:p>
    <w:sectPr w:rsidR="00263A66" w:rsidRPr="00210AB7" w:rsidSect="00F235CB">
      <w:headerReference w:type="default" r:id="rId46"/>
      <w:footerReference w:type="default" r:id="rId47"/>
      <w:headerReference w:type="first" r:id="rId48"/>
      <w:footerReference w:type="first" r:id="rId49"/>
      <w:pgSz w:w="11907" w:h="16840" w:code="9"/>
      <w:pgMar w:top="1418" w:right="1134" w:bottom="993"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EC1DD" w14:textId="77777777" w:rsidR="00251DF1" w:rsidRDefault="00251DF1" w:rsidP="00304EA1">
      <w:pPr>
        <w:spacing w:after="0" w:line="240" w:lineRule="auto"/>
      </w:pPr>
      <w:r>
        <w:separator/>
      </w:r>
    </w:p>
  </w:endnote>
  <w:endnote w:type="continuationSeparator" w:id="0">
    <w:p w14:paraId="6C8DB054" w14:textId="77777777" w:rsidR="00251DF1" w:rsidRDefault="00251DF1"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FD29C" w14:textId="77777777" w:rsidR="00532A04" w:rsidRDefault="00532A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CD640" w14:textId="77777777" w:rsidR="00532A04" w:rsidRDefault="00532A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0175" w14:textId="77777777" w:rsidR="00350E9A" w:rsidRDefault="00350E9A" w:rsidP="00D652E8">
    <w:pPr>
      <w:pStyle w:val="Footer"/>
      <w:tabs>
        <w:tab w:val="clear" w:pos="9026"/>
        <w:tab w:val="left" w:pos="567"/>
        <w:tab w:val="right" w:pos="11340"/>
      </w:tabs>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7D80E" w14:textId="77777777" w:rsidR="00350E9A" w:rsidRDefault="00350E9A" w:rsidP="00693FFD">
    <w:pPr>
      <w:pStyle w:val="Footer"/>
      <w:tabs>
        <w:tab w:val="clear" w:pos="9026"/>
        <w:tab w:val="right" w:pos="11340"/>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1"/>
      <w:gridCol w:w="3591"/>
      <w:gridCol w:w="3591"/>
    </w:tblGrid>
    <w:tr w:rsidR="00350E9A" w:rsidRPr="00D0381D" w14:paraId="70B6A535" w14:textId="77777777" w:rsidTr="00D0381D">
      <w:tc>
        <w:tcPr>
          <w:tcW w:w="1665" w:type="pct"/>
          <w:tcMar>
            <w:left w:w="0" w:type="dxa"/>
            <w:right w:w="0" w:type="dxa"/>
          </w:tcMar>
        </w:tcPr>
        <w:p w14:paraId="63AA128F" w14:textId="77777777" w:rsidR="00350E9A" w:rsidRPr="00D0381D" w:rsidRDefault="00350E9A" w:rsidP="00D0381D">
          <w:pPr>
            <w:pStyle w:val="VCAAbody"/>
            <w:tabs>
              <w:tab w:val="right" w:pos="9639"/>
            </w:tabs>
            <w:spacing w:after="0"/>
            <w:rPr>
              <w:color w:val="999999" w:themeColor="accent2"/>
              <w:sz w:val="18"/>
              <w:szCs w:val="18"/>
            </w:rPr>
          </w:pPr>
          <w:r w:rsidRPr="00D0381D">
            <w:rPr>
              <w:color w:val="999999" w:themeColor="accent2"/>
              <w:sz w:val="18"/>
              <w:szCs w:val="18"/>
            </w:rPr>
            <w:t xml:space="preserve">© </w:t>
          </w:r>
          <w:hyperlink r:id="rId1" w:history="1">
            <w:r w:rsidRPr="00D0381D">
              <w:rPr>
                <w:rStyle w:val="Hyperlink"/>
                <w:sz w:val="18"/>
                <w:szCs w:val="18"/>
              </w:rPr>
              <w:t>VCAA</w:t>
            </w:r>
          </w:hyperlink>
        </w:p>
      </w:tc>
      <w:tc>
        <w:tcPr>
          <w:tcW w:w="1665" w:type="pct"/>
          <w:tcMar>
            <w:left w:w="0" w:type="dxa"/>
            <w:right w:w="0" w:type="dxa"/>
          </w:tcMar>
        </w:tcPr>
        <w:p w14:paraId="0E96F0D0" w14:textId="77777777" w:rsidR="00350E9A" w:rsidRPr="00D0381D" w:rsidRDefault="00350E9A" w:rsidP="00D0381D">
          <w:pPr>
            <w:pStyle w:val="VCAAbody"/>
            <w:tabs>
              <w:tab w:val="right" w:pos="9639"/>
            </w:tabs>
            <w:spacing w:after="0"/>
            <w:rPr>
              <w:color w:val="999999" w:themeColor="accent2"/>
              <w:sz w:val="18"/>
              <w:szCs w:val="18"/>
            </w:rPr>
          </w:pPr>
        </w:p>
      </w:tc>
      <w:tc>
        <w:tcPr>
          <w:tcW w:w="1665" w:type="pct"/>
          <w:tcMar>
            <w:left w:w="0" w:type="dxa"/>
            <w:right w:w="0" w:type="dxa"/>
          </w:tcMar>
        </w:tcPr>
        <w:p w14:paraId="4FA10E83" w14:textId="3A868AEC" w:rsidR="00350E9A" w:rsidRPr="00D0381D" w:rsidRDefault="00350E9A" w:rsidP="00D0381D">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sidR="0055611A">
            <w:rPr>
              <w:noProof/>
              <w:color w:val="999999" w:themeColor="accent2"/>
              <w:sz w:val="18"/>
              <w:szCs w:val="18"/>
            </w:rPr>
            <w:t>i</w:t>
          </w:r>
          <w:r w:rsidRPr="00D0381D">
            <w:rPr>
              <w:color w:val="999999" w:themeColor="accent2"/>
              <w:sz w:val="18"/>
              <w:szCs w:val="18"/>
            </w:rPr>
            <w:fldChar w:fldCharType="end"/>
          </w:r>
        </w:p>
      </w:tc>
    </w:tr>
  </w:tbl>
  <w:p w14:paraId="29ECD87E" w14:textId="77777777" w:rsidR="00350E9A" w:rsidRPr="00534253" w:rsidRDefault="00350E9A" w:rsidP="00534253">
    <w:pPr>
      <w:pStyle w:val="VCAAcaptionsandfootnotes"/>
      <w:spacing w:before="0" w:after="0" w:line="20" w:lineRule="exac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591"/>
      <w:gridCol w:w="3592"/>
      <w:gridCol w:w="3590"/>
    </w:tblGrid>
    <w:tr w:rsidR="00FD29D3" w:rsidRPr="00D06414" w14:paraId="657BF2D7" w14:textId="77777777" w:rsidTr="00BB3BAB">
      <w:trPr>
        <w:trHeight w:val="476"/>
      </w:trPr>
      <w:tc>
        <w:tcPr>
          <w:tcW w:w="1667" w:type="pct"/>
          <w:tcMar>
            <w:left w:w="0" w:type="dxa"/>
            <w:right w:w="0" w:type="dxa"/>
          </w:tcMar>
        </w:tcPr>
        <w:p w14:paraId="57CC2619" w14:textId="77777777" w:rsidR="00251DF1" w:rsidRPr="00D06414" w:rsidRDefault="00251DF1"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4DDE833E" w14:textId="77777777" w:rsidR="00251DF1" w:rsidRPr="00D06414" w:rsidRDefault="00251DF1"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6C5DCC85" w14:textId="77777777" w:rsidR="00251DF1" w:rsidRPr="00D06414" w:rsidRDefault="00251DF1"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5F200AEE" w14:textId="77777777" w:rsidR="00251DF1" w:rsidRPr="00D06414" w:rsidRDefault="00251DF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1312" behindDoc="1" locked="1" layoutInCell="1" allowOverlap="1" wp14:anchorId="38DD2D59" wp14:editId="18217744">
          <wp:simplePos x="0" y="0"/>
          <wp:positionH relativeFrom="column">
            <wp:posOffset>-713105</wp:posOffset>
          </wp:positionH>
          <wp:positionV relativeFrom="page">
            <wp:posOffset>10142220</wp:posOffset>
          </wp:positionV>
          <wp:extent cx="7583170" cy="53784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6F7BC672" w14:textId="77777777" w:rsidTr="000F5AAF">
      <w:tc>
        <w:tcPr>
          <w:tcW w:w="1459" w:type="pct"/>
          <w:tcMar>
            <w:left w:w="0" w:type="dxa"/>
            <w:right w:w="0" w:type="dxa"/>
          </w:tcMar>
        </w:tcPr>
        <w:p w14:paraId="7CBA7F02" w14:textId="77777777" w:rsidR="00251DF1" w:rsidRPr="00D06414" w:rsidRDefault="00251DF1"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9A77B19" w14:textId="77777777" w:rsidR="00251DF1" w:rsidRPr="00D06414" w:rsidRDefault="00251DF1"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92A1BDD" w14:textId="77777777" w:rsidR="00251DF1" w:rsidRPr="00D06414" w:rsidRDefault="00251DF1"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7A790975" w14:textId="77777777" w:rsidR="00251DF1" w:rsidRPr="00D06414" w:rsidRDefault="00251DF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3360" behindDoc="1" locked="1" layoutInCell="1" allowOverlap="1" wp14:anchorId="0D046900" wp14:editId="7D3CEE6D">
          <wp:simplePos x="0" y="0"/>
          <wp:positionH relativeFrom="page">
            <wp:align>left</wp:align>
          </wp:positionH>
          <wp:positionV relativeFrom="bottomMargin">
            <wp:align>top</wp:align>
          </wp:positionV>
          <wp:extent cx="7583170" cy="53784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23958" w14:textId="77777777" w:rsidR="00251DF1" w:rsidRDefault="00251DF1" w:rsidP="00304EA1">
      <w:pPr>
        <w:spacing w:after="0" w:line="240" w:lineRule="auto"/>
      </w:pPr>
      <w:r>
        <w:separator/>
      </w:r>
    </w:p>
  </w:footnote>
  <w:footnote w:type="continuationSeparator" w:id="0">
    <w:p w14:paraId="40A10E97" w14:textId="77777777" w:rsidR="00251DF1" w:rsidRDefault="00251DF1"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E5A7D" w14:textId="77777777" w:rsidR="00532A04" w:rsidRDefault="00532A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1186950884"/>
      <w:placeholder>
        <w:docPart w:val="75BD38B864049E4CB05FD22C1CB75C76"/>
      </w:placeholder>
      <w:dataBinding w:prefixMappings="xmlns:ns0='http://purl.org/dc/elements/1.1/' xmlns:ns1='http://schemas.openxmlformats.org/package/2006/metadata/core-properties' " w:xpath="/ns1:coreProperties[1]/ns0:title[1]" w:storeItemID="{6C3C8BC8-F283-45AE-878A-BAB7291924A1}"/>
      <w:text/>
    </w:sdtPr>
    <w:sdtEndPr/>
    <w:sdtContent>
      <w:p w14:paraId="586607E3" w14:textId="514F0C52" w:rsidR="00350E9A" w:rsidRPr="00322123" w:rsidRDefault="00F021DD" w:rsidP="00A11696">
        <w:pPr>
          <w:pStyle w:val="VCAAbody"/>
        </w:pPr>
        <w:r>
          <w:t>Findings report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74DEB" w14:textId="77777777" w:rsidR="00350E9A" w:rsidRDefault="00350E9A" w:rsidP="00650423">
    <w:pPr>
      <w:pStyle w:val="Header"/>
      <w:tabs>
        <w:tab w:val="left" w:pos="567"/>
      </w:tabs>
      <w:ind w:right="567"/>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02DE1" w14:textId="77777777" w:rsidR="00350E9A" w:rsidRPr="00A77F1C" w:rsidRDefault="00350E9A" w:rsidP="00707E68">
    <w:pPr>
      <w:pStyle w:val="VCAAcaptionsandfootnotes"/>
      <w:tabs>
        <w:tab w:val="left" w:pos="1650"/>
      </w:tabs>
      <w:rPr>
        <w:color w:val="999999" w:themeColor="accent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711D" w14:textId="77777777" w:rsidR="00350E9A" w:rsidRPr="00A77F1C" w:rsidRDefault="00350E9A" w:rsidP="00707E68">
    <w:pPr>
      <w:pStyle w:val="VCAAcaptionsandfootnotes"/>
      <w:tabs>
        <w:tab w:val="left" w:pos="1650"/>
      </w:tabs>
      <w:rPr>
        <w:color w:val="999999" w:themeColor="accent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2F2D3" w14:textId="64DF9F1A" w:rsidR="00251DF1" w:rsidRPr="00D86DE4" w:rsidRDefault="00251DF1" w:rsidP="00D86DE4">
    <w:pPr>
      <w:pStyle w:val="VCAAcaptionsandfootnotes"/>
      <w:rPr>
        <w:color w:val="999999" w:themeColor="accent2"/>
      </w:rPr>
    </w:pPr>
    <w:sdt>
      <w:sdtPr>
        <w:rPr>
          <w:color w:val="999999" w:themeColor="accent2"/>
        </w:rPr>
        <w:alias w:val="Title"/>
        <w:tag w:val=""/>
        <w:id w:val="-494956033"/>
        <w:placeholder>
          <w:docPart w:val="75BD38B864049E4CB05FD22C1CB75C76"/>
        </w:placeholder>
        <w:dataBinding w:prefixMappings="xmlns:ns0='http://purl.org/dc/elements/1.1/' xmlns:ns1='http://schemas.openxmlformats.org/package/2006/metadata/core-properties' " w:xpath="/ns1:coreProperties[1]/ns0:title[1]" w:storeItemID="{6C3C8BC8-F283-45AE-878A-BAB7291924A1}"/>
        <w:text/>
      </w:sdtPr>
      <w:sdtEndPr/>
      <w:sdtContent>
        <w:r w:rsidR="00F235CB">
          <w:rPr>
            <w:color w:val="999999" w:themeColor="accent2"/>
          </w:rPr>
          <w:t>Findings report</w:t>
        </w:r>
      </w:sdtContent>
    </w:sdt>
    <w:r>
      <w:rPr>
        <w:color w:val="999999" w:themeColor="accent2"/>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3C203" w14:textId="77777777" w:rsidR="00251DF1" w:rsidRPr="009370BC" w:rsidRDefault="00251DF1" w:rsidP="00970580">
    <w:pPr>
      <w:spacing w:after="0"/>
      <w:ind w:right="-142"/>
      <w:jc w:val="right"/>
    </w:pPr>
    <w:r>
      <w:rPr>
        <w:noProof/>
        <w:lang w:val="en-AU" w:eastAsia="en-AU"/>
      </w:rPr>
      <w:drawing>
        <wp:anchor distT="0" distB="0" distL="114300" distR="114300" simplePos="0" relativeHeight="251662336" behindDoc="1" locked="1" layoutInCell="1" allowOverlap="1" wp14:anchorId="56E92D90" wp14:editId="4A85E08D">
          <wp:simplePos x="0" y="0"/>
          <wp:positionH relativeFrom="column">
            <wp:posOffset>-720090</wp:posOffset>
          </wp:positionH>
          <wp:positionV relativeFrom="page">
            <wp:posOffset>0</wp:posOffset>
          </wp:positionV>
          <wp:extent cx="7539990" cy="716915"/>
          <wp:effectExtent l="0" t="0" r="381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A5390"/>
    <w:multiLevelType w:val="hybridMultilevel"/>
    <w:tmpl w:val="E42E3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295D7B"/>
    <w:multiLevelType w:val="hybridMultilevel"/>
    <w:tmpl w:val="BAEA35F2"/>
    <w:lvl w:ilvl="0" w:tplc="DAC0B5C0">
      <w:start w:val="1"/>
      <w:numFmt w:val="bullet"/>
      <w:pStyle w:val="VCAA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B86ECC"/>
    <w:multiLevelType w:val="hybridMultilevel"/>
    <w:tmpl w:val="BD5273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224647C"/>
    <w:multiLevelType w:val="hybridMultilevel"/>
    <w:tmpl w:val="1DCA3576"/>
    <w:lvl w:ilvl="0" w:tplc="422CF53E">
      <w:start w:val="1"/>
      <w:numFmt w:val="bullet"/>
      <w:lvlText w:val=""/>
      <w:lvlJc w:val="left"/>
      <w:pPr>
        <w:ind w:left="1437" w:hanging="360"/>
      </w:pPr>
      <w:rPr>
        <w:rFonts w:ascii="Symbol" w:hAnsi="Symbol" w:hint="default"/>
      </w:rPr>
    </w:lvl>
    <w:lvl w:ilvl="1" w:tplc="0C090003" w:tentative="1">
      <w:start w:val="1"/>
      <w:numFmt w:val="bullet"/>
      <w:lvlText w:val="o"/>
      <w:lvlJc w:val="left"/>
      <w:pPr>
        <w:ind w:left="2157" w:hanging="360"/>
      </w:pPr>
      <w:rPr>
        <w:rFonts w:ascii="Courier New" w:hAnsi="Courier New" w:cs="Courier New" w:hint="default"/>
      </w:rPr>
    </w:lvl>
    <w:lvl w:ilvl="2" w:tplc="0C090005" w:tentative="1">
      <w:start w:val="1"/>
      <w:numFmt w:val="bullet"/>
      <w:lvlText w:val=""/>
      <w:lvlJc w:val="left"/>
      <w:pPr>
        <w:ind w:left="2877" w:hanging="360"/>
      </w:pPr>
      <w:rPr>
        <w:rFonts w:ascii="Wingdings" w:hAnsi="Wingdings" w:hint="default"/>
      </w:rPr>
    </w:lvl>
    <w:lvl w:ilvl="3" w:tplc="0C090001" w:tentative="1">
      <w:start w:val="1"/>
      <w:numFmt w:val="bullet"/>
      <w:lvlText w:val=""/>
      <w:lvlJc w:val="left"/>
      <w:pPr>
        <w:ind w:left="3597" w:hanging="360"/>
      </w:pPr>
      <w:rPr>
        <w:rFonts w:ascii="Symbol" w:hAnsi="Symbol" w:hint="default"/>
      </w:rPr>
    </w:lvl>
    <w:lvl w:ilvl="4" w:tplc="0C090003" w:tentative="1">
      <w:start w:val="1"/>
      <w:numFmt w:val="bullet"/>
      <w:lvlText w:val="o"/>
      <w:lvlJc w:val="left"/>
      <w:pPr>
        <w:ind w:left="4317" w:hanging="360"/>
      </w:pPr>
      <w:rPr>
        <w:rFonts w:ascii="Courier New" w:hAnsi="Courier New" w:cs="Courier New" w:hint="default"/>
      </w:rPr>
    </w:lvl>
    <w:lvl w:ilvl="5" w:tplc="0C090005" w:tentative="1">
      <w:start w:val="1"/>
      <w:numFmt w:val="bullet"/>
      <w:lvlText w:val=""/>
      <w:lvlJc w:val="left"/>
      <w:pPr>
        <w:ind w:left="5037" w:hanging="360"/>
      </w:pPr>
      <w:rPr>
        <w:rFonts w:ascii="Wingdings" w:hAnsi="Wingdings" w:hint="default"/>
      </w:rPr>
    </w:lvl>
    <w:lvl w:ilvl="6" w:tplc="0C090001" w:tentative="1">
      <w:start w:val="1"/>
      <w:numFmt w:val="bullet"/>
      <w:lvlText w:val=""/>
      <w:lvlJc w:val="left"/>
      <w:pPr>
        <w:ind w:left="5757" w:hanging="360"/>
      </w:pPr>
      <w:rPr>
        <w:rFonts w:ascii="Symbol" w:hAnsi="Symbol" w:hint="default"/>
      </w:rPr>
    </w:lvl>
    <w:lvl w:ilvl="7" w:tplc="0C090003" w:tentative="1">
      <w:start w:val="1"/>
      <w:numFmt w:val="bullet"/>
      <w:lvlText w:val="o"/>
      <w:lvlJc w:val="left"/>
      <w:pPr>
        <w:ind w:left="6477" w:hanging="360"/>
      </w:pPr>
      <w:rPr>
        <w:rFonts w:ascii="Courier New" w:hAnsi="Courier New" w:cs="Courier New" w:hint="default"/>
      </w:rPr>
    </w:lvl>
    <w:lvl w:ilvl="8" w:tplc="0C090005" w:tentative="1">
      <w:start w:val="1"/>
      <w:numFmt w:val="bullet"/>
      <w:lvlText w:val=""/>
      <w:lvlJc w:val="left"/>
      <w:pPr>
        <w:ind w:left="7197" w:hanging="360"/>
      </w:pPr>
      <w:rPr>
        <w:rFonts w:ascii="Wingdings" w:hAnsi="Wingdings" w:hint="default"/>
      </w:rPr>
    </w:lvl>
  </w:abstractNum>
  <w:abstractNum w:abstractNumId="4" w15:restartNumberingAfterBreak="0">
    <w:nsid w:val="24C3759C"/>
    <w:multiLevelType w:val="hybridMultilevel"/>
    <w:tmpl w:val="5A24AC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F6390E"/>
    <w:multiLevelType w:val="hybridMultilevel"/>
    <w:tmpl w:val="36525D1E"/>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6"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7" w15:restartNumberingAfterBreak="0">
    <w:nsid w:val="45631BCB"/>
    <w:multiLevelType w:val="hybridMultilevel"/>
    <w:tmpl w:val="EB4A3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4A3314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0"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5E746586"/>
    <w:multiLevelType w:val="hybridMultilevel"/>
    <w:tmpl w:val="0FD00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3" w15:restartNumberingAfterBreak="0">
    <w:nsid w:val="72E92BEB"/>
    <w:multiLevelType w:val="hybridMultilevel"/>
    <w:tmpl w:val="100629C8"/>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num w:numId="1" w16cid:durableId="1252278658">
    <w:abstractNumId w:val="12"/>
  </w:num>
  <w:num w:numId="2" w16cid:durableId="1808159350">
    <w:abstractNumId w:val="9"/>
  </w:num>
  <w:num w:numId="3" w16cid:durableId="325405539">
    <w:abstractNumId w:val="6"/>
  </w:num>
  <w:num w:numId="4" w16cid:durableId="2065830637">
    <w:abstractNumId w:val="1"/>
  </w:num>
  <w:num w:numId="5" w16cid:durableId="199514408">
    <w:abstractNumId w:val="10"/>
  </w:num>
  <w:num w:numId="6" w16cid:durableId="212233280">
    <w:abstractNumId w:val="2"/>
  </w:num>
  <w:num w:numId="7" w16cid:durableId="1859737253">
    <w:abstractNumId w:val="0"/>
  </w:num>
  <w:num w:numId="8" w16cid:durableId="1350638807">
    <w:abstractNumId w:val="4"/>
  </w:num>
  <w:num w:numId="9" w16cid:durableId="1972638240">
    <w:abstractNumId w:val="8"/>
  </w:num>
  <w:num w:numId="10" w16cid:durableId="41827028">
    <w:abstractNumId w:val="11"/>
  </w:num>
  <w:num w:numId="11" w16cid:durableId="545027741">
    <w:abstractNumId w:val="7"/>
  </w:num>
  <w:num w:numId="12" w16cid:durableId="1106659490">
    <w:abstractNumId w:val="13"/>
  </w:num>
  <w:num w:numId="13" w16cid:durableId="648218613">
    <w:abstractNumId w:val="5"/>
  </w:num>
  <w:num w:numId="14" w16cid:durableId="16130523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8C"/>
    <w:rsid w:val="00002D86"/>
    <w:rsid w:val="00014CF6"/>
    <w:rsid w:val="0003448F"/>
    <w:rsid w:val="0003575C"/>
    <w:rsid w:val="0005780E"/>
    <w:rsid w:val="000627E9"/>
    <w:rsid w:val="00065A75"/>
    <w:rsid w:val="000800BF"/>
    <w:rsid w:val="000862FB"/>
    <w:rsid w:val="000874DB"/>
    <w:rsid w:val="000A71F7"/>
    <w:rsid w:val="000F09E4"/>
    <w:rsid w:val="000F16FD"/>
    <w:rsid w:val="000F1D5C"/>
    <w:rsid w:val="000F3A47"/>
    <w:rsid w:val="000F70C1"/>
    <w:rsid w:val="0012390E"/>
    <w:rsid w:val="00124ADA"/>
    <w:rsid w:val="001363D1"/>
    <w:rsid w:val="00163EE0"/>
    <w:rsid w:val="00163FEA"/>
    <w:rsid w:val="00167DF0"/>
    <w:rsid w:val="001726B3"/>
    <w:rsid w:val="001807AA"/>
    <w:rsid w:val="00182B7F"/>
    <w:rsid w:val="001907BA"/>
    <w:rsid w:val="001E625C"/>
    <w:rsid w:val="001F3839"/>
    <w:rsid w:val="00205431"/>
    <w:rsid w:val="00210AB7"/>
    <w:rsid w:val="002208AD"/>
    <w:rsid w:val="002214BA"/>
    <w:rsid w:val="002279BA"/>
    <w:rsid w:val="00231558"/>
    <w:rsid w:val="002329F3"/>
    <w:rsid w:val="002402F1"/>
    <w:rsid w:val="0024128D"/>
    <w:rsid w:val="00243F0D"/>
    <w:rsid w:val="00244B0A"/>
    <w:rsid w:val="0024682A"/>
    <w:rsid w:val="00251DF1"/>
    <w:rsid w:val="00253884"/>
    <w:rsid w:val="00263A66"/>
    <w:rsid w:val="002647BB"/>
    <w:rsid w:val="002754C1"/>
    <w:rsid w:val="00277F02"/>
    <w:rsid w:val="00283969"/>
    <w:rsid w:val="002841C8"/>
    <w:rsid w:val="0028516B"/>
    <w:rsid w:val="00291C6C"/>
    <w:rsid w:val="00292DCA"/>
    <w:rsid w:val="002B1E9E"/>
    <w:rsid w:val="002C6F90"/>
    <w:rsid w:val="002E3552"/>
    <w:rsid w:val="002F27EC"/>
    <w:rsid w:val="00302FB8"/>
    <w:rsid w:val="00304EA1"/>
    <w:rsid w:val="00314D81"/>
    <w:rsid w:val="0031607E"/>
    <w:rsid w:val="00322123"/>
    <w:rsid w:val="00322FC6"/>
    <w:rsid w:val="00350E9A"/>
    <w:rsid w:val="00365D51"/>
    <w:rsid w:val="00391986"/>
    <w:rsid w:val="003D421C"/>
    <w:rsid w:val="003D57A7"/>
    <w:rsid w:val="00412F60"/>
    <w:rsid w:val="00414011"/>
    <w:rsid w:val="00417AA3"/>
    <w:rsid w:val="00440B32"/>
    <w:rsid w:val="00444619"/>
    <w:rsid w:val="0046078D"/>
    <w:rsid w:val="004744D7"/>
    <w:rsid w:val="00486C2C"/>
    <w:rsid w:val="0048758C"/>
    <w:rsid w:val="00490726"/>
    <w:rsid w:val="004A017D"/>
    <w:rsid w:val="004A22BC"/>
    <w:rsid w:val="004A2ED8"/>
    <w:rsid w:val="004B0FF4"/>
    <w:rsid w:val="004B571B"/>
    <w:rsid w:val="004B7DFF"/>
    <w:rsid w:val="004C06CD"/>
    <w:rsid w:val="004C205B"/>
    <w:rsid w:val="004C70EF"/>
    <w:rsid w:val="004E1132"/>
    <w:rsid w:val="004E4391"/>
    <w:rsid w:val="004E50EA"/>
    <w:rsid w:val="004F01A5"/>
    <w:rsid w:val="004F5BDA"/>
    <w:rsid w:val="00503CBE"/>
    <w:rsid w:val="0051631E"/>
    <w:rsid w:val="00517DAC"/>
    <w:rsid w:val="00531440"/>
    <w:rsid w:val="00532A04"/>
    <w:rsid w:val="00534253"/>
    <w:rsid w:val="00542659"/>
    <w:rsid w:val="00555952"/>
    <w:rsid w:val="0055611A"/>
    <w:rsid w:val="00566029"/>
    <w:rsid w:val="00584AEE"/>
    <w:rsid w:val="00586B33"/>
    <w:rsid w:val="005923CB"/>
    <w:rsid w:val="005B391B"/>
    <w:rsid w:val="005C76D0"/>
    <w:rsid w:val="005D3D78"/>
    <w:rsid w:val="005D4C51"/>
    <w:rsid w:val="005E17AB"/>
    <w:rsid w:val="005E2EF0"/>
    <w:rsid w:val="005F504C"/>
    <w:rsid w:val="00613DCB"/>
    <w:rsid w:val="00621305"/>
    <w:rsid w:val="0062553D"/>
    <w:rsid w:val="00632FF9"/>
    <w:rsid w:val="00634764"/>
    <w:rsid w:val="00637FBC"/>
    <w:rsid w:val="00650423"/>
    <w:rsid w:val="00654760"/>
    <w:rsid w:val="00665E92"/>
    <w:rsid w:val="00672AFB"/>
    <w:rsid w:val="00693953"/>
    <w:rsid w:val="00693FFD"/>
    <w:rsid w:val="006A2E04"/>
    <w:rsid w:val="006C4D3D"/>
    <w:rsid w:val="006D2159"/>
    <w:rsid w:val="006D764C"/>
    <w:rsid w:val="006F5551"/>
    <w:rsid w:val="006F787C"/>
    <w:rsid w:val="00702636"/>
    <w:rsid w:val="00707E68"/>
    <w:rsid w:val="00714643"/>
    <w:rsid w:val="0071657E"/>
    <w:rsid w:val="00717EF2"/>
    <w:rsid w:val="00724507"/>
    <w:rsid w:val="007270FB"/>
    <w:rsid w:val="00747608"/>
    <w:rsid w:val="007515F6"/>
    <w:rsid w:val="007619E0"/>
    <w:rsid w:val="00773E6C"/>
    <w:rsid w:val="007D4FB6"/>
    <w:rsid w:val="007E1ED2"/>
    <w:rsid w:val="007E5E88"/>
    <w:rsid w:val="00813C37"/>
    <w:rsid w:val="008154B5"/>
    <w:rsid w:val="00823962"/>
    <w:rsid w:val="008375FE"/>
    <w:rsid w:val="00850219"/>
    <w:rsid w:val="00851757"/>
    <w:rsid w:val="00852719"/>
    <w:rsid w:val="00853A48"/>
    <w:rsid w:val="00860115"/>
    <w:rsid w:val="008715F5"/>
    <w:rsid w:val="008810CF"/>
    <w:rsid w:val="00881105"/>
    <w:rsid w:val="008857C4"/>
    <w:rsid w:val="0088783C"/>
    <w:rsid w:val="008955EB"/>
    <w:rsid w:val="0089628D"/>
    <w:rsid w:val="00896ABD"/>
    <w:rsid w:val="008B352E"/>
    <w:rsid w:val="008C34FB"/>
    <w:rsid w:val="008E031A"/>
    <w:rsid w:val="00906913"/>
    <w:rsid w:val="0091624E"/>
    <w:rsid w:val="00916D5D"/>
    <w:rsid w:val="0092268E"/>
    <w:rsid w:val="009370BC"/>
    <w:rsid w:val="009405B0"/>
    <w:rsid w:val="0096074C"/>
    <w:rsid w:val="009618FD"/>
    <w:rsid w:val="009867C4"/>
    <w:rsid w:val="0098739B"/>
    <w:rsid w:val="00991B93"/>
    <w:rsid w:val="0099573C"/>
    <w:rsid w:val="009A2333"/>
    <w:rsid w:val="009C1C16"/>
    <w:rsid w:val="009C57E3"/>
    <w:rsid w:val="00A06B65"/>
    <w:rsid w:val="00A11696"/>
    <w:rsid w:val="00A17661"/>
    <w:rsid w:val="00A24B2D"/>
    <w:rsid w:val="00A40966"/>
    <w:rsid w:val="00A45BDC"/>
    <w:rsid w:val="00A5644C"/>
    <w:rsid w:val="00A77F1C"/>
    <w:rsid w:val="00A921E0"/>
    <w:rsid w:val="00AB2543"/>
    <w:rsid w:val="00AB4E23"/>
    <w:rsid w:val="00AE7137"/>
    <w:rsid w:val="00AF1B9E"/>
    <w:rsid w:val="00AF4B2C"/>
    <w:rsid w:val="00B0738F"/>
    <w:rsid w:val="00B26601"/>
    <w:rsid w:val="00B275F7"/>
    <w:rsid w:val="00B352A6"/>
    <w:rsid w:val="00B41951"/>
    <w:rsid w:val="00B45199"/>
    <w:rsid w:val="00B45F66"/>
    <w:rsid w:val="00B465C2"/>
    <w:rsid w:val="00B53229"/>
    <w:rsid w:val="00B6056C"/>
    <w:rsid w:val="00B60AB6"/>
    <w:rsid w:val="00B62480"/>
    <w:rsid w:val="00B65CD8"/>
    <w:rsid w:val="00B81B70"/>
    <w:rsid w:val="00BB238F"/>
    <w:rsid w:val="00BD0724"/>
    <w:rsid w:val="00BD4472"/>
    <w:rsid w:val="00BE3DEE"/>
    <w:rsid w:val="00BE5521"/>
    <w:rsid w:val="00BF6F4C"/>
    <w:rsid w:val="00C000D6"/>
    <w:rsid w:val="00C01637"/>
    <w:rsid w:val="00C07962"/>
    <w:rsid w:val="00C07D60"/>
    <w:rsid w:val="00C34684"/>
    <w:rsid w:val="00C53263"/>
    <w:rsid w:val="00C559A6"/>
    <w:rsid w:val="00C65741"/>
    <w:rsid w:val="00C73F9D"/>
    <w:rsid w:val="00C75BC5"/>
    <w:rsid w:val="00C75F1D"/>
    <w:rsid w:val="00C805B2"/>
    <w:rsid w:val="00CA02DD"/>
    <w:rsid w:val="00CC2384"/>
    <w:rsid w:val="00CC53F9"/>
    <w:rsid w:val="00CC7529"/>
    <w:rsid w:val="00CD454F"/>
    <w:rsid w:val="00CE4547"/>
    <w:rsid w:val="00D021BF"/>
    <w:rsid w:val="00D0381D"/>
    <w:rsid w:val="00D1511A"/>
    <w:rsid w:val="00D338E4"/>
    <w:rsid w:val="00D35538"/>
    <w:rsid w:val="00D51947"/>
    <w:rsid w:val="00D532F0"/>
    <w:rsid w:val="00D561B3"/>
    <w:rsid w:val="00D652E8"/>
    <w:rsid w:val="00D77413"/>
    <w:rsid w:val="00D82759"/>
    <w:rsid w:val="00D86DE4"/>
    <w:rsid w:val="00D91CAB"/>
    <w:rsid w:val="00D941C2"/>
    <w:rsid w:val="00DA503D"/>
    <w:rsid w:val="00DA6DBB"/>
    <w:rsid w:val="00DB1C96"/>
    <w:rsid w:val="00DB375B"/>
    <w:rsid w:val="00DC632A"/>
    <w:rsid w:val="00DD1AF6"/>
    <w:rsid w:val="00DE2DC6"/>
    <w:rsid w:val="00DF1AF8"/>
    <w:rsid w:val="00DF4B17"/>
    <w:rsid w:val="00E139C5"/>
    <w:rsid w:val="00E162D2"/>
    <w:rsid w:val="00E23F1D"/>
    <w:rsid w:val="00E34F5D"/>
    <w:rsid w:val="00E36361"/>
    <w:rsid w:val="00E4133C"/>
    <w:rsid w:val="00E42941"/>
    <w:rsid w:val="00E438E3"/>
    <w:rsid w:val="00E44381"/>
    <w:rsid w:val="00E55AE9"/>
    <w:rsid w:val="00E73665"/>
    <w:rsid w:val="00E7516A"/>
    <w:rsid w:val="00E76D71"/>
    <w:rsid w:val="00E90A60"/>
    <w:rsid w:val="00E94D73"/>
    <w:rsid w:val="00EB1CC2"/>
    <w:rsid w:val="00EB3E4C"/>
    <w:rsid w:val="00ED47BC"/>
    <w:rsid w:val="00EE1A80"/>
    <w:rsid w:val="00EF3893"/>
    <w:rsid w:val="00F021DD"/>
    <w:rsid w:val="00F1520E"/>
    <w:rsid w:val="00F235CB"/>
    <w:rsid w:val="00F337AC"/>
    <w:rsid w:val="00F40D53"/>
    <w:rsid w:val="00F4525C"/>
    <w:rsid w:val="00F464D8"/>
    <w:rsid w:val="00F47B7F"/>
    <w:rsid w:val="00F61B8A"/>
    <w:rsid w:val="00F70E0B"/>
    <w:rsid w:val="00F81AA4"/>
    <w:rsid w:val="00F83DB5"/>
    <w:rsid w:val="00F93694"/>
    <w:rsid w:val="00F9544F"/>
    <w:rsid w:val="00F95799"/>
    <w:rsid w:val="00FA080C"/>
    <w:rsid w:val="00FB0635"/>
    <w:rsid w:val="00FB56CD"/>
    <w:rsid w:val="00FC2FF6"/>
    <w:rsid w:val="00FD1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EEB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693953"/>
  </w:style>
  <w:style w:type="paragraph" w:styleId="Heading1">
    <w:name w:val="heading 1"/>
    <w:basedOn w:val="Normal"/>
    <w:next w:val="Normal"/>
    <w:link w:val="Heading1Char"/>
    <w:uiPriority w:val="9"/>
    <w:semiHidden/>
    <w:qFormat/>
    <w:rsid w:val="00182B7F"/>
    <w:pPr>
      <w:keepNext/>
      <w:keepLines/>
      <w:spacing w:before="480" w:after="0"/>
      <w:outlineLvl w:val="0"/>
    </w:pPr>
    <w:rPr>
      <w:rFonts w:asciiTheme="majorHAnsi" w:eastAsiaTheme="majorEastAsia" w:hAnsiTheme="majorHAnsi" w:cstheme="majorBidi"/>
      <w:b/>
      <w:bCs/>
      <w:color w:val="0072AA" w:themeColor="accent1" w:themeShade="BF"/>
      <w:sz w:val="28"/>
      <w:szCs w:val="28"/>
    </w:rPr>
  </w:style>
  <w:style w:type="paragraph" w:styleId="Heading2">
    <w:name w:val="heading 2"/>
    <w:basedOn w:val="Normal"/>
    <w:next w:val="Normal"/>
    <w:link w:val="Heading2Char"/>
    <w:uiPriority w:val="9"/>
    <w:semiHidden/>
    <w:qFormat/>
    <w:rsid w:val="00182B7F"/>
    <w:pPr>
      <w:keepNext/>
      <w:keepLines/>
      <w:spacing w:before="200" w:after="0"/>
      <w:outlineLvl w:val="1"/>
    </w:pPr>
    <w:rPr>
      <w:rFonts w:asciiTheme="majorHAnsi" w:eastAsiaTheme="majorEastAsia" w:hAnsiTheme="majorHAnsi" w:cstheme="majorBidi"/>
      <w:b/>
      <w:bCs/>
      <w:color w:val="0099E3" w:themeColor="accent1"/>
      <w:sz w:val="26"/>
      <w:szCs w:val="26"/>
    </w:rPr>
  </w:style>
  <w:style w:type="paragraph" w:styleId="Heading3">
    <w:name w:val="heading 3"/>
    <w:basedOn w:val="Normal"/>
    <w:next w:val="Normal"/>
    <w:link w:val="Heading3Char"/>
    <w:uiPriority w:val="9"/>
    <w:semiHidden/>
    <w:unhideWhenUsed/>
    <w:qFormat/>
    <w:rsid w:val="00182B7F"/>
    <w:pPr>
      <w:keepNext/>
      <w:keepLines/>
      <w:spacing w:before="200" w:after="0"/>
      <w:outlineLvl w:val="2"/>
    </w:pPr>
    <w:rPr>
      <w:rFonts w:asciiTheme="majorHAnsi" w:eastAsiaTheme="majorEastAsia" w:hAnsiTheme="majorHAnsi" w:cstheme="majorBidi"/>
      <w:b/>
      <w:bCs/>
      <w:color w:val="0099E3"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4A22BC"/>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632FF9"/>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637FBC"/>
    <w:rPr>
      <w:color w:val="FFFFFF" w:themeColor="background1"/>
    </w:rPr>
  </w:style>
  <w:style w:type="paragraph" w:customStyle="1" w:styleId="VCAAbullet">
    <w:name w:val="VCAA bullet"/>
    <w:basedOn w:val="VCAAbody"/>
    <w:qFormat/>
    <w:rsid w:val="00632FF9"/>
    <w:pPr>
      <w:numPr>
        <w:numId w:val="1"/>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632FF9"/>
    <w:pPr>
      <w:numPr>
        <w:numId w:val="2"/>
      </w:numPr>
      <w:ind w:left="850" w:hanging="425"/>
    </w:pPr>
  </w:style>
  <w:style w:type="paragraph" w:customStyle="1" w:styleId="VCAAnumbers">
    <w:name w:val="VCAA numbers"/>
    <w:basedOn w:val="VCAAbullet"/>
    <w:qFormat/>
    <w:rsid w:val="00632FF9"/>
    <w:pPr>
      <w:numPr>
        <w:numId w:val="3"/>
      </w:numPr>
      <w:ind w:left="425" w:hanging="425"/>
    </w:pPr>
    <w:rPr>
      <w:lang w:val="en-US"/>
    </w:rPr>
  </w:style>
  <w:style w:type="paragraph" w:customStyle="1" w:styleId="VCAAtablebulletnarrow">
    <w:name w:val="VCAA table bullet narrow"/>
    <w:basedOn w:val="Normal"/>
    <w:link w:val="VCAAtablebulletnarrowChar"/>
    <w:qFormat/>
    <w:rsid w:val="00632FF9"/>
    <w:pPr>
      <w:numPr>
        <w:numId w:val="4"/>
      </w:numPr>
      <w:tabs>
        <w:tab w:val="left" w:pos="170"/>
      </w:tabs>
      <w:overflowPunct w:val="0"/>
      <w:autoSpaceDE w:val="0"/>
      <w:autoSpaceDN w:val="0"/>
      <w:adjustRightInd w:val="0"/>
      <w:spacing w:before="80" w:after="80" w:line="280" w:lineRule="exact"/>
      <w:ind w:left="170" w:hanging="170"/>
      <w:contextualSpacing/>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F47B7F"/>
    <w:pPr>
      <w:spacing w:after="360"/>
    </w:pPr>
    <w:rPr>
      <w:sz w:val="18"/>
      <w:szCs w:val="18"/>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5"/>
      </w:numPr>
      <w:ind w:left="340" w:hanging="170"/>
    </w:pPr>
    <w:rPr>
      <w:color w:val="000000" w:themeColor="text1"/>
    </w:r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637FBC"/>
    <w:pPr>
      <w:spacing w:before="80" w:after="80"/>
    </w:pPr>
    <w:rPr>
      <w:color w:val="FFFFFF" w:themeColor="background1"/>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semiHidden/>
    <w:rsid w:val="00182B7F"/>
    <w:rPr>
      <w:rFonts w:asciiTheme="majorHAnsi" w:eastAsiaTheme="majorEastAsia" w:hAnsiTheme="majorHAnsi" w:cstheme="majorBidi"/>
      <w:b/>
      <w:bCs/>
      <w:color w:val="0072AA" w:themeColor="accent1" w:themeShade="BF"/>
      <w:sz w:val="28"/>
      <w:szCs w:val="28"/>
    </w:rPr>
  </w:style>
  <w:style w:type="paragraph" w:styleId="TOCHeading">
    <w:name w:val="TOC Heading"/>
    <w:basedOn w:val="Heading1"/>
    <w:next w:val="Normal"/>
    <w:autoRedefine/>
    <w:uiPriority w:val="39"/>
    <w:unhideWhenUsed/>
    <w:qFormat/>
    <w:rsid w:val="00E94D73"/>
    <w:pPr>
      <w:jc w:val="both"/>
      <w:outlineLvl w:val="9"/>
    </w:pPr>
    <w:rPr>
      <w:rFonts w:ascii="Arial" w:hAnsi="Arial"/>
      <w:b w:val="0"/>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semiHidden/>
    <w:rsid w:val="00182B7F"/>
    <w:rPr>
      <w:rFonts w:asciiTheme="majorHAnsi" w:eastAsiaTheme="majorEastAsia" w:hAnsiTheme="majorHAnsi" w:cstheme="majorBidi"/>
      <w:b/>
      <w:bCs/>
      <w:color w:val="0099E3" w:themeColor="accent1"/>
      <w:sz w:val="26"/>
      <w:szCs w:val="26"/>
    </w:rPr>
  </w:style>
  <w:style w:type="character" w:customStyle="1" w:styleId="Heading3Char">
    <w:name w:val="Heading 3 Char"/>
    <w:basedOn w:val="DefaultParagraphFont"/>
    <w:link w:val="Heading3"/>
    <w:uiPriority w:val="9"/>
    <w:semiHidden/>
    <w:rsid w:val="00182B7F"/>
    <w:rPr>
      <w:rFonts w:asciiTheme="majorHAnsi" w:eastAsiaTheme="majorEastAsia" w:hAnsiTheme="majorHAnsi" w:cstheme="majorBidi"/>
      <w:b/>
      <w:bCs/>
      <w:color w:val="0099E3" w:themeColor="accent1"/>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2402F1"/>
    <w:pPr>
      <w:spacing w:before="280" w:after="0" w:line="560" w:lineRule="exact"/>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color w:val="000000" w:themeColor="text1"/>
      <w:lang w:val="en-AU"/>
    </w:rPr>
  </w:style>
  <w:style w:type="character" w:customStyle="1" w:styleId="VCAAtabletextnarrowChar">
    <w:name w:val="VCAA table text narrow Char"/>
    <w:basedOn w:val="DefaultParagraphFont"/>
    <w:link w:val="VCAAtabletextnarrow"/>
    <w:rsid w:val="00632FF9"/>
    <w:rPr>
      <w:rFonts w:ascii="Arial Narrow" w:hAnsi="Arial Narrow" w:cs="Arial"/>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color w:val="000000" w:themeColor="text1"/>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632FF9"/>
    <w:rPr>
      <w:rFonts w:ascii="Arial Narrow" w:eastAsia="Times New Roman" w:hAnsi="Arial Narrow" w:cs="Arial"/>
      <w:sz w:val="20"/>
      <w:lang w:val="en-GB"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sz w:val="20"/>
      <w:lang w:val="en-GB"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lang w:val="en-GB"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lang w:val="en-GB"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table" w:customStyle="1" w:styleId="VCAATableClosed">
    <w:name w:val="VCAA Table Closed"/>
    <w:basedOn w:val="TableNormal"/>
    <w:uiPriority w:val="99"/>
    <w:rsid w:val="00F235CB"/>
    <w:pPr>
      <w:spacing w:before="40" w:after="0" w:line="240" w:lineRule="auto"/>
    </w:pPr>
    <w:rPr>
      <w:rFonts w:ascii="Arial Narrow" w:hAnsi="Arial Narrow"/>
      <w:color w:val="000000" w:themeColor="text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styleId="ListParagraph">
    <w:name w:val="List Paragraph"/>
    <w:basedOn w:val="Normal"/>
    <w:uiPriority w:val="34"/>
    <w:qFormat/>
    <w:rsid w:val="00F235CB"/>
    <w:pPr>
      <w:spacing w:after="120" w:line="240" w:lineRule="auto"/>
      <w:ind w:left="720"/>
      <w:contextualSpacing/>
    </w:pPr>
    <w:rPr>
      <w:szCs w:val="24"/>
      <w:lang w:val="en-GB"/>
    </w:rPr>
  </w:style>
  <w:style w:type="character" w:styleId="Mention">
    <w:name w:val="Mention"/>
    <w:basedOn w:val="DefaultParagraphFont"/>
    <w:uiPriority w:val="99"/>
    <w:unhideWhenUsed/>
    <w:rsid w:val="00F235C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vcaa.vic.edu.au/Footer/Pages/Copyright.aspx" TargetMode="External"/><Relationship Id="rId26" Type="http://schemas.openxmlformats.org/officeDocument/2006/relationships/footer" Target="footer5.xml"/><Relationship Id="rId39" Type="http://schemas.openxmlformats.org/officeDocument/2006/relationships/hyperlink" Target="https://www.vcaa.vic.edu.au/administration/vpc-handbook/Pages/index.aspx" TargetMode="External"/><Relationship Id="rId21" Type="http://schemas.openxmlformats.org/officeDocument/2006/relationships/hyperlink" Target="mailto:vcaa.copyright@edumail.vic.gov.au" TargetMode="External"/><Relationship Id="rId34" Type="http://schemas.openxmlformats.org/officeDocument/2006/relationships/hyperlink" Target="https://www.vcaa.vic.edu.au/curriculum/vce/vce-study-designs/Pages/VCEVMStudyDesigns.aspx" TargetMode="External"/><Relationship Id="rId42" Type="http://schemas.openxmlformats.org/officeDocument/2006/relationships/hyperlink" Target="https://connect.iseducation.com.au/" TargetMode="External"/><Relationship Id="rId47" Type="http://schemas.openxmlformats.org/officeDocument/2006/relationships/footer" Target="footer6.xm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www.vcaa.vic.edu.au/Documents/vce/VCEassessmentprinciples.docx" TargetMode="External"/><Relationship Id="rId11" Type="http://schemas.openxmlformats.org/officeDocument/2006/relationships/image" Target="media/image1.jpg"/><Relationship Id="rId24" Type="http://schemas.openxmlformats.org/officeDocument/2006/relationships/footer" Target="footer4.xml"/><Relationship Id="rId32" Type="http://schemas.openxmlformats.org/officeDocument/2006/relationships/hyperlink" Target="https://www.vcaa.vic.edu.au/VCAAProfessionalLearning/ProfessionalLearningPrograms/VCEVMandVPCProfessionalLearning/Pages/Index.aspx" TargetMode="External"/><Relationship Id="rId37" Type="http://schemas.openxmlformats.org/officeDocument/2006/relationships/hyperlink" Target="https://www.vcaa.vic.edu.au/administration/vpc-handbook/Pages/index.aspx" TargetMode="External"/><Relationship Id="rId40" Type="http://schemas.openxmlformats.org/officeDocument/2006/relationships/hyperlink" Target="https://edugate.eduweb.vic.gov.au/edrms/keyprocess/cp/Pages/home.aspx" TargetMode="External"/><Relationship Id="rId45" Type="http://schemas.openxmlformats.org/officeDocument/2006/relationships/hyperlink" Target="https://www.vcaa.vic.edu.au/curriculum/VPC/VPCCurriculumDesigns/VPCWRS/Pages/AppliedLearning.aspx"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hyperlink" Target="https://www.vcaa.vic.edu.au/administration/vpc-handbook/Pages/index.aspx" TargetMode="External"/><Relationship Id="rId36" Type="http://schemas.openxmlformats.org/officeDocument/2006/relationships/hyperlink" Target="https://www.vcaa.vic.edu.au/administration/vce-handbook/Pages/index.aspx" TargetMode="External"/><Relationship Id="rId49"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yperlink" Target="https://www.vcaa.vic.edu.au/Footer/Pages/Copyright.aspx" TargetMode="External"/><Relationship Id="rId31" Type="http://schemas.openxmlformats.org/officeDocument/2006/relationships/hyperlink" Target="https://www.vcaa.vic.edu.au/curriculum/VPC/VPCCurriculumDesigns/VPCWRS/Pages/AppliedLearning.aspx" TargetMode="External"/><Relationship Id="rId44" Type="http://schemas.openxmlformats.org/officeDocument/2006/relationships/hyperlink" Target="https://www.vcaa.vic.edu.au/VCAAProfessionalLearning/ProfessionalLearningPrograms/VCEVMandVPCProfessionalLearning/Pages/VCEVMandVPCCommunitiesofPractice.aspx"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vcaa.media.publications@edumail.vic.gov.au" TargetMode="External"/><Relationship Id="rId27" Type="http://schemas.openxmlformats.org/officeDocument/2006/relationships/hyperlink" Target="https://www.vcaa.vic.edu.au/administration/vce-handbook/Pages/index.aspx" TargetMode="External"/><Relationship Id="rId30" Type="http://schemas.openxmlformats.org/officeDocument/2006/relationships/hyperlink" Target="https://www.vcaa.vic.edu.au/Documents/VictorianPathwaysCertificate/VPCAssessmentPrinciples.docx" TargetMode="External"/><Relationship Id="rId35" Type="http://schemas.openxmlformats.org/officeDocument/2006/relationships/hyperlink" Target="https://www.vcaa.vic.edu.au/curriculum/VPC/VPCCurriculumDesigns/Pages/Index.aspx" TargetMode="External"/><Relationship Id="rId43" Type="http://schemas.openxmlformats.org/officeDocument/2006/relationships/hyperlink" Target="https://www.vcaa.vic.edu.au/VCAAProfessionalLearning/ProfessionalLearningPrograms/VCEVMandVPCProfessionalLearning/Pages/Index.aspx" TargetMode="External"/><Relationship Id="rId48" Type="http://schemas.openxmlformats.org/officeDocument/2006/relationships/header" Target="header7.xml"/><Relationship Id="rId8" Type="http://schemas.openxmlformats.org/officeDocument/2006/relationships/webSettings" Target="webSettings.xml"/><Relationship Id="rId51"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33" Type="http://schemas.openxmlformats.org/officeDocument/2006/relationships/hyperlink" Target="https://www.vcaa.vic.edu.au/VCAAProfessionalLearning/ProfessionalLearningPrograms/VCEVMandVPCProfessionalLearning/Pages/PastProfessionalLearningMaterials.aspx" TargetMode="External"/><Relationship Id="rId38" Type="http://schemas.openxmlformats.org/officeDocument/2006/relationships/hyperlink" Target="https://www.vcaa.vic.edu.au/administration/vce-handbook/Pages/index.aspx" TargetMode="External"/><Relationship Id="rId46" Type="http://schemas.openxmlformats.org/officeDocument/2006/relationships/header" Target="header6.xml"/><Relationship Id="rId20" Type="http://schemas.openxmlformats.org/officeDocument/2006/relationships/hyperlink" Target="https://www.vcaa.vic.edu.au/Pages/HomePage.aspx" TargetMode="External"/><Relationship Id="rId41" Type="http://schemas.openxmlformats.org/officeDocument/2006/relationships/hyperlink" Target="https://vcea.catholic.edu.au/choosing-a-catholic-school/enrolling-in-a-catholic-school/"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5.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footer6.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 TargetMode="External"/></Relationships>
</file>

<file path=word/_rels/footer7.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Footer/Pages/Copyright.aspx" TargetMode="External"/></Relationships>
</file>

<file path=word/_rels/header7.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BD38B864049E4CB05FD22C1CB75C76"/>
        <w:category>
          <w:name w:val="General"/>
          <w:gallery w:val="placeholder"/>
        </w:category>
        <w:types>
          <w:type w:val="bbPlcHdr"/>
        </w:types>
        <w:behaviors>
          <w:behavior w:val="content"/>
        </w:behaviors>
        <w:guid w:val="{0367762B-DBA4-3443-8E14-1E7804D7B710}"/>
      </w:docPartPr>
      <w:docPartBody>
        <w:p w:rsidR="004567A0" w:rsidRDefault="004567A0">
          <w:pPr>
            <w:pStyle w:val="75BD38B864049E4CB05FD22C1CB75C76"/>
          </w:pPr>
          <w:r w:rsidRPr="00FA5D49">
            <w:rPr>
              <w:rStyle w:val="PlaceholderText"/>
            </w:rPr>
            <w:t>[Title]</w:t>
          </w:r>
        </w:p>
      </w:docPartBody>
    </w:docPart>
    <w:docPart>
      <w:docPartPr>
        <w:name w:val="DefaultPlaceholder_-1854013440"/>
        <w:category>
          <w:name w:val="General"/>
          <w:gallery w:val="placeholder"/>
        </w:category>
        <w:types>
          <w:type w:val="bbPlcHdr"/>
        </w:types>
        <w:behaviors>
          <w:behavior w:val="content"/>
        </w:behaviors>
        <w:guid w:val="{20DC0468-2235-4F46-A4C6-F72E42349BC7}"/>
      </w:docPartPr>
      <w:docPartBody>
        <w:p w:rsidR="000877AD" w:rsidRDefault="000877AD">
          <w:r w:rsidRPr="007A01CF">
            <w:rPr>
              <w:rStyle w:val="PlaceholderText"/>
            </w:rPr>
            <w:t>Click or tap here to enter text.</w:t>
          </w:r>
        </w:p>
      </w:docPartBody>
    </w:docPart>
    <w:docPart>
      <w:docPartPr>
        <w:name w:val="F70DB39189B24E6D8A58E176BEBE7A13"/>
        <w:category>
          <w:name w:val="General"/>
          <w:gallery w:val="placeholder"/>
        </w:category>
        <w:types>
          <w:type w:val="bbPlcHdr"/>
        </w:types>
        <w:behaviors>
          <w:behavior w:val="content"/>
        </w:behaviors>
        <w:guid w:val="{BD84D7FA-4B1F-43BB-B5BF-2B02B2A94B67}"/>
      </w:docPartPr>
      <w:docPartBody>
        <w:p w:rsidR="00266E53" w:rsidRDefault="000877AD">
          <w:r w:rsidRPr="007A01C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877AD"/>
    <w:rsid w:val="00266E53"/>
    <w:rsid w:val="004567A0"/>
    <w:rsid w:val="00B262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77AD"/>
    <w:rPr>
      <w:color w:val="808080"/>
    </w:rPr>
  </w:style>
  <w:style w:type="paragraph" w:customStyle="1" w:styleId="75BD38B864049E4CB05FD22C1CB75C76">
    <w:name w:val="75BD38B864049E4CB05FD22C1CB75C76"/>
  </w:style>
  <w:style w:type="paragraph" w:customStyle="1" w:styleId="BEF5ABFAEE36F249BF70BCC4ACD5A32B">
    <w:name w:val="BEF5ABFAEE36F249BF70BCC4ACD5A32B"/>
    <w:rsid w:val="004567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DB2F90-53A7-584E-89D7-245DB1501FF7}">
  <ds:schemaRefs>
    <ds:schemaRef ds:uri="http://schemas.openxmlformats.org/officeDocument/2006/bibliography"/>
  </ds:schemaRefs>
</ds:datastoreItem>
</file>

<file path=customXml/itemProps2.xml><?xml version="1.0" encoding="utf-8"?>
<ds:datastoreItem xmlns:ds="http://schemas.openxmlformats.org/officeDocument/2006/customXml" ds:itemID="{60340593-2B1D-4812-B0BA-D2D5FB2FE960}"/>
</file>

<file path=customXml/itemProps3.xml><?xml version="1.0" encoding="utf-8"?>
<ds:datastoreItem xmlns:ds="http://schemas.openxmlformats.org/officeDocument/2006/customXml" ds:itemID="{EE30330C-F8D0-4B95-8BB4-BF4D057658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F37878-3676-40C8-B108-FAF3DB7B6C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2998</Words>
  <Characters>17090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Document title</vt:lpstr>
    </vt:vector>
  </TitlesOfParts>
  <LinksUpToDate>false</LinksUpToDate>
  <CharactersWithSpaces>20048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Findings report</dc:title>
  <dc:creator/>
  <cp:lastModifiedBy/>
  <cp:revision>1</cp:revision>
  <dcterms:created xsi:type="dcterms:W3CDTF">2019-11-05T22:33:00Z</dcterms:created>
  <dcterms:modified xsi:type="dcterms:W3CDTF">2024-02-26T01:59:00Z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