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3EDCE4C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</w:t>
      </w:r>
      <w:r w:rsidR="001A028F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02DEB35C" w:rsidR="004F6DE0" w:rsidRPr="008C0A84" w:rsidRDefault="007F1196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Critical and Creative Thinking</w:t>
      </w:r>
      <w:r w:rsidR="006F58F8">
        <w:rPr>
          <w:lang w:val="en-AU"/>
        </w:rPr>
        <w:t>, Levels 9</w:t>
      </w:r>
      <w:r w:rsidR="004F6DE0" w:rsidRPr="008C0A84">
        <w:rPr>
          <w:lang w:val="en-AU"/>
        </w:rPr>
        <w:t xml:space="preserve"> and </w:t>
      </w:r>
      <w:r w:rsidR="006F58F8">
        <w:rPr>
          <w:lang w:val="en-AU"/>
        </w:rPr>
        <w:t>10</w:t>
      </w:r>
    </w:p>
    <w:p w14:paraId="2E354ED1" w14:textId="751006DC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bookmarkStart w:id="1" w:name="_GoBack"/>
      <w:bookmarkEnd w:id="1"/>
      <w:r w:rsidR="001A028F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D1308E0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7F1196">
        <w:t>Critical and Creative Thinking</w:t>
      </w:r>
      <w:r w:rsidRPr="008C0A84">
        <w:t xml:space="preserve">, Levels </w:t>
      </w:r>
      <w:r w:rsidR="006F58F8">
        <w:t>9</w:t>
      </w:r>
      <w:r w:rsidRPr="008C0A84">
        <w:t xml:space="preserve"> and </w:t>
      </w:r>
      <w:r w:rsidR="006F58F8">
        <w:t>10</w:t>
      </w:r>
    </w:p>
    <w:p w14:paraId="1FB5B60B" w14:textId="02E40A2E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AE0712" w:rsidRPr="00AE0712">
        <w:t>Investigate the characteristics of effective questions in different contexts to examine information and test possibilities (</w:t>
      </w:r>
      <w:hyperlink r:id="rId11" w:history="1">
        <w:r w:rsidR="00AE0712" w:rsidRPr="00144151">
          <w:rPr>
            <w:rStyle w:val="Hyperlink"/>
          </w:rPr>
          <w:t>VCCCTQ043</w:t>
        </w:r>
      </w:hyperlink>
      <w:r w:rsidR="00AE0712" w:rsidRPr="00AE0712">
        <w:t>)</w:t>
      </w:r>
    </w:p>
    <w:p w14:paraId="36A2C730" w14:textId="69EEF109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B93719">
        <w:t>Contrast different</w:t>
      </w:r>
      <w:r w:rsidR="00AE0712">
        <w:t xml:space="preserve"> types</w:t>
      </w:r>
      <w:r w:rsidR="00B93719">
        <w:t xml:space="preserve"> of</w:t>
      </w:r>
      <w:r w:rsidR="00AE0712">
        <w:t xml:space="preserve"> questions</w:t>
      </w:r>
      <w:r w:rsidR="00B93719">
        <w:t xml:space="preserve"> to determine the best way to approach an inquiry or research task</w:t>
      </w:r>
      <w:r w:rsidR="00CF1BB4">
        <w:t xml:space="preserve">. </w:t>
      </w:r>
      <w:r w:rsidR="00D35D07">
        <w:t xml:space="preserve"> </w:t>
      </w:r>
    </w:p>
    <w:p w14:paraId="2364A01C" w14:textId="52E70DA7" w:rsidR="00421DB1" w:rsidRPr="008C0A84" w:rsidRDefault="00421DB1">
      <w:pPr>
        <w:pStyle w:val="VCAAbody-withlargetabandhangingindent"/>
      </w:pPr>
      <w:r w:rsidRPr="00144151">
        <w:rPr>
          <w:b/>
          <w:bCs/>
        </w:rPr>
        <w:t>Summary of adaptation, change, addition:</w:t>
      </w:r>
      <w:r>
        <w:tab/>
      </w:r>
      <w:r w:rsidR="001222FA">
        <w:t xml:space="preserve">Contrast different types of questions </w:t>
      </w:r>
      <w:r w:rsidR="00BD49C5">
        <w:t>that relate to career interests or goals.</w:t>
      </w:r>
    </w:p>
    <w:p w14:paraId="65DFB73F" w14:textId="7738D57B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1A028F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5098"/>
        <w:gridCol w:w="4791"/>
      </w:tblGrid>
      <w:tr w:rsidR="00254888" w:rsidRPr="008C0A84" w14:paraId="47FFE019" w14:textId="77777777" w:rsidTr="00FF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8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791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FF1DA7">
        <w:tc>
          <w:tcPr>
            <w:tcW w:w="5098" w:type="dxa"/>
          </w:tcPr>
          <w:p w14:paraId="6948E085" w14:textId="6754B4AB" w:rsidR="00EE2DB5" w:rsidRDefault="00EE2DB5" w:rsidP="004955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571A18">
              <w:rPr>
                <w:lang w:val="en-AU"/>
              </w:rPr>
              <w:t xml:space="preserve"> explains the broad topic of the inquiry</w:t>
            </w:r>
            <w:r w:rsidR="007D0B37">
              <w:rPr>
                <w:lang w:val="en-AU"/>
              </w:rPr>
              <w:t xml:space="preserve"> or research task</w:t>
            </w:r>
            <w:r w:rsidR="007E3DCC">
              <w:rPr>
                <w:lang w:val="en-AU"/>
              </w:rPr>
              <w:t xml:space="preserve">. </w:t>
            </w:r>
            <w:r w:rsidR="00571A18">
              <w:rPr>
                <w:lang w:val="en-AU"/>
              </w:rPr>
              <w:t>Teacher then</w:t>
            </w:r>
            <w:r>
              <w:rPr>
                <w:lang w:val="en-AU"/>
              </w:rPr>
              <w:t xml:space="preserve"> draws a quadrant diagram on the whiteboard, depicting two ax</w:t>
            </w:r>
            <w:r w:rsidR="00B553D0">
              <w:rPr>
                <w:lang w:val="en-AU"/>
              </w:rPr>
              <w:t>e</w:t>
            </w:r>
            <w:r>
              <w:rPr>
                <w:lang w:val="en-AU"/>
              </w:rPr>
              <w:t>s of opposed types of questions</w:t>
            </w:r>
            <w:r w:rsidR="00B553D0">
              <w:rPr>
                <w:lang w:val="en-AU"/>
              </w:rPr>
              <w:t>:</w:t>
            </w:r>
          </w:p>
          <w:p w14:paraId="0DFD6BCA" w14:textId="7EC3A87F" w:rsidR="00254888" w:rsidRDefault="00EE2DB5" w:rsidP="00EE2DB5">
            <w:pPr>
              <w:pStyle w:val="VCAAtablecondensed"/>
              <w:numPr>
                <w:ilvl w:val="0"/>
                <w:numId w:val="23"/>
              </w:numPr>
              <w:rPr>
                <w:lang w:val="en-AU"/>
              </w:rPr>
            </w:pPr>
            <w:r>
              <w:rPr>
                <w:lang w:val="en-AU"/>
              </w:rPr>
              <w:t xml:space="preserve">Open questions </w:t>
            </w:r>
            <w:r w:rsidRPr="00EE2DB5">
              <w:rPr>
                <w:lang w:val="en-AU"/>
              </w:rPr>
              <w:sym w:font="Wingdings" w:char="F0DF"/>
            </w:r>
            <w:r w:rsidRPr="00EE2DB5">
              <w:rPr>
                <w:lang w:val="en-AU"/>
              </w:rPr>
              <w:sym w:font="Wingdings" w:char="F0E0"/>
            </w:r>
            <w:r>
              <w:rPr>
                <w:lang w:val="en-AU"/>
              </w:rPr>
              <w:t xml:space="preserve"> </w:t>
            </w:r>
            <w:r w:rsidR="00B93719">
              <w:rPr>
                <w:lang w:val="en-AU"/>
              </w:rPr>
              <w:t xml:space="preserve"> </w:t>
            </w:r>
            <w:r>
              <w:rPr>
                <w:lang w:val="en-AU"/>
              </w:rPr>
              <w:t>Closed questions</w:t>
            </w:r>
          </w:p>
          <w:p w14:paraId="332404F3" w14:textId="48C8EBF3" w:rsidR="00EE2DB5" w:rsidRDefault="00EE2DB5" w:rsidP="00EE2DB5">
            <w:pPr>
              <w:pStyle w:val="VCAAtablecondensed"/>
              <w:numPr>
                <w:ilvl w:val="0"/>
                <w:numId w:val="23"/>
              </w:numPr>
              <w:rPr>
                <w:lang w:val="en-AU"/>
              </w:rPr>
            </w:pPr>
            <w:r>
              <w:rPr>
                <w:lang w:val="en-AU"/>
              </w:rPr>
              <w:t xml:space="preserve">Textual questions </w:t>
            </w:r>
            <w:r w:rsidRPr="00EE2DB5">
              <w:rPr>
                <w:lang w:val="en-AU"/>
              </w:rPr>
              <w:sym w:font="Wingdings" w:char="F0DF"/>
            </w:r>
            <w:r w:rsidRPr="00EE2DB5">
              <w:rPr>
                <w:lang w:val="en-AU"/>
              </w:rPr>
              <w:sym w:font="Wingdings" w:char="F0E0"/>
            </w:r>
            <w:r>
              <w:rPr>
                <w:lang w:val="en-AU"/>
              </w:rPr>
              <w:t xml:space="preserve"> Intellectual questions</w:t>
            </w:r>
            <w:r w:rsidR="00C8266B">
              <w:rPr>
                <w:lang w:val="en-AU"/>
              </w:rPr>
              <w:t>.</w:t>
            </w:r>
          </w:p>
          <w:p w14:paraId="46A85701" w14:textId="37A3ED65" w:rsidR="00B93719" w:rsidRPr="008C0A84" w:rsidRDefault="00A32D85" w:rsidP="00EE2DB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explains each of the four sections of the quadrant with examples related to recent studies. </w:t>
            </w:r>
            <w:r w:rsidR="00EE2DB5">
              <w:rPr>
                <w:lang w:val="en-AU"/>
              </w:rPr>
              <w:t>See ‘Additional resources…’ section</w:t>
            </w:r>
            <w:r w:rsidR="00EF583C">
              <w:rPr>
                <w:lang w:val="en-AU"/>
              </w:rPr>
              <w:t xml:space="preserve"> for a visual example of this type of quadrant diagram</w:t>
            </w:r>
            <w:r w:rsidR="00EE2DB5">
              <w:rPr>
                <w:lang w:val="en-AU"/>
              </w:rPr>
              <w:t>.</w:t>
            </w:r>
          </w:p>
        </w:tc>
        <w:tc>
          <w:tcPr>
            <w:tcW w:w="4791" w:type="dxa"/>
          </w:tcPr>
          <w:p w14:paraId="092660B4" w14:textId="02719354" w:rsidR="00AE0712" w:rsidRPr="008C0A84" w:rsidRDefault="00C8266B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To adapt for a career focus, t</w:t>
            </w:r>
            <w:r w:rsidR="002C12E8">
              <w:rPr>
                <w:lang w:val="en-AU"/>
              </w:rPr>
              <w:t>he broad topic of inquiry or research task should</w:t>
            </w:r>
            <w:r w:rsidR="007E3DCC">
              <w:rPr>
                <w:lang w:val="en-AU"/>
              </w:rPr>
              <w:t xml:space="preserve"> be able to</w:t>
            </w:r>
            <w:r w:rsidR="002C12E8">
              <w:rPr>
                <w:lang w:val="en-AU"/>
              </w:rPr>
              <w:t xml:space="preserve"> relate to careers in some way</w:t>
            </w:r>
            <w:r w:rsidR="00173248">
              <w:rPr>
                <w:lang w:val="en-AU"/>
              </w:rPr>
              <w:t>, for example a career goal</w:t>
            </w:r>
            <w:r w:rsidR="007E3DCC">
              <w:rPr>
                <w:lang w:val="en-AU"/>
              </w:rPr>
              <w:t xml:space="preserve"> or career of interest</w:t>
            </w:r>
            <w:r w:rsidR="002C12E8">
              <w:rPr>
                <w:lang w:val="en-AU"/>
              </w:rPr>
              <w:t xml:space="preserve">. </w:t>
            </w:r>
            <w:r w:rsidR="00DC35FD">
              <w:rPr>
                <w:lang w:val="en-AU"/>
              </w:rPr>
              <w:t xml:space="preserve">This may include different types of jobs in the field, as well as transferrable skills or knowledge. </w:t>
            </w:r>
            <w:r w:rsidR="00065072">
              <w:rPr>
                <w:lang w:val="en-AU"/>
              </w:rPr>
              <w:t>Where possible, teacher includes explicit teaching of this information when introducing the broad topic of inquiry.</w:t>
            </w:r>
            <w:r>
              <w:rPr>
                <w:lang w:val="en-AU"/>
              </w:rPr>
              <w:t xml:space="preserve"> </w:t>
            </w:r>
            <w:r w:rsidR="00A32D85">
              <w:rPr>
                <w:lang w:val="en-AU"/>
              </w:rPr>
              <w:t>Explanation of question types using quadrant diagram occurs unchanged</w:t>
            </w:r>
            <w:r w:rsidR="00F77215">
              <w:rPr>
                <w:lang w:val="en-AU"/>
              </w:rPr>
              <w:t>.</w:t>
            </w:r>
          </w:p>
        </w:tc>
      </w:tr>
      <w:tr w:rsidR="00254888" w:rsidRPr="008C0A84" w14:paraId="47C09381" w14:textId="77777777" w:rsidTr="00FF1DA7">
        <w:tc>
          <w:tcPr>
            <w:tcW w:w="5098" w:type="dxa"/>
          </w:tcPr>
          <w:p w14:paraId="68AB99B8" w14:textId="59682464" w:rsidR="00B553D0" w:rsidRDefault="00A32D8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write </w:t>
            </w:r>
            <w:r w:rsidR="0031363A">
              <w:rPr>
                <w:lang w:val="en-AU"/>
              </w:rPr>
              <w:t>different questions they have about the broad inquiry topic</w:t>
            </w:r>
            <w:r w:rsidR="00E23E12">
              <w:rPr>
                <w:lang w:val="en-AU"/>
              </w:rPr>
              <w:t>, ensuring that they have at least one question in each corner of the quadrant diagram</w:t>
            </w:r>
            <w:r w:rsidR="0031363A">
              <w:rPr>
                <w:lang w:val="en-AU"/>
              </w:rPr>
              <w:t xml:space="preserve">. </w:t>
            </w:r>
          </w:p>
          <w:p w14:paraId="123E135F" w14:textId="18E2BF27" w:rsidR="00254888" w:rsidRPr="008C0A84" w:rsidRDefault="00544B82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See the ‘Considerations…’ section for how this activity could be further adapted for different learning areas</w:t>
            </w:r>
            <w:r w:rsidR="008B79A6">
              <w:rPr>
                <w:lang w:val="en-AU"/>
              </w:rPr>
              <w:t>.</w:t>
            </w:r>
          </w:p>
        </w:tc>
        <w:tc>
          <w:tcPr>
            <w:tcW w:w="4791" w:type="dxa"/>
          </w:tcPr>
          <w:p w14:paraId="3E166EB2" w14:textId="6C409EF9" w:rsidR="00D5449A" w:rsidRDefault="00B93719" w:rsidP="00D5449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In addition</w:t>
            </w:r>
            <w:r w:rsidR="0032782E">
              <w:rPr>
                <w:color w:val="auto"/>
                <w:lang w:val="en-AU"/>
              </w:rPr>
              <w:t xml:space="preserve"> to their inquiry question</w:t>
            </w:r>
            <w:r w:rsidR="00673652">
              <w:rPr>
                <w:color w:val="auto"/>
                <w:lang w:val="en-AU"/>
              </w:rPr>
              <w:t>s</w:t>
            </w:r>
            <w:r>
              <w:rPr>
                <w:color w:val="auto"/>
                <w:lang w:val="en-AU"/>
              </w:rPr>
              <w:t xml:space="preserve">, </w:t>
            </w:r>
            <w:r w:rsidR="00A7090D">
              <w:rPr>
                <w:color w:val="auto"/>
                <w:lang w:val="en-AU"/>
              </w:rPr>
              <w:t xml:space="preserve">students ask </w:t>
            </w:r>
            <w:r w:rsidR="00065072">
              <w:rPr>
                <w:color w:val="auto"/>
                <w:lang w:val="en-AU"/>
              </w:rPr>
              <w:t xml:space="preserve">and classify </w:t>
            </w:r>
            <w:r w:rsidR="00A7090D">
              <w:rPr>
                <w:color w:val="auto"/>
                <w:lang w:val="en-AU"/>
              </w:rPr>
              <w:t>different types of questions relating to</w:t>
            </w:r>
            <w:r w:rsidR="00173248">
              <w:rPr>
                <w:color w:val="auto"/>
                <w:lang w:val="en-AU"/>
              </w:rPr>
              <w:t xml:space="preserve"> their career</w:t>
            </w:r>
            <w:r w:rsidR="007E3DCC">
              <w:rPr>
                <w:color w:val="auto"/>
                <w:lang w:val="en-AU"/>
              </w:rPr>
              <w:t>-</w:t>
            </w:r>
            <w:r w:rsidR="00173248">
              <w:rPr>
                <w:color w:val="auto"/>
                <w:lang w:val="en-AU"/>
              </w:rPr>
              <w:t>related inquiry. For example</w:t>
            </w:r>
            <w:r w:rsidR="007E3DCC">
              <w:rPr>
                <w:color w:val="auto"/>
                <w:lang w:val="en-AU"/>
              </w:rPr>
              <w:t>,</w:t>
            </w:r>
            <w:r w:rsidR="00173248">
              <w:rPr>
                <w:color w:val="auto"/>
                <w:lang w:val="en-AU"/>
              </w:rPr>
              <w:t xml:space="preserve"> questions related to researching a career</w:t>
            </w:r>
            <w:r w:rsidR="007E3DCC">
              <w:rPr>
                <w:color w:val="auto"/>
                <w:lang w:val="en-AU"/>
              </w:rPr>
              <w:t xml:space="preserve"> of interest</w:t>
            </w:r>
            <w:r w:rsidR="00173248">
              <w:rPr>
                <w:color w:val="auto"/>
                <w:lang w:val="en-AU"/>
              </w:rPr>
              <w:t xml:space="preserve"> could include</w:t>
            </w:r>
            <w:r w:rsidR="00A7090D">
              <w:rPr>
                <w:color w:val="auto"/>
                <w:lang w:val="en-AU"/>
              </w:rPr>
              <w:t xml:space="preserve"> </w:t>
            </w:r>
            <w:r w:rsidR="00065072">
              <w:rPr>
                <w:color w:val="auto"/>
                <w:lang w:val="en-AU"/>
              </w:rPr>
              <w:t xml:space="preserve">the </w:t>
            </w:r>
            <w:r w:rsidR="00A7090D">
              <w:rPr>
                <w:color w:val="auto"/>
                <w:lang w:val="en-AU"/>
              </w:rPr>
              <w:t>career goa</w:t>
            </w:r>
            <w:r w:rsidR="007E3DCC">
              <w:rPr>
                <w:color w:val="auto"/>
                <w:lang w:val="en-AU"/>
              </w:rPr>
              <w:t>l</w:t>
            </w:r>
            <w:r w:rsidR="00144151">
              <w:rPr>
                <w:color w:val="auto"/>
                <w:lang w:val="en-AU"/>
              </w:rPr>
              <w:t>, such as</w:t>
            </w:r>
            <w:r w:rsidR="00D5449A">
              <w:rPr>
                <w:color w:val="auto"/>
                <w:lang w:val="en-AU"/>
              </w:rPr>
              <w:t xml:space="preserve">: </w:t>
            </w:r>
          </w:p>
          <w:p w14:paraId="01632EDB" w14:textId="5AE15A14" w:rsidR="009558CD" w:rsidRDefault="009558CD">
            <w:pPr>
              <w:pStyle w:val="VCAAtablecondensedbullet"/>
            </w:pPr>
            <w:r>
              <w:t>What skills might I develop in</w:t>
            </w:r>
            <w:r w:rsidR="00B07F9C">
              <w:t xml:space="preserve"> relation to</w:t>
            </w:r>
            <w:r>
              <w:t xml:space="preserve"> this </w:t>
            </w:r>
            <w:r w:rsidR="00065072">
              <w:t>goal</w:t>
            </w:r>
            <w:r>
              <w:t xml:space="preserve">? </w:t>
            </w:r>
          </w:p>
          <w:p w14:paraId="7279DA82" w14:textId="1483E323" w:rsidR="00155084" w:rsidRPr="00B74D78" w:rsidRDefault="00155084" w:rsidP="00144151">
            <w:pPr>
              <w:pStyle w:val="VCAAtablecondensedbullet"/>
            </w:pPr>
            <w:r>
              <w:t>What knowledge or experience would help me be successful in achieving this goal?</w:t>
            </w:r>
          </w:p>
        </w:tc>
      </w:tr>
      <w:tr w:rsidR="00254888" w:rsidRPr="008C0A84" w14:paraId="3F7C9F0C" w14:textId="77777777" w:rsidTr="00144151">
        <w:tc>
          <w:tcPr>
            <w:tcW w:w="0" w:type="dxa"/>
          </w:tcPr>
          <w:p w14:paraId="2F08EA27" w14:textId="77777777" w:rsidR="003C2CC8" w:rsidRDefault="008D1591" w:rsidP="0048438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initiates a class discussion where students volunteer to compare the types of questions they have asked. </w:t>
            </w:r>
          </w:p>
          <w:p w14:paraId="446FB8DB" w14:textId="1BBDBB7E" w:rsidR="00A03A7A" w:rsidRPr="008C0A84" w:rsidRDefault="008D1591" w:rsidP="00E5075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The class decides which types of questions would be most suitable</w:t>
            </w:r>
            <w:r w:rsidR="00E50753">
              <w:rPr>
                <w:lang w:val="en-AU"/>
              </w:rPr>
              <w:t xml:space="preserve"> to help structure</w:t>
            </w:r>
            <w:r>
              <w:rPr>
                <w:lang w:val="en-AU"/>
              </w:rPr>
              <w:t xml:space="preserve"> the</w:t>
            </w:r>
            <w:r w:rsidR="00645309">
              <w:rPr>
                <w:lang w:val="en-AU"/>
              </w:rPr>
              <w:t xml:space="preserve">ir </w:t>
            </w:r>
            <w:r>
              <w:rPr>
                <w:lang w:val="en-AU"/>
              </w:rPr>
              <w:t>inquiry</w:t>
            </w:r>
            <w:r w:rsidR="00EB0127">
              <w:rPr>
                <w:lang w:val="en-AU"/>
              </w:rPr>
              <w:t xml:space="preserve"> or research</w:t>
            </w:r>
            <w:r>
              <w:rPr>
                <w:lang w:val="en-AU"/>
              </w:rPr>
              <w:t>.</w:t>
            </w:r>
            <w:r w:rsidR="00BB1119">
              <w:t xml:space="preserve"> Teacher </w:t>
            </w:r>
            <w:r w:rsidR="00BB1119">
              <w:rPr>
                <w:lang w:val="en-AU"/>
              </w:rPr>
              <w:t>models</w:t>
            </w:r>
            <w:r w:rsidR="00BB1119" w:rsidRPr="00BB1119">
              <w:rPr>
                <w:lang w:val="en-AU"/>
              </w:rPr>
              <w:t xml:space="preserve"> how to refine the </w:t>
            </w:r>
            <w:r w:rsidR="00BB1119">
              <w:rPr>
                <w:lang w:val="en-AU"/>
              </w:rPr>
              <w:t xml:space="preserve">suitable </w:t>
            </w:r>
            <w:r w:rsidR="00BB1119" w:rsidRPr="00BB1119">
              <w:rPr>
                <w:lang w:val="en-AU"/>
              </w:rPr>
              <w:t>questions to be good/effective research question</w:t>
            </w:r>
            <w:r w:rsidR="00BB1119">
              <w:rPr>
                <w:lang w:val="en-AU"/>
              </w:rPr>
              <w:t>s</w:t>
            </w:r>
            <w:r w:rsidR="00BB1119" w:rsidRPr="00BB1119">
              <w:rPr>
                <w:lang w:val="en-AU"/>
              </w:rPr>
              <w:t>.</w:t>
            </w:r>
            <w:r w:rsidR="00BB1119">
              <w:rPr>
                <w:lang w:val="en-AU"/>
              </w:rPr>
              <w:t xml:space="preserve"> Characteristics of effective research questions include being clear, researchable, and possible to answer.</w:t>
            </w:r>
          </w:p>
        </w:tc>
        <w:tc>
          <w:tcPr>
            <w:tcW w:w="0" w:type="dxa"/>
          </w:tcPr>
          <w:p w14:paraId="29DE3DFD" w14:textId="33533FA7" w:rsidR="000D768E" w:rsidRDefault="00544B82" w:rsidP="000D768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In addition, students write a short reflection on </w:t>
            </w:r>
            <w:r w:rsidR="00144151">
              <w:rPr>
                <w:lang w:val="en-AU"/>
              </w:rPr>
              <w:t>which</w:t>
            </w:r>
            <w:r>
              <w:rPr>
                <w:lang w:val="en-AU"/>
              </w:rPr>
              <w:t xml:space="preserve"> type of questions relating to the broader inquiry are most relevant for their career goals.</w:t>
            </w:r>
          </w:p>
          <w:p w14:paraId="0D137BAF" w14:textId="233C2E13" w:rsidR="000D768E" w:rsidRPr="00B74D78" w:rsidRDefault="000D768E" w:rsidP="00EB0127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lastRenderedPageBreak/>
              <w:t xml:space="preserve">Relevance to personal careers goals should be one consideration when determining </w:t>
            </w:r>
            <w:r w:rsidR="005C4915">
              <w:rPr>
                <w:lang w:val="en-AU"/>
              </w:rPr>
              <w:t>the questions</w:t>
            </w:r>
            <w:r>
              <w:rPr>
                <w:lang w:val="en-AU"/>
              </w:rPr>
              <w:t xml:space="preserve"> used in the broader inquiry</w:t>
            </w:r>
            <w:r w:rsidR="00EB0127">
              <w:rPr>
                <w:lang w:val="en-AU"/>
              </w:rPr>
              <w:t xml:space="preserve"> or research</w:t>
            </w:r>
            <w:r>
              <w:rPr>
                <w:lang w:val="en-AU"/>
              </w:rPr>
              <w:t>.</w:t>
            </w:r>
            <w:r w:rsidR="00155084">
              <w:rPr>
                <w:lang w:val="en-AU"/>
              </w:rPr>
              <w:t xml:space="preserve"> S</w:t>
            </w:r>
            <w:r w:rsidR="00155084" w:rsidRPr="00155084">
              <w:rPr>
                <w:lang w:val="en-AU"/>
              </w:rPr>
              <w:t>tudents identify one or two questions with a career focus as part of their inquiry</w:t>
            </w:r>
            <w:r w:rsidR="00462409">
              <w:rPr>
                <w:lang w:val="en-AU"/>
              </w:rPr>
              <w:t>.</w:t>
            </w:r>
          </w:p>
        </w:tc>
      </w:tr>
      <w:tr w:rsidR="00F97271" w:rsidRPr="008C0A84" w14:paraId="3B702413" w14:textId="77777777" w:rsidTr="00FF1DA7">
        <w:tc>
          <w:tcPr>
            <w:tcW w:w="5098" w:type="dxa"/>
            <w:tcBorders>
              <w:bottom w:val="single" w:sz="4" w:space="0" w:color="auto"/>
            </w:tcBorders>
          </w:tcPr>
          <w:p w14:paraId="728ECF88" w14:textId="77777777" w:rsidR="00F97271" w:rsidRDefault="00F97271" w:rsidP="0048438A">
            <w:pPr>
              <w:pStyle w:val="VCAAtablecondensed"/>
              <w:rPr>
                <w:lang w:val="en-AU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6BBC8CBD" w14:textId="5D7A29CC" w:rsidR="00F97271" w:rsidRDefault="00B34838" w:rsidP="000D768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e</w:t>
            </w:r>
            <w:r w:rsidR="00F97271">
              <w:rPr>
                <w:lang w:val="en-AU"/>
              </w:rPr>
              <w:t>ncourage</w:t>
            </w:r>
            <w:r>
              <w:rPr>
                <w:lang w:val="en-AU"/>
              </w:rPr>
              <w:t>s</w:t>
            </w:r>
            <w:r w:rsidR="00F97271">
              <w:rPr>
                <w:lang w:val="en-AU"/>
              </w:rPr>
              <w:t xml:space="preserve"> students to collate their insight in a career planning tool such as a Career Action </w:t>
            </w:r>
            <w:r w:rsidR="002C12E8">
              <w:rPr>
                <w:lang w:val="en-AU"/>
              </w:rPr>
              <w:t>P</w:t>
            </w:r>
            <w:r w:rsidR="00F97271">
              <w:rPr>
                <w:lang w:val="en-AU"/>
              </w:rPr>
              <w:t xml:space="preserve">lan </w:t>
            </w:r>
            <w:r w:rsidR="00155084">
              <w:rPr>
                <w:lang w:val="en-AU"/>
              </w:rPr>
              <w:t xml:space="preserve">(CAP) </w:t>
            </w:r>
            <w:r w:rsidR="00F97271">
              <w:rPr>
                <w:lang w:val="en-AU"/>
              </w:rPr>
              <w:t xml:space="preserve">or e-portfolio. For example, </w:t>
            </w:r>
            <w:r w:rsidR="00155084">
              <w:rPr>
                <w:lang w:val="en-AU"/>
              </w:rPr>
              <w:t>once students have answered the refined/effective questions relating to their career goal, they incorporate their findings into the CAP.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B8C7A50" w14:textId="76271D79" w:rsidR="008D57CA" w:rsidRPr="002C12E8" w:rsidRDefault="00A32D85" w:rsidP="006B1C77">
      <w:pPr>
        <w:pStyle w:val="VCAAbullet"/>
      </w:pPr>
      <w:r>
        <w:t xml:space="preserve">This activity can exist in a cross-curricular context by connecting with subject-specific inquiries, identifying </w:t>
      </w:r>
      <w:r w:rsidR="0031363A">
        <w:t xml:space="preserve">a broad topic </w:t>
      </w:r>
      <w:r w:rsidR="006313B1">
        <w:t>and asking smaller questions in response</w:t>
      </w:r>
      <w:r w:rsidR="0031363A">
        <w:t>.</w:t>
      </w:r>
      <w:r w:rsidRPr="00DB533D">
        <w:t xml:space="preserve"> </w:t>
      </w:r>
      <w:r w:rsidR="0031363A">
        <w:t>For example,</w:t>
      </w:r>
      <w:r w:rsidR="006A7062">
        <w:t xml:space="preserve"> in a Level 9</w:t>
      </w:r>
      <w:r w:rsidR="003D7F14">
        <w:t>–</w:t>
      </w:r>
      <w:r w:rsidR="006A7062">
        <w:t>10 Science inquiry</w:t>
      </w:r>
      <w:r w:rsidR="006313B1">
        <w:t xml:space="preserve"> on the ‘</w:t>
      </w:r>
      <w:r w:rsidR="006313B1" w:rsidRPr="006313B1">
        <w:rPr>
          <w:szCs w:val="18"/>
        </w:rPr>
        <w:t xml:space="preserve">origin of the </w:t>
      </w:r>
      <w:r w:rsidR="003D7F14">
        <w:rPr>
          <w:szCs w:val="18"/>
        </w:rPr>
        <w:t>u</w:t>
      </w:r>
      <w:r w:rsidR="003D7F14" w:rsidRPr="006313B1">
        <w:rPr>
          <w:szCs w:val="18"/>
        </w:rPr>
        <w:t>niverse</w:t>
      </w:r>
      <w:r w:rsidR="003D7F14">
        <w:t>’</w:t>
      </w:r>
      <w:r w:rsidR="00FF1DA7">
        <w:t>,</w:t>
      </w:r>
      <w:r w:rsidR="006313B1">
        <w:t xml:space="preserve"> question</w:t>
      </w:r>
      <w:r w:rsidR="00FF1DA7">
        <w:t>s</w:t>
      </w:r>
      <w:r w:rsidR="006313B1">
        <w:t xml:space="preserve"> </w:t>
      </w:r>
      <w:r w:rsidR="00FF1DA7">
        <w:t>could range from</w:t>
      </w:r>
      <w:r w:rsidR="006313B1">
        <w:t xml:space="preserve"> ‘What do our books say about the age of the moon?’ (Closed/Textual question)</w:t>
      </w:r>
      <w:r w:rsidR="00FF1DA7">
        <w:t xml:space="preserve"> to </w:t>
      </w:r>
      <w:r w:rsidR="006A7062">
        <w:t>‘</w:t>
      </w:r>
      <w:r w:rsidR="00355C31">
        <w:t xml:space="preserve">Could a </w:t>
      </w:r>
      <w:r w:rsidR="006A7062">
        <w:t xml:space="preserve">universe have developed if physical constants were slightly different?’ (Open/Intellectual question). </w:t>
      </w:r>
      <w:r w:rsidR="00105350">
        <w:t xml:space="preserve">A career-related question to consider could be ‘What training does an astrophysicist need?’. </w:t>
      </w:r>
    </w:p>
    <w:p w14:paraId="2175AED5" w14:textId="7A88DE2E" w:rsidR="00EE2DB5" w:rsidRDefault="00DB533D" w:rsidP="00EE2DB5">
      <w:pPr>
        <w:pStyle w:val="VCAAHeading4"/>
        <w:rPr>
          <w:lang w:val="en-AU"/>
        </w:rPr>
      </w:pPr>
      <w:r>
        <w:t xml:space="preserve">Additional resources to help when adapting the </w:t>
      </w:r>
      <w:r w:rsidR="00EE2DB5" w:rsidRPr="008C0A84">
        <w:rPr>
          <w:lang w:val="en-AU"/>
        </w:rPr>
        <w:t>learning activity</w:t>
      </w:r>
    </w:p>
    <w:p w14:paraId="5433FAE4" w14:textId="36B0BF6F" w:rsidR="003C394F" w:rsidRPr="00B553D0" w:rsidRDefault="00CA29AF" w:rsidP="006B1C77">
      <w:pPr>
        <w:pStyle w:val="VCAAbullet"/>
        <w:rPr>
          <w:lang w:val="en-AU" w:eastAsia="en-AU"/>
        </w:rPr>
      </w:pPr>
      <w:r w:rsidRPr="00144151">
        <w:rPr>
          <w:szCs w:val="18"/>
        </w:rPr>
        <w:t>Philosophy in Education</w:t>
      </w:r>
      <w:r w:rsidR="00105350">
        <w:t xml:space="preserve">, </w:t>
      </w:r>
      <w:hyperlink r:id="rId12" w:history="1">
        <w:r w:rsidR="00105350" w:rsidRPr="00144151">
          <w:rPr>
            <w:rStyle w:val="Hyperlink"/>
          </w:rPr>
          <w:t>Question quadrant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411B55D" w:rsidR="00F01253" w:rsidRPr="00694B9F" w:rsidRDefault="00B67E8B" w:rsidP="00F01253">
      <w:pPr>
        <w:pStyle w:val="VCAAbody"/>
        <w:rPr>
          <w:color w:val="auto"/>
          <w:sz w:val="28"/>
          <w:lang w:val="en-AU"/>
        </w:rPr>
      </w:pPr>
      <w:r w:rsidRPr="00B67E8B">
        <w:rPr>
          <w:lang w:val="en-AU"/>
        </w:rPr>
        <w:t>Know yourself – self-development</w:t>
      </w:r>
      <w:r w:rsidR="00F01253" w:rsidRPr="00694B9F">
        <w:rPr>
          <w:color w:val="auto"/>
          <w:lang w:val="en-AU"/>
        </w:rPr>
        <w:t xml:space="preserve">: </w:t>
      </w:r>
    </w:p>
    <w:p w14:paraId="05B87CF5" w14:textId="26678502" w:rsidR="00DB533D" w:rsidRPr="00694B9F" w:rsidRDefault="00A3300F" w:rsidP="006B1C77">
      <w:pPr>
        <w:pStyle w:val="VCAAbullet"/>
      </w:pPr>
      <w:r>
        <w:t>By asking questions that relate to both their learning and their future,</w:t>
      </w:r>
      <w:r w:rsidR="00D5449A">
        <w:t xml:space="preserve"> </w:t>
      </w:r>
      <w:r w:rsidR="00B67E8B">
        <w:t xml:space="preserve">students </w:t>
      </w:r>
      <w:r>
        <w:t>can better understand</w:t>
      </w:r>
      <w:r w:rsidR="00D5449A">
        <w:t xml:space="preserve"> their own goals and aspirations</w:t>
      </w:r>
      <w:r>
        <w:t>, or identify new areas for personal growth</w:t>
      </w:r>
      <w:r w:rsidR="00D5449A">
        <w:t xml:space="preserve">. </w:t>
      </w:r>
    </w:p>
    <w:p w14:paraId="66FA02DD" w14:textId="6C66577E" w:rsidR="00F01253" w:rsidRPr="00694B9F" w:rsidRDefault="00B67E8B" w:rsidP="00144151">
      <w:pPr>
        <w:pStyle w:val="VCAAbody"/>
        <w:rPr>
          <w:lang w:val="en-AU"/>
        </w:rPr>
      </w:pPr>
      <w:r w:rsidRPr="00B67E8B">
        <w:rPr>
          <w:lang w:val="en-AU"/>
        </w:rPr>
        <w:t>Know your world – career exploration</w:t>
      </w:r>
      <w:r w:rsidR="00F01253" w:rsidRPr="00694B9F">
        <w:rPr>
          <w:lang w:val="en-AU"/>
        </w:rPr>
        <w:t xml:space="preserve">: </w:t>
      </w:r>
    </w:p>
    <w:p w14:paraId="1BE379EE" w14:textId="2D377EB3" w:rsidR="00A3300F" w:rsidRDefault="00B67E8B" w:rsidP="006B1C77">
      <w:pPr>
        <w:pStyle w:val="VCAAbullet"/>
      </w:pPr>
      <w:r>
        <w:t xml:space="preserve">Asking and classifying questions </w:t>
      </w:r>
      <w:r w:rsidR="00A3300F">
        <w:t>help</w:t>
      </w:r>
      <w:r>
        <w:t>s</w:t>
      </w:r>
      <w:r w:rsidR="00A3300F">
        <w:t xml:space="preserve"> students to take ownership of their learning, which is an important part of becoming a lifelong learner.</w:t>
      </w:r>
    </w:p>
    <w:p w14:paraId="235EE798" w14:textId="42259503" w:rsidR="00DB533D" w:rsidRPr="00694B9F" w:rsidRDefault="00A3300F" w:rsidP="006B1C77">
      <w:pPr>
        <w:pStyle w:val="VCAAbullet"/>
      </w:pPr>
      <w:r>
        <w:t xml:space="preserve">Asking open-ended questions in particular can help students to reflect on the role that work should have in their own lives, as well as in broader society. </w:t>
      </w:r>
    </w:p>
    <w:p w14:paraId="5E11C16D" w14:textId="450471AB" w:rsidR="00F01253" w:rsidRPr="00694B9F" w:rsidRDefault="00B67E8B" w:rsidP="00144151">
      <w:pPr>
        <w:pStyle w:val="VCAAbody"/>
        <w:rPr>
          <w:lang w:val="en-AU"/>
        </w:rPr>
      </w:pPr>
      <w:r w:rsidRPr="00B67E8B">
        <w:rPr>
          <w:lang w:val="en-AU"/>
        </w:rPr>
        <w:t>Manage your future – be proactive</w:t>
      </w:r>
      <w:r w:rsidR="00F01253" w:rsidRPr="00694B9F">
        <w:rPr>
          <w:lang w:val="en-AU"/>
        </w:rPr>
        <w:t xml:space="preserve">: </w:t>
      </w:r>
    </w:p>
    <w:p w14:paraId="5DD6FFBA" w14:textId="0E350BB6" w:rsidR="00F01253" w:rsidRPr="006B1C77" w:rsidRDefault="00A3300F" w:rsidP="00144151">
      <w:pPr>
        <w:pStyle w:val="VCAAbullet"/>
      </w:pPr>
      <w:r>
        <w:t xml:space="preserve">Breaking bigger topics down into smaller parts by using different types of questions is one way that students can develop their </w:t>
      </w:r>
      <w:r w:rsidRPr="00144151">
        <w:rPr>
          <w:bCs/>
        </w:rPr>
        <w:t>decision-making skills</w:t>
      </w:r>
      <w:r w:rsidR="00144151">
        <w:t>:</w:t>
      </w:r>
      <w:r>
        <w:t xml:space="preserve"> for example, identifying how to tackle an open-ended problem, or to weigh up different potential approaches to an issue.</w:t>
      </w:r>
    </w:p>
    <w:sectPr w:rsidR="00F01253" w:rsidRPr="006B1C77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02927" w16cid:durableId="2315B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44151" w:rsidRDefault="0014415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44151" w:rsidRDefault="0014415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4415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144151" w:rsidRPr="00D06414" w:rsidRDefault="0014415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144151" w:rsidRPr="00D06414" w:rsidRDefault="001441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5E5A4B4" w:rsidR="00144151" w:rsidRPr="00D06414" w:rsidRDefault="001441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7040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44151" w:rsidRPr="00D06414" w:rsidRDefault="001441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4415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44151" w:rsidRPr="00D06414" w:rsidRDefault="001441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44151" w:rsidRPr="00D06414" w:rsidRDefault="001441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44151" w:rsidRPr="00D06414" w:rsidRDefault="001441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44151" w:rsidRPr="00D06414" w:rsidRDefault="001441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44151" w:rsidRDefault="0014415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44151" w:rsidRDefault="0014415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45C04ED" w:rsidR="00144151" w:rsidRDefault="00144151" w:rsidP="0038622E">
    <w:pPr>
      <w:pStyle w:val="VCAAbody"/>
    </w:pPr>
    <w:r>
      <w:t>Embedding career education in the Victorian Curriculum F–10 – Critical and Creative Thinking, Levels 9 and 10</w:t>
    </w:r>
  </w:p>
  <w:p w14:paraId="0F4EB06A" w14:textId="77777777" w:rsidR="00144151" w:rsidRPr="0038622E" w:rsidRDefault="00144151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44151" w:rsidRPr="009370BC" w:rsidRDefault="0014415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86B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5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A7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189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61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42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03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9AB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23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CB033DB"/>
    <w:multiLevelType w:val="hybridMultilevel"/>
    <w:tmpl w:val="1A3EF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E1700A36"/>
    <w:lvl w:ilvl="0" w:tplc="28628E2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72A03C9E"/>
    <w:multiLevelType w:val="hybridMultilevel"/>
    <w:tmpl w:val="82A69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0364B"/>
    <w:multiLevelType w:val="hybridMultilevel"/>
    <w:tmpl w:val="4B90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33048"/>
    <w:rsid w:val="0005780E"/>
    <w:rsid w:val="00061F75"/>
    <w:rsid w:val="00065072"/>
    <w:rsid w:val="00065CC6"/>
    <w:rsid w:val="00072AF1"/>
    <w:rsid w:val="00086CFC"/>
    <w:rsid w:val="00091F25"/>
    <w:rsid w:val="00097F58"/>
    <w:rsid w:val="000A71F7"/>
    <w:rsid w:val="000B152F"/>
    <w:rsid w:val="000D768E"/>
    <w:rsid w:val="000F09E4"/>
    <w:rsid w:val="000F16FD"/>
    <w:rsid w:val="000F5AAF"/>
    <w:rsid w:val="00105350"/>
    <w:rsid w:val="001057F2"/>
    <w:rsid w:val="001222FA"/>
    <w:rsid w:val="0012374D"/>
    <w:rsid w:val="00143520"/>
    <w:rsid w:val="00144151"/>
    <w:rsid w:val="00153AD2"/>
    <w:rsid w:val="00155084"/>
    <w:rsid w:val="00173248"/>
    <w:rsid w:val="001779EA"/>
    <w:rsid w:val="001926FE"/>
    <w:rsid w:val="001A028F"/>
    <w:rsid w:val="001A39A9"/>
    <w:rsid w:val="001D3246"/>
    <w:rsid w:val="001E2722"/>
    <w:rsid w:val="001F5D88"/>
    <w:rsid w:val="0021071C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12E8"/>
    <w:rsid w:val="002C6F90"/>
    <w:rsid w:val="002E4FB5"/>
    <w:rsid w:val="00301207"/>
    <w:rsid w:val="00302FB8"/>
    <w:rsid w:val="00304EA1"/>
    <w:rsid w:val="00306E41"/>
    <w:rsid w:val="00307944"/>
    <w:rsid w:val="0031363A"/>
    <w:rsid w:val="00314D81"/>
    <w:rsid w:val="00322FC6"/>
    <w:rsid w:val="0032782E"/>
    <w:rsid w:val="0035293F"/>
    <w:rsid w:val="00355C31"/>
    <w:rsid w:val="0038622E"/>
    <w:rsid w:val="00391986"/>
    <w:rsid w:val="00392864"/>
    <w:rsid w:val="003A00B4"/>
    <w:rsid w:val="003C2CC8"/>
    <w:rsid w:val="003C394F"/>
    <w:rsid w:val="003C5E71"/>
    <w:rsid w:val="003D7F14"/>
    <w:rsid w:val="003F28BE"/>
    <w:rsid w:val="004037C1"/>
    <w:rsid w:val="00411D26"/>
    <w:rsid w:val="00416922"/>
    <w:rsid w:val="00417AA3"/>
    <w:rsid w:val="00421DB1"/>
    <w:rsid w:val="00425DFE"/>
    <w:rsid w:val="00425FD1"/>
    <w:rsid w:val="00434EDB"/>
    <w:rsid w:val="00440B32"/>
    <w:rsid w:val="00457521"/>
    <w:rsid w:val="0046078D"/>
    <w:rsid w:val="00462409"/>
    <w:rsid w:val="00471AED"/>
    <w:rsid w:val="0048438A"/>
    <w:rsid w:val="00495592"/>
    <w:rsid w:val="00495C80"/>
    <w:rsid w:val="004A2ED8"/>
    <w:rsid w:val="004D70CD"/>
    <w:rsid w:val="004F5BDA"/>
    <w:rsid w:val="004F6DE0"/>
    <w:rsid w:val="0051631E"/>
    <w:rsid w:val="00537A1F"/>
    <w:rsid w:val="00544B82"/>
    <w:rsid w:val="00563E1D"/>
    <w:rsid w:val="00566029"/>
    <w:rsid w:val="00567A20"/>
    <w:rsid w:val="00567FD3"/>
    <w:rsid w:val="00571A18"/>
    <w:rsid w:val="005923CB"/>
    <w:rsid w:val="005B391B"/>
    <w:rsid w:val="005B5B50"/>
    <w:rsid w:val="005C4915"/>
    <w:rsid w:val="005D3D78"/>
    <w:rsid w:val="005D7236"/>
    <w:rsid w:val="005E2EF0"/>
    <w:rsid w:val="005F4092"/>
    <w:rsid w:val="00610518"/>
    <w:rsid w:val="006313B1"/>
    <w:rsid w:val="00645309"/>
    <w:rsid w:val="00673652"/>
    <w:rsid w:val="0068471E"/>
    <w:rsid w:val="00684F98"/>
    <w:rsid w:val="00693FFD"/>
    <w:rsid w:val="00694B9F"/>
    <w:rsid w:val="006A7062"/>
    <w:rsid w:val="006B1C77"/>
    <w:rsid w:val="006D2159"/>
    <w:rsid w:val="006F3192"/>
    <w:rsid w:val="006F58F8"/>
    <w:rsid w:val="006F787C"/>
    <w:rsid w:val="00701C58"/>
    <w:rsid w:val="00702636"/>
    <w:rsid w:val="00724507"/>
    <w:rsid w:val="007623B9"/>
    <w:rsid w:val="007662E0"/>
    <w:rsid w:val="00773E6C"/>
    <w:rsid w:val="00781FB1"/>
    <w:rsid w:val="007A0E4B"/>
    <w:rsid w:val="007D0B37"/>
    <w:rsid w:val="007D1B6D"/>
    <w:rsid w:val="007D6335"/>
    <w:rsid w:val="007E3DCC"/>
    <w:rsid w:val="007E7D1F"/>
    <w:rsid w:val="007F1196"/>
    <w:rsid w:val="00813C37"/>
    <w:rsid w:val="008154B5"/>
    <w:rsid w:val="008174D4"/>
    <w:rsid w:val="00823962"/>
    <w:rsid w:val="0084275A"/>
    <w:rsid w:val="00852719"/>
    <w:rsid w:val="00860115"/>
    <w:rsid w:val="00862F22"/>
    <w:rsid w:val="0088783C"/>
    <w:rsid w:val="008B1278"/>
    <w:rsid w:val="008B79A6"/>
    <w:rsid w:val="008C0A84"/>
    <w:rsid w:val="008D0ABF"/>
    <w:rsid w:val="008D1591"/>
    <w:rsid w:val="008D57CA"/>
    <w:rsid w:val="008F1C0D"/>
    <w:rsid w:val="00905484"/>
    <w:rsid w:val="00910BBB"/>
    <w:rsid w:val="009370BC"/>
    <w:rsid w:val="009558CD"/>
    <w:rsid w:val="00970580"/>
    <w:rsid w:val="0098739B"/>
    <w:rsid w:val="009B61E5"/>
    <w:rsid w:val="009D0BE9"/>
    <w:rsid w:val="009D1E89"/>
    <w:rsid w:val="009E5707"/>
    <w:rsid w:val="00A03A7A"/>
    <w:rsid w:val="00A13223"/>
    <w:rsid w:val="00A17661"/>
    <w:rsid w:val="00A24B2D"/>
    <w:rsid w:val="00A27DCD"/>
    <w:rsid w:val="00A32D85"/>
    <w:rsid w:val="00A3300F"/>
    <w:rsid w:val="00A40966"/>
    <w:rsid w:val="00A50E81"/>
    <w:rsid w:val="00A7090D"/>
    <w:rsid w:val="00A921E0"/>
    <w:rsid w:val="00A922F4"/>
    <w:rsid w:val="00AD59D5"/>
    <w:rsid w:val="00AE0712"/>
    <w:rsid w:val="00AE5526"/>
    <w:rsid w:val="00AF051B"/>
    <w:rsid w:val="00B01578"/>
    <w:rsid w:val="00B0738F"/>
    <w:rsid w:val="00B07F9C"/>
    <w:rsid w:val="00B13D3B"/>
    <w:rsid w:val="00B21909"/>
    <w:rsid w:val="00B230DB"/>
    <w:rsid w:val="00B26601"/>
    <w:rsid w:val="00B30E01"/>
    <w:rsid w:val="00B34838"/>
    <w:rsid w:val="00B41951"/>
    <w:rsid w:val="00B51FA6"/>
    <w:rsid w:val="00B53229"/>
    <w:rsid w:val="00B553D0"/>
    <w:rsid w:val="00B62480"/>
    <w:rsid w:val="00B67E8B"/>
    <w:rsid w:val="00B74D78"/>
    <w:rsid w:val="00B81B70"/>
    <w:rsid w:val="00B93719"/>
    <w:rsid w:val="00BA0249"/>
    <w:rsid w:val="00BB1119"/>
    <w:rsid w:val="00BB3BAB"/>
    <w:rsid w:val="00BD0724"/>
    <w:rsid w:val="00BD2B91"/>
    <w:rsid w:val="00BD49C5"/>
    <w:rsid w:val="00BE5521"/>
    <w:rsid w:val="00BF6C23"/>
    <w:rsid w:val="00C2005D"/>
    <w:rsid w:val="00C53263"/>
    <w:rsid w:val="00C6415E"/>
    <w:rsid w:val="00C75F1D"/>
    <w:rsid w:val="00C8266B"/>
    <w:rsid w:val="00C95156"/>
    <w:rsid w:val="00CA0DC2"/>
    <w:rsid w:val="00CA29AF"/>
    <w:rsid w:val="00CB68E8"/>
    <w:rsid w:val="00CF1BB4"/>
    <w:rsid w:val="00D04F01"/>
    <w:rsid w:val="00D06414"/>
    <w:rsid w:val="00D20E44"/>
    <w:rsid w:val="00D24E5A"/>
    <w:rsid w:val="00D338E4"/>
    <w:rsid w:val="00D35D07"/>
    <w:rsid w:val="00D36FA7"/>
    <w:rsid w:val="00D4304F"/>
    <w:rsid w:val="00D51947"/>
    <w:rsid w:val="00D532F0"/>
    <w:rsid w:val="00D5449A"/>
    <w:rsid w:val="00D71EFC"/>
    <w:rsid w:val="00D77413"/>
    <w:rsid w:val="00D82759"/>
    <w:rsid w:val="00D86DE4"/>
    <w:rsid w:val="00DB533D"/>
    <w:rsid w:val="00DC35FD"/>
    <w:rsid w:val="00DD0DD0"/>
    <w:rsid w:val="00DE1909"/>
    <w:rsid w:val="00DE51DB"/>
    <w:rsid w:val="00E23E12"/>
    <w:rsid w:val="00E23F1D"/>
    <w:rsid w:val="00E30E05"/>
    <w:rsid w:val="00E36361"/>
    <w:rsid w:val="00E50753"/>
    <w:rsid w:val="00E546DE"/>
    <w:rsid w:val="00E55AE9"/>
    <w:rsid w:val="00E56D1D"/>
    <w:rsid w:val="00E9294E"/>
    <w:rsid w:val="00E9592C"/>
    <w:rsid w:val="00EA2830"/>
    <w:rsid w:val="00EB0127"/>
    <w:rsid w:val="00EB0C84"/>
    <w:rsid w:val="00EB64BB"/>
    <w:rsid w:val="00ED116A"/>
    <w:rsid w:val="00EE2DB5"/>
    <w:rsid w:val="00EF1E25"/>
    <w:rsid w:val="00EF583C"/>
    <w:rsid w:val="00F01253"/>
    <w:rsid w:val="00F17FDE"/>
    <w:rsid w:val="00F2423F"/>
    <w:rsid w:val="00F40D53"/>
    <w:rsid w:val="00F4525C"/>
    <w:rsid w:val="00F50D86"/>
    <w:rsid w:val="00F6610F"/>
    <w:rsid w:val="00F7040D"/>
    <w:rsid w:val="00F77215"/>
    <w:rsid w:val="00F774B4"/>
    <w:rsid w:val="00F97271"/>
    <w:rsid w:val="00FB23F1"/>
    <w:rsid w:val="00FB5C35"/>
    <w:rsid w:val="00FD29D3"/>
    <w:rsid w:val="00FE2873"/>
    <w:rsid w:val="00FE3F0B"/>
    <w:rsid w:val="00FF1DA7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B1C77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34838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6DE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ilosophyineducation.com/resources/Question+Quadra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CCTQ04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EFCE-0369-44D2-BA6B-9D5C52412AEF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72260-A814-4740-96A4-2CD42DF6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Critical and Creative Thinking</cp:keywords>
  <cp:lastModifiedBy>Witt, Kylie I</cp:lastModifiedBy>
  <cp:revision>3</cp:revision>
  <cp:lastPrinted>2020-03-04T04:43:00Z</cp:lastPrinted>
  <dcterms:created xsi:type="dcterms:W3CDTF">2020-09-23T01:41:00Z</dcterms:created>
  <dcterms:modified xsi:type="dcterms:W3CDTF">2020-09-30T04:12:00Z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