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1A598018" w:rsidR="00086CFC" w:rsidRDefault="00C2005D" w:rsidP="005A50E9">
      <w:pPr>
        <w:pStyle w:val="VCAAHeading1"/>
      </w:pPr>
      <w:r>
        <w:t>E</w:t>
      </w:r>
      <w:r w:rsidR="00E56D1D">
        <w:t>m</w:t>
      </w:r>
      <w:r w:rsidR="007E7D1F">
        <w:t xml:space="preserve">bedding </w:t>
      </w:r>
      <w:r w:rsidR="000E3FFE">
        <w:t>career education</w:t>
      </w:r>
      <w:r w:rsidR="007E7D1F">
        <w:t xml:space="preserve"> in </w:t>
      </w:r>
      <w:r w:rsidR="00E56D1D">
        <w:t>the Victorian Curriculum F–10</w:t>
      </w:r>
      <w:r w:rsidR="00086CFC">
        <w:t xml:space="preserve"> </w:t>
      </w:r>
    </w:p>
    <w:p w14:paraId="309AA2D5" w14:textId="600B0682" w:rsidR="004F6DE0" w:rsidRPr="008C0A84" w:rsidRDefault="00307944" w:rsidP="004F6DE0">
      <w:pPr>
        <w:pStyle w:val="VCAAHeading2"/>
        <w:rPr>
          <w:lang w:val="en-AU"/>
        </w:rPr>
      </w:pPr>
      <w:bookmarkStart w:id="0" w:name="TemplateOverview"/>
      <w:bookmarkEnd w:id="0"/>
      <w:r>
        <w:rPr>
          <w:lang w:val="en-AU"/>
        </w:rPr>
        <w:t>Ethical</w:t>
      </w:r>
      <w:r w:rsidR="001E2722">
        <w:rPr>
          <w:lang w:val="en-AU"/>
        </w:rPr>
        <w:t xml:space="preserve"> Capability</w:t>
      </w:r>
      <w:r w:rsidR="006F58F8">
        <w:rPr>
          <w:lang w:val="en-AU"/>
        </w:rPr>
        <w:t>, Levels 9</w:t>
      </w:r>
      <w:r w:rsidR="004F6DE0" w:rsidRPr="008C0A84">
        <w:rPr>
          <w:lang w:val="en-AU"/>
        </w:rPr>
        <w:t xml:space="preserve"> and </w:t>
      </w:r>
      <w:r w:rsidR="006F58F8">
        <w:rPr>
          <w:lang w:val="en-AU"/>
        </w:rPr>
        <w:t>10</w:t>
      </w:r>
    </w:p>
    <w:p w14:paraId="2E354ED1" w14:textId="7693E764"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0E3FFE">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5FC1CF1" w:rsidR="008B1278" w:rsidRPr="008C0A84" w:rsidRDefault="008B1278" w:rsidP="005A50E9">
      <w:pPr>
        <w:pStyle w:val="VCAAbody-withlargetabandhangingindent"/>
      </w:pPr>
      <w:r w:rsidRPr="008C0A84">
        <w:rPr>
          <w:b/>
        </w:rPr>
        <w:t>Curriculum area and levels:</w:t>
      </w:r>
      <w:r w:rsidRPr="008C0A84">
        <w:tab/>
      </w:r>
      <w:r w:rsidR="00307944">
        <w:t>Ethical</w:t>
      </w:r>
      <w:r w:rsidR="00EB64BB">
        <w:t xml:space="preserve"> Capability</w:t>
      </w:r>
      <w:r w:rsidRPr="008C0A84">
        <w:t xml:space="preserve">, Levels </w:t>
      </w:r>
      <w:r w:rsidR="006F58F8">
        <w:t>9</w:t>
      </w:r>
      <w:r w:rsidRPr="008C0A84">
        <w:t xml:space="preserve"> and </w:t>
      </w:r>
      <w:r w:rsidR="006F58F8">
        <w:t>10</w:t>
      </w:r>
    </w:p>
    <w:p w14:paraId="1FB5B60B" w14:textId="5699FC8B" w:rsidR="008B1278" w:rsidRPr="005A50E9" w:rsidRDefault="00254888" w:rsidP="008B1278">
      <w:pPr>
        <w:pStyle w:val="VCAAbody-withlargetabandhangingindent"/>
        <w:rPr>
          <w:rStyle w:val="Hyperlink"/>
        </w:rPr>
      </w:pPr>
      <w:r w:rsidRPr="008C0A84">
        <w:rPr>
          <w:b/>
        </w:rPr>
        <w:t>Relevant c</w:t>
      </w:r>
      <w:r w:rsidR="008B1278" w:rsidRPr="008C0A84">
        <w:rPr>
          <w:b/>
        </w:rPr>
        <w:t>ontent description:</w:t>
      </w:r>
      <w:r w:rsidR="006F58F8">
        <w:tab/>
      </w:r>
      <w:r w:rsidR="001C5A3C" w:rsidRPr="001C5A3C">
        <w:t>Distinguish between the ethical and non-ethical dimensions of complex issues, including the distinction between ethical and legal issues (</w:t>
      </w:r>
      <w:hyperlink r:id="rId11" w:history="1">
        <w:r w:rsidR="001C5A3C" w:rsidRPr="00684ACF">
          <w:rPr>
            <w:rStyle w:val="Hyperlink"/>
          </w:rPr>
          <w:t>VCECU021</w:t>
        </w:r>
      </w:hyperlink>
      <w:r w:rsidR="001C5A3C" w:rsidRPr="001C5A3C">
        <w:t>)</w:t>
      </w:r>
    </w:p>
    <w:p w14:paraId="36A2C730" w14:textId="09BDEE5C"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574D5F">
        <w:t>Analysing the ethical and non-ethical obligations in a hypothetical scenario in a school setting, such as the use of quotas.</w:t>
      </w:r>
      <w:r w:rsidR="00D35D07">
        <w:t xml:space="preserve"> </w:t>
      </w:r>
    </w:p>
    <w:p w14:paraId="2364A01C" w14:textId="5134C86F" w:rsidR="00421DB1" w:rsidRPr="008C0A84" w:rsidRDefault="00421DB1" w:rsidP="00B51FA6">
      <w:pPr>
        <w:pStyle w:val="VCAAbody-withlargetabandhangingindent"/>
      </w:pPr>
      <w:r w:rsidRPr="005A50E9">
        <w:rPr>
          <w:b/>
          <w:bCs/>
        </w:rPr>
        <w:t>Summary of adaptation, change, addition:</w:t>
      </w:r>
      <w:r>
        <w:tab/>
      </w:r>
      <w:r w:rsidR="00A77E07" w:rsidRPr="005A50E9">
        <w:t>Identify</w:t>
      </w:r>
      <w:r w:rsidR="00574D5F">
        <w:t>ing</w:t>
      </w:r>
      <w:r w:rsidR="00666B34" w:rsidRPr="005A50E9">
        <w:t xml:space="preserve"> tensions between</w:t>
      </w:r>
      <w:r w:rsidR="001C5A3C" w:rsidRPr="005A50E9">
        <w:t xml:space="preserve"> ethical and non-ethical considerations (such as practical or legal requirements)</w:t>
      </w:r>
      <w:r w:rsidR="00A77E07" w:rsidRPr="005A50E9">
        <w:t xml:space="preserve"> in a contemporary workplace context, such as the use of quotas</w:t>
      </w:r>
      <w:r w:rsidR="001C5A3C" w:rsidRPr="005A50E9">
        <w:t>.</w:t>
      </w:r>
    </w:p>
    <w:p w14:paraId="65DFB73F" w14:textId="70FA3B63" w:rsidR="00254888" w:rsidRDefault="00254888" w:rsidP="005A50E9">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0E3FFE">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957"/>
        <w:gridCol w:w="4932"/>
      </w:tblGrid>
      <w:tr w:rsidR="00254888" w:rsidRPr="008C0A84" w14:paraId="47FFE019" w14:textId="77777777" w:rsidTr="005A50E9">
        <w:trPr>
          <w:cnfStyle w:val="100000000000" w:firstRow="1" w:lastRow="0" w:firstColumn="0" w:lastColumn="0" w:oddVBand="0" w:evenVBand="0" w:oddHBand="0" w:evenHBand="0" w:firstRowFirstColumn="0" w:firstRowLastColumn="0" w:lastRowFirstColumn="0" w:lastRowLastColumn="0"/>
        </w:trPr>
        <w:tc>
          <w:tcPr>
            <w:tcW w:w="4957"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4932"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5A50E9">
        <w:tc>
          <w:tcPr>
            <w:tcW w:w="4957" w:type="dxa"/>
          </w:tcPr>
          <w:p w14:paraId="457E642B" w14:textId="3C57DF47" w:rsidR="00254888" w:rsidRDefault="00684ACF" w:rsidP="00212537">
            <w:pPr>
              <w:pStyle w:val="VCAAtablecondensed"/>
              <w:rPr>
                <w:lang w:val="en-AU"/>
              </w:rPr>
            </w:pPr>
            <w:r>
              <w:rPr>
                <w:lang w:val="en-AU"/>
              </w:rPr>
              <w:t>Teacher facilitates a c</w:t>
            </w:r>
            <w:r w:rsidR="00212537">
              <w:rPr>
                <w:lang w:val="en-AU"/>
              </w:rPr>
              <w:t>lass discussion regarding the distinction between ethical and legal obligations, noting in particular:</w:t>
            </w:r>
          </w:p>
          <w:p w14:paraId="3A57E5F7" w14:textId="11DF4CE3" w:rsidR="00212537" w:rsidRDefault="0051438D" w:rsidP="005A50E9">
            <w:pPr>
              <w:pStyle w:val="VCAAtablecondensedbullet"/>
            </w:pPr>
            <w:r>
              <w:t>i</w:t>
            </w:r>
            <w:r w:rsidR="00212537">
              <w:t>nstances where past laws have been arguably unethical</w:t>
            </w:r>
            <w:r>
              <w:t xml:space="preserve"> (such as laws that restrict the rights of certain groups)</w:t>
            </w:r>
            <w:r w:rsidR="00212537">
              <w:t xml:space="preserve"> </w:t>
            </w:r>
          </w:p>
          <w:p w14:paraId="37AABF58" w14:textId="03998104" w:rsidR="00212537" w:rsidRDefault="0051438D">
            <w:pPr>
              <w:pStyle w:val="VCAAtablecondensedbullet"/>
            </w:pPr>
            <w:r>
              <w:t>i</w:t>
            </w:r>
            <w:r w:rsidR="003A2270">
              <w:t xml:space="preserve">nstances where it is not practical to make </w:t>
            </w:r>
            <w:r w:rsidR="00212537">
              <w:t>ethical c</w:t>
            </w:r>
            <w:r w:rsidR="003A2270">
              <w:t>hoices</w:t>
            </w:r>
            <w:r w:rsidR="00212537">
              <w:t xml:space="preserve"> binding</w:t>
            </w:r>
            <w:r w:rsidR="003A2270">
              <w:t xml:space="preserve"> (e.g. enforcing promise-keeping)</w:t>
            </w:r>
          </w:p>
          <w:p w14:paraId="5C042821" w14:textId="70BEB23B" w:rsidR="002055B8" w:rsidRDefault="002055B8" w:rsidP="005A50E9">
            <w:pPr>
              <w:pStyle w:val="VCAAtablecondensedbullet"/>
            </w:pPr>
            <w:r>
              <w:t xml:space="preserve">instances where ethical obligations become legal obligations, but the change is met with resistance </w:t>
            </w:r>
          </w:p>
          <w:p w14:paraId="46A85701" w14:textId="6813BD22" w:rsidR="0051438D" w:rsidRPr="008C0A84" w:rsidRDefault="0051438D" w:rsidP="005A50E9">
            <w:pPr>
              <w:pStyle w:val="VCAAtablecondensedbullet"/>
            </w:pPr>
            <w:r>
              <w:t>instances where ethical obligations contradict or challenge existing rules</w:t>
            </w:r>
            <w:r w:rsidR="00936A78">
              <w:t>/laws</w:t>
            </w:r>
            <w:r>
              <w:t>.</w:t>
            </w:r>
          </w:p>
        </w:tc>
        <w:tc>
          <w:tcPr>
            <w:tcW w:w="4932" w:type="dxa"/>
          </w:tcPr>
          <w:p w14:paraId="7572F23E" w14:textId="2A9F9289" w:rsidR="00D13BB9" w:rsidRDefault="00880043" w:rsidP="00D13BB9">
            <w:pPr>
              <w:pStyle w:val="VCAAtablecondensed"/>
              <w:rPr>
                <w:lang w:val="en-AU"/>
              </w:rPr>
            </w:pPr>
            <w:r>
              <w:rPr>
                <w:lang w:val="en-AU"/>
              </w:rPr>
              <w:t>T</w:t>
            </w:r>
            <w:r>
              <w:t>eacher leads brainstorm to generate examples for each category from the existing activity, drawing on students’ experience of or assumptions about the workplace.</w:t>
            </w:r>
          </w:p>
          <w:p w14:paraId="092660B4" w14:textId="09F1AF06" w:rsidR="00D13BB9" w:rsidRPr="00D13BB9" w:rsidRDefault="000219B2" w:rsidP="00D13BB9">
            <w:pPr>
              <w:pStyle w:val="VCAAtablecondensed"/>
              <w:rPr>
                <w:lang w:val="en-AU"/>
              </w:rPr>
            </w:pPr>
            <w:r>
              <w:rPr>
                <w:lang w:val="en-AU"/>
              </w:rPr>
              <w:t>For example, p</w:t>
            </w:r>
            <w:r w:rsidR="00880043">
              <w:rPr>
                <w:lang w:val="en-AU"/>
              </w:rPr>
              <w:t xml:space="preserve">reviously, the obligation to have good hygiene in a workplace was </w:t>
            </w:r>
            <w:r>
              <w:rPr>
                <w:lang w:val="en-AU"/>
              </w:rPr>
              <w:t xml:space="preserve">primarily </w:t>
            </w:r>
            <w:r w:rsidR="00880043">
              <w:rPr>
                <w:lang w:val="en-AU"/>
              </w:rPr>
              <w:t xml:space="preserve">an ethical </w:t>
            </w:r>
            <w:r w:rsidR="002055B8">
              <w:rPr>
                <w:lang w:val="en-AU"/>
              </w:rPr>
              <w:t>one,</w:t>
            </w:r>
            <w:r w:rsidR="00880043">
              <w:rPr>
                <w:lang w:val="en-AU"/>
              </w:rPr>
              <w:t xml:space="preserve"> whereas </w:t>
            </w:r>
            <w:r w:rsidR="002055B8">
              <w:rPr>
                <w:lang w:val="en-AU"/>
              </w:rPr>
              <w:t>post-COVID-19, it</w:t>
            </w:r>
            <w:r w:rsidR="00880043">
              <w:rPr>
                <w:lang w:val="en-AU"/>
              </w:rPr>
              <w:t xml:space="preserve"> seen as a legal </w:t>
            </w:r>
            <w:r w:rsidR="002055B8">
              <w:rPr>
                <w:lang w:val="en-AU"/>
              </w:rPr>
              <w:t>Occupational Health and Safety issue, which some members of the community protest.</w:t>
            </w:r>
            <w:r w:rsidR="00880043">
              <w:rPr>
                <w:lang w:val="en-AU"/>
              </w:rPr>
              <w:t xml:space="preserve"> </w:t>
            </w:r>
          </w:p>
        </w:tc>
      </w:tr>
      <w:tr w:rsidR="00254888" w:rsidRPr="008C0A84" w14:paraId="47C09381" w14:textId="77777777" w:rsidTr="005A50E9">
        <w:tc>
          <w:tcPr>
            <w:tcW w:w="4957" w:type="dxa"/>
          </w:tcPr>
          <w:p w14:paraId="10AEACD5" w14:textId="07CCD9CB" w:rsidR="008E1A80" w:rsidRDefault="003B3C55" w:rsidP="00956258">
            <w:pPr>
              <w:pStyle w:val="VCAAtablecondensed"/>
              <w:rPr>
                <w:lang w:val="en-AU"/>
              </w:rPr>
            </w:pPr>
            <w:r>
              <w:rPr>
                <w:lang w:val="en-AU"/>
              </w:rPr>
              <w:t xml:space="preserve">Teacher introduces a hypothetical scenario for students to apply their understanding of the distinction between ethical and legal obligations, and the tensions that may arise as a result. </w:t>
            </w:r>
          </w:p>
          <w:p w14:paraId="62633F73" w14:textId="5654DCFD" w:rsidR="00956258" w:rsidRDefault="003B3C55" w:rsidP="00956258">
            <w:pPr>
              <w:pStyle w:val="VCAAtablecondensed"/>
              <w:rPr>
                <w:lang w:val="en-AU"/>
              </w:rPr>
            </w:pPr>
            <w:r>
              <w:rPr>
                <w:lang w:val="en-AU"/>
              </w:rPr>
              <w:t>For example:</w:t>
            </w:r>
          </w:p>
          <w:p w14:paraId="10C2893A" w14:textId="0D08250A" w:rsidR="006F6561" w:rsidRDefault="003B3C55" w:rsidP="00956258">
            <w:pPr>
              <w:pStyle w:val="VCAAtablecondensed"/>
              <w:rPr>
                <w:i/>
                <w:iCs/>
                <w:lang w:val="en-AU"/>
              </w:rPr>
            </w:pPr>
            <w:r w:rsidRPr="005A50E9">
              <w:rPr>
                <w:i/>
                <w:iCs/>
                <w:lang w:val="en-AU"/>
              </w:rPr>
              <w:t xml:space="preserve">Teachers introduce an informal </w:t>
            </w:r>
            <w:r w:rsidR="008E1A80">
              <w:rPr>
                <w:i/>
                <w:iCs/>
                <w:lang w:val="en-AU"/>
              </w:rPr>
              <w:t>policy</w:t>
            </w:r>
            <w:r w:rsidRPr="005A50E9">
              <w:rPr>
                <w:i/>
                <w:iCs/>
                <w:lang w:val="en-AU"/>
              </w:rPr>
              <w:t xml:space="preserve"> that there needs to be equal gender representation in the school’s mixed table tennis team, regardless of the merit of the players.</w:t>
            </w:r>
            <w:r w:rsidR="006F6561">
              <w:rPr>
                <w:i/>
                <w:iCs/>
                <w:lang w:val="en-AU"/>
              </w:rPr>
              <w:t xml:space="preserve"> This policy has come about because female players have been underrepresented in </w:t>
            </w:r>
            <w:r w:rsidR="006F6561">
              <w:rPr>
                <w:i/>
                <w:iCs/>
                <w:lang w:val="en-AU"/>
              </w:rPr>
              <w:lastRenderedPageBreak/>
              <w:t>the team in the past. Without being on the team, female players have less access to resources to practise.</w:t>
            </w:r>
            <w:r w:rsidR="008E1A80">
              <w:rPr>
                <w:i/>
                <w:iCs/>
                <w:lang w:val="en-AU"/>
              </w:rPr>
              <w:t xml:space="preserve"> Female students have expressed interest in joining the team, but are discouraged by the current gender balance and perceived skill disparity.</w:t>
            </w:r>
          </w:p>
          <w:p w14:paraId="0B6F30F5" w14:textId="5EC87BB7" w:rsidR="003B3C55" w:rsidRPr="005A50E9" w:rsidRDefault="003B3C55" w:rsidP="00956258">
            <w:pPr>
              <w:pStyle w:val="VCAAtablecondensed"/>
              <w:rPr>
                <w:i/>
                <w:iCs/>
                <w:lang w:val="en-AU"/>
              </w:rPr>
            </w:pPr>
            <w:r w:rsidRPr="005A50E9">
              <w:rPr>
                <w:i/>
                <w:iCs/>
                <w:lang w:val="en-AU"/>
              </w:rPr>
              <w:t xml:space="preserve">If the school were to adopt this policy, they would be the only team in the </w:t>
            </w:r>
            <w:r w:rsidR="006F6561">
              <w:rPr>
                <w:i/>
                <w:iCs/>
                <w:lang w:val="en-AU"/>
              </w:rPr>
              <w:t xml:space="preserve">local </w:t>
            </w:r>
            <w:r w:rsidRPr="005A50E9">
              <w:rPr>
                <w:i/>
                <w:iCs/>
                <w:lang w:val="en-AU"/>
              </w:rPr>
              <w:t xml:space="preserve">competition to do so. There is no rule preventing the use of quotas. </w:t>
            </w:r>
          </w:p>
          <w:p w14:paraId="123E135F" w14:textId="69CDDEDF" w:rsidR="00212537" w:rsidRPr="00212537" w:rsidRDefault="003B3C55" w:rsidP="00FB4755">
            <w:pPr>
              <w:pStyle w:val="VCAAtablecondensed"/>
              <w:rPr>
                <w:lang w:val="en-AU"/>
              </w:rPr>
            </w:pPr>
            <w:r>
              <w:rPr>
                <w:lang w:val="en-AU"/>
              </w:rPr>
              <w:t xml:space="preserve">Students should discuss how they feel about the introduction of quotas in this situation. </w:t>
            </w:r>
            <w:r w:rsidR="006F6561">
              <w:rPr>
                <w:lang w:val="en-AU"/>
              </w:rPr>
              <w:t xml:space="preserve">What are the ‘legal’ and ethical obligations? </w:t>
            </w:r>
            <w:r>
              <w:rPr>
                <w:lang w:val="en-AU"/>
              </w:rPr>
              <w:t xml:space="preserve">Do they think </w:t>
            </w:r>
            <w:r w:rsidR="006F6561">
              <w:rPr>
                <w:lang w:val="en-AU"/>
              </w:rPr>
              <w:t>the new policy</w:t>
            </w:r>
            <w:r>
              <w:rPr>
                <w:lang w:val="en-AU"/>
              </w:rPr>
              <w:t xml:space="preserve"> is fair? What benefits/challenges can they identify?</w:t>
            </w:r>
            <w:r w:rsidR="006F6561">
              <w:rPr>
                <w:lang w:val="en-AU"/>
              </w:rPr>
              <w:t xml:space="preserve"> </w:t>
            </w:r>
          </w:p>
        </w:tc>
        <w:tc>
          <w:tcPr>
            <w:tcW w:w="4932" w:type="dxa"/>
          </w:tcPr>
          <w:p w14:paraId="6BB72906" w14:textId="74C9327C" w:rsidR="00072AF1" w:rsidRDefault="004A76E7" w:rsidP="00B51FA6">
            <w:pPr>
              <w:pStyle w:val="VCAAtablecondensed"/>
              <w:rPr>
                <w:color w:val="auto"/>
                <w:lang w:val="en-AU"/>
              </w:rPr>
            </w:pPr>
            <w:r>
              <w:rPr>
                <w:color w:val="auto"/>
                <w:lang w:val="en-AU"/>
              </w:rPr>
              <w:lastRenderedPageBreak/>
              <w:t>As an extension</w:t>
            </w:r>
            <w:r w:rsidR="002055B8">
              <w:rPr>
                <w:color w:val="auto"/>
                <w:lang w:val="en-AU"/>
              </w:rPr>
              <w:t xml:space="preserve"> of the </w:t>
            </w:r>
            <w:bookmarkStart w:id="1" w:name="_GoBack"/>
            <w:bookmarkEnd w:id="1"/>
            <w:r w:rsidR="002055B8">
              <w:rPr>
                <w:color w:val="auto"/>
                <w:lang w:val="en-AU"/>
              </w:rPr>
              <w:t>existing activity, teacher</w:t>
            </w:r>
            <w:r w:rsidR="00936A78">
              <w:rPr>
                <w:color w:val="auto"/>
                <w:lang w:val="en-AU"/>
              </w:rPr>
              <w:t xml:space="preserve"> i</w:t>
            </w:r>
            <w:r w:rsidR="007F6B61">
              <w:rPr>
                <w:color w:val="auto"/>
                <w:lang w:val="en-AU"/>
              </w:rPr>
              <w:t>dentif</w:t>
            </w:r>
            <w:r w:rsidR="00DB1655">
              <w:rPr>
                <w:color w:val="auto"/>
                <w:lang w:val="en-AU"/>
              </w:rPr>
              <w:t>ies</w:t>
            </w:r>
            <w:r w:rsidR="007F6B61">
              <w:rPr>
                <w:color w:val="auto"/>
                <w:lang w:val="en-AU"/>
              </w:rPr>
              <w:t xml:space="preserve"> </w:t>
            </w:r>
            <w:r w:rsidR="00936A78">
              <w:rPr>
                <w:color w:val="auto"/>
                <w:lang w:val="en-AU"/>
              </w:rPr>
              <w:t xml:space="preserve">a </w:t>
            </w:r>
            <w:r w:rsidR="007F6B61">
              <w:rPr>
                <w:color w:val="auto"/>
                <w:lang w:val="en-AU"/>
              </w:rPr>
              <w:t>contemporary workplace issue</w:t>
            </w:r>
            <w:r w:rsidR="00DB1655">
              <w:rPr>
                <w:color w:val="auto"/>
                <w:lang w:val="en-AU"/>
              </w:rPr>
              <w:t xml:space="preserve"> where ethical and legal obligations are at odds, or where legal requirements fall short of ethical obligations.</w:t>
            </w:r>
          </w:p>
          <w:p w14:paraId="7279DA82" w14:textId="5BA062C5" w:rsidR="007F6B61" w:rsidRPr="00B74D78" w:rsidRDefault="007F6B61" w:rsidP="005A50E9">
            <w:pPr>
              <w:pStyle w:val="VCAAtablecondensed"/>
            </w:pPr>
            <w:r>
              <w:rPr>
                <w:color w:val="auto"/>
                <w:lang w:val="en-AU"/>
              </w:rPr>
              <w:t xml:space="preserve">For </w:t>
            </w:r>
            <w:r w:rsidR="003A2270">
              <w:rPr>
                <w:color w:val="auto"/>
                <w:lang w:val="en-AU"/>
              </w:rPr>
              <w:t>example</w:t>
            </w:r>
            <w:r w:rsidR="002055B8">
              <w:rPr>
                <w:color w:val="auto"/>
                <w:lang w:val="en-AU"/>
              </w:rPr>
              <w:t xml:space="preserve">, teacher directs students to consider the issue of </w:t>
            </w:r>
            <w:r w:rsidR="00936A78">
              <w:t>i</w:t>
            </w:r>
            <w:r>
              <w:t xml:space="preserve">mproving leadership </w:t>
            </w:r>
            <w:r w:rsidR="00DB1655">
              <w:t xml:space="preserve">opportunities </w:t>
            </w:r>
            <w:r>
              <w:t>for women and minority groups using quotas. To what extent can laws improve equality?</w:t>
            </w:r>
            <w:r w:rsidR="00936A78">
              <w:t xml:space="preserve"> What are the limitations of the law on this issue? (i.e. there are </w:t>
            </w:r>
            <w:r w:rsidR="00936A78">
              <w:lastRenderedPageBreak/>
              <w:t xml:space="preserve">laws that prohibit discrimination against women for having children, yet discrimination persists in many forms.) </w:t>
            </w:r>
            <w:r>
              <w:t xml:space="preserve"> </w:t>
            </w:r>
          </w:p>
        </w:tc>
      </w:tr>
      <w:tr w:rsidR="00254888" w:rsidRPr="008C0A84" w14:paraId="3F7C9F0C" w14:textId="77777777" w:rsidTr="005A50E9">
        <w:tc>
          <w:tcPr>
            <w:tcW w:w="4957" w:type="dxa"/>
          </w:tcPr>
          <w:p w14:paraId="446FB8DB" w14:textId="1D852052" w:rsidR="00B97968" w:rsidRPr="008C0A84" w:rsidRDefault="003B3C55" w:rsidP="00A77E07">
            <w:pPr>
              <w:pStyle w:val="VCAAtablecondensed"/>
              <w:rPr>
                <w:lang w:val="en-AU"/>
              </w:rPr>
            </w:pPr>
            <w:r>
              <w:rPr>
                <w:lang w:val="en-AU"/>
              </w:rPr>
              <w:lastRenderedPageBreak/>
              <w:t xml:space="preserve">Students then consider a situation where the mixed table tennis competition organisers introduced a rule mandating equal representation of genders. Students reflect on whether their position </w:t>
            </w:r>
            <w:r w:rsidR="008A4A7F">
              <w:rPr>
                <w:lang w:val="en-AU"/>
              </w:rPr>
              <w:t>changes based on quotas being a result of a rule, rather than being an informal school policy.</w:t>
            </w:r>
          </w:p>
        </w:tc>
        <w:tc>
          <w:tcPr>
            <w:tcW w:w="4932" w:type="dxa"/>
          </w:tcPr>
          <w:p w14:paraId="0D137BAF" w14:textId="2F79BF23" w:rsidR="00254888" w:rsidRPr="00B74D78" w:rsidRDefault="002055B8" w:rsidP="005A50E9">
            <w:pPr>
              <w:pStyle w:val="VCAAtablecondensed"/>
              <w:rPr>
                <w:color w:val="auto"/>
                <w:lang w:val="en-AU"/>
              </w:rPr>
            </w:pPr>
            <w:r>
              <w:rPr>
                <w:color w:val="auto"/>
                <w:lang w:val="en-AU"/>
              </w:rPr>
              <w:t>Students consider a workplace scenario where there are very entrenched views that would be challenged by a change in legal obligations. For example, they imagine a workplace where the board of directors is opposed to gender quotas but has to meet them legally. Would the legal quotas change the views of the members of the board? Why/why not?</w:t>
            </w:r>
            <w:r w:rsidDel="002055B8">
              <w:rPr>
                <w:color w:val="auto"/>
                <w:lang w:val="en-AU"/>
              </w:rPr>
              <w:t xml:space="preserve"> </w:t>
            </w:r>
          </w:p>
        </w:tc>
      </w:tr>
      <w:tr w:rsidR="00A77E07" w:rsidRPr="008C0A84" w14:paraId="75FC70CE" w14:textId="77777777" w:rsidTr="005A50E9">
        <w:tc>
          <w:tcPr>
            <w:tcW w:w="4957" w:type="dxa"/>
            <w:tcBorders>
              <w:bottom w:val="single" w:sz="4" w:space="0" w:color="auto"/>
            </w:tcBorders>
          </w:tcPr>
          <w:p w14:paraId="0AE60FD3" w14:textId="77777777" w:rsidR="00A77E07" w:rsidRDefault="00A77E07" w:rsidP="00A77E07">
            <w:pPr>
              <w:pStyle w:val="VCAAtablecondensed"/>
              <w:rPr>
                <w:lang w:val="en-AU"/>
              </w:rPr>
            </w:pPr>
            <w:r>
              <w:rPr>
                <w:lang w:val="en-AU"/>
              </w:rPr>
              <w:t>With reference to previous activities, students write a short answer response to the following questions:</w:t>
            </w:r>
          </w:p>
          <w:p w14:paraId="34EBDAB1" w14:textId="3DF1767A" w:rsidR="00A77E07" w:rsidRDefault="00A77E07" w:rsidP="005A50E9">
            <w:pPr>
              <w:pStyle w:val="VCAAtablecondensedbullet"/>
            </w:pPr>
            <w:r>
              <w:t xml:space="preserve">In what ways can </w:t>
            </w:r>
            <w:r w:rsidR="00936A78">
              <w:t xml:space="preserve">laws/rules </w:t>
            </w:r>
            <w:r>
              <w:t xml:space="preserve">support ethical decision-making? </w:t>
            </w:r>
          </w:p>
          <w:p w14:paraId="38A42FEF" w14:textId="1374A81D" w:rsidR="00A77E07" w:rsidRDefault="00A77E07" w:rsidP="005A50E9">
            <w:pPr>
              <w:pStyle w:val="VCAAtablecondensedbullet"/>
            </w:pPr>
            <w:r>
              <w:t xml:space="preserve">In what ways might </w:t>
            </w:r>
            <w:r w:rsidR="00936A78">
              <w:t xml:space="preserve">laws/rules </w:t>
            </w:r>
            <w:r w:rsidR="00345DF2">
              <w:t>be at tension with</w:t>
            </w:r>
            <w:r>
              <w:t xml:space="preserve"> ethical decision-making?  </w:t>
            </w:r>
          </w:p>
        </w:tc>
        <w:tc>
          <w:tcPr>
            <w:tcW w:w="4932" w:type="dxa"/>
            <w:tcBorders>
              <w:bottom w:val="single" w:sz="4" w:space="0" w:color="auto"/>
            </w:tcBorders>
          </w:tcPr>
          <w:p w14:paraId="64A94109" w14:textId="661DC3A1" w:rsidR="002055B8" w:rsidRDefault="002055B8" w:rsidP="00B51FA6">
            <w:pPr>
              <w:pStyle w:val="VCAAtablecondensed"/>
              <w:rPr>
                <w:lang w:val="en-AU"/>
              </w:rPr>
            </w:pPr>
            <w:r>
              <w:rPr>
                <w:lang w:val="en-AU"/>
              </w:rPr>
              <w:t xml:space="preserve">Students reflect on and articulate </w:t>
            </w:r>
            <w:r w:rsidR="000219B2">
              <w:rPr>
                <w:lang w:val="en-AU"/>
              </w:rPr>
              <w:t>what</w:t>
            </w:r>
            <w:r>
              <w:rPr>
                <w:lang w:val="en-AU"/>
              </w:rPr>
              <w:t xml:space="preserve"> the issues raised in the activity means to them personally. Has it given them insight into future career planning? Students think about how they would respond in the scenario explored</w:t>
            </w:r>
            <w:r w:rsidR="00345DF2">
              <w:rPr>
                <w:lang w:val="en-AU"/>
              </w:rPr>
              <w:t>, or how they would feel if they couldn’t respond in the way they’d like to</w:t>
            </w:r>
            <w:r>
              <w:rPr>
                <w:lang w:val="en-AU"/>
              </w:rPr>
              <w:t>.</w:t>
            </w:r>
          </w:p>
          <w:p w14:paraId="0DCFBFC4" w14:textId="235E1D35" w:rsidR="00A77E07" w:rsidRPr="00B74D78" w:rsidRDefault="00A77E07" w:rsidP="00B51FA6">
            <w:pPr>
              <w:pStyle w:val="VCAAtablecondensed"/>
              <w:rPr>
                <w:lang w:val="en-AU"/>
              </w:rPr>
            </w:pP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7B8C7A50" w14:textId="6C631D4A" w:rsidR="008D57CA" w:rsidRPr="005A50E9" w:rsidRDefault="005221BD" w:rsidP="005221BD">
      <w:pPr>
        <w:pStyle w:val="VCAAbullet"/>
        <w:rPr>
          <w:lang w:val="en-AU" w:eastAsia="en-AU"/>
        </w:rPr>
      </w:pPr>
      <w:r>
        <w:rPr>
          <w:szCs w:val="18"/>
        </w:rPr>
        <w:t xml:space="preserve">In some examples, students should be provided with supporting statistics so as not to rely entirely on ethical intuitions. For example, </w:t>
      </w:r>
      <w:r w:rsidR="000E3FFE">
        <w:rPr>
          <w:szCs w:val="18"/>
        </w:rPr>
        <w:t xml:space="preserve">students could consider </w:t>
      </w:r>
      <w:r w:rsidR="00936A78">
        <w:rPr>
          <w:szCs w:val="18"/>
        </w:rPr>
        <w:t xml:space="preserve">statistics from the Workplace Gender Equality Agency </w:t>
      </w:r>
      <w:r>
        <w:rPr>
          <w:szCs w:val="18"/>
        </w:rPr>
        <w:t xml:space="preserve">in relation to gender quotas for </w:t>
      </w:r>
      <w:hyperlink r:id="rId12" w:history="1">
        <w:r w:rsidRPr="00936A78">
          <w:rPr>
            <w:rStyle w:val="Hyperlink"/>
            <w:szCs w:val="18"/>
          </w:rPr>
          <w:t>women in leadership positions</w:t>
        </w:r>
      </w:hyperlink>
      <w:r w:rsidR="00936A78">
        <w:rPr>
          <w:szCs w:val="18"/>
        </w:rPr>
        <w:t>.</w:t>
      </w:r>
      <w:r>
        <w:rPr>
          <w:szCs w:val="18"/>
        </w:rPr>
        <w:t xml:space="preserve"> </w:t>
      </w:r>
    </w:p>
    <w:p w14:paraId="075E4138" w14:textId="2714A8D4" w:rsidR="000E3FFE" w:rsidRPr="000E3FFE" w:rsidRDefault="000E3FFE">
      <w:pPr>
        <w:pStyle w:val="VCAAbullet"/>
        <w:rPr>
          <w:lang w:val="en-AU" w:eastAsia="en-AU"/>
        </w:rPr>
      </w:pPr>
      <w:r>
        <w:rPr>
          <w:lang w:val="en-AU" w:eastAsia="en-AU"/>
        </w:rPr>
        <w:t xml:space="preserve">While debates about gender quotas are sometimes framed as a debate between merit and equality in popular culture, more nuanced approaches can be found in research. For example, see relevant articles in </w:t>
      </w:r>
      <w:hyperlink r:id="rId13" w:history="1">
        <w:r w:rsidRPr="000E3FFE">
          <w:rPr>
            <w:rStyle w:val="Hyperlink"/>
            <w:lang w:val="en-AU" w:eastAsia="en-AU"/>
          </w:rPr>
          <w:t>The Conversation</w:t>
        </w:r>
      </w:hyperlink>
      <w:r>
        <w:rPr>
          <w:lang w:val="en-AU" w:eastAsia="en-AU"/>
        </w:rP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1D7F4DC3" w:rsidR="00F01253" w:rsidRPr="005A50E9" w:rsidRDefault="000E3FFE" w:rsidP="00F01253">
      <w:pPr>
        <w:pStyle w:val="VCAAbody"/>
      </w:pPr>
      <w:r w:rsidRPr="005A50E9">
        <w:t>Know yourself – self-development</w:t>
      </w:r>
      <w:r w:rsidR="00F01253" w:rsidRPr="005A50E9">
        <w:t xml:space="preserve">: </w:t>
      </w:r>
    </w:p>
    <w:p w14:paraId="05B87CF5" w14:textId="1EE6D35A" w:rsidR="00DB533D" w:rsidRPr="005A50E9" w:rsidRDefault="00CA1E9D" w:rsidP="00F01253">
      <w:pPr>
        <w:pStyle w:val="VCAAbullet"/>
      </w:pPr>
      <w:r w:rsidRPr="005A50E9">
        <w:t>Students</w:t>
      </w:r>
      <w:r w:rsidR="00595F04" w:rsidRPr="005A50E9">
        <w:t xml:space="preserve"> </w:t>
      </w:r>
      <w:r w:rsidRPr="005A50E9">
        <w:t>develop</w:t>
      </w:r>
      <w:r w:rsidR="00595F04" w:rsidRPr="005A50E9">
        <w:t xml:space="preserve"> their ethical reasoning </w:t>
      </w:r>
      <w:r w:rsidRPr="005A50E9">
        <w:t>and identify</w:t>
      </w:r>
      <w:r w:rsidR="00595F04" w:rsidRPr="005A50E9">
        <w:t xml:space="preserve"> ways in which the changing world of work</w:t>
      </w:r>
      <w:r w:rsidR="00F01253" w:rsidRPr="005A50E9">
        <w:t xml:space="preserve"> </w:t>
      </w:r>
      <w:r w:rsidR="00595F04" w:rsidRPr="005A50E9">
        <w:t>may challenge values and beliefs.</w:t>
      </w:r>
    </w:p>
    <w:p w14:paraId="66FA02DD" w14:textId="2F42672B" w:rsidR="00F01253" w:rsidRPr="00595F04" w:rsidRDefault="000E3FFE" w:rsidP="005A50E9">
      <w:pPr>
        <w:pStyle w:val="VCAAbody"/>
        <w:rPr>
          <w:lang w:val="en-AU"/>
        </w:rPr>
      </w:pPr>
      <w:r w:rsidRPr="000E3FFE">
        <w:rPr>
          <w:lang w:val="en-AU"/>
        </w:rPr>
        <w:t>Know your world – career exploration</w:t>
      </w:r>
      <w:r w:rsidR="00F01253" w:rsidRPr="00595F04">
        <w:rPr>
          <w:lang w:val="en-AU"/>
        </w:rPr>
        <w:t xml:space="preserve">: </w:t>
      </w:r>
    </w:p>
    <w:p w14:paraId="235EE798" w14:textId="03F8A68B" w:rsidR="00DB533D" w:rsidRPr="005A50E9" w:rsidRDefault="00CA1E9D" w:rsidP="00F01253">
      <w:pPr>
        <w:pStyle w:val="VCAAbullet"/>
      </w:pPr>
      <w:r w:rsidRPr="005A50E9">
        <w:t xml:space="preserve">By considering </w:t>
      </w:r>
      <w:r w:rsidR="00595F04" w:rsidRPr="005A50E9">
        <w:t>contemporary workplace issues</w:t>
      </w:r>
      <w:r w:rsidRPr="005A50E9">
        <w:t>,</w:t>
      </w:r>
      <w:r w:rsidR="00595F04" w:rsidRPr="005A50E9">
        <w:t xml:space="preserve"> </w:t>
      </w:r>
      <w:r w:rsidRPr="005A50E9">
        <w:t xml:space="preserve">students understand </w:t>
      </w:r>
      <w:r w:rsidR="00595F04" w:rsidRPr="005A50E9">
        <w:t>the influence that ethical concepts and societal values have on workplaces, as well as how work allows people to participate in society.</w:t>
      </w:r>
    </w:p>
    <w:p w14:paraId="5E11C16D" w14:textId="3E10C965" w:rsidR="00F01253" w:rsidRPr="00595F04" w:rsidRDefault="000E3FFE" w:rsidP="005A50E9">
      <w:pPr>
        <w:pStyle w:val="VCAAbody"/>
        <w:rPr>
          <w:lang w:val="en-AU"/>
        </w:rPr>
      </w:pPr>
      <w:r w:rsidRPr="000E3FFE">
        <w:rPr>
          <w:lang w:val="en-AU"/>
        </w:rPr>
        <w:t>Manage your future – be proactive</w:t>
      </w:r>
      <w:r w:rsidR="00F01253" w:rsidRPr="00595F04">
        <w:rPr>
          <w:lang w:val="en-AU"/>
        </w:rPr>
        <w:t xml:space="preserve">: </w:t>
      </w:r>
    </w:p>
    <w:p w14:paraId="5DD6FFBA" w14:textId="250B0355" w:rsidR="00F01253" w:rsidRPr="00D614FA" w:rsidRDefault="00595F04" w:rsidP="005A50E9">
      <w:pPr>
        <w:pStyle w:val="VCAAbullet"/>
      </w:pPr>
      <w:r w:rsidRPr="006F6561">
        <w:t xml:space="preserve">Focussing on a contemporary issue allows students to understand </w:t>
      </w:r>
      <w:r w:rsidRPr="005A50E9">
        <w:rPr>
          <w:bCs/>
        </w:rPr>
        <w:t>trends in how workplaces are changing</w:t>
      </w:r>
      <w:r w:rsidRPr="00D614FA">
        <w:rPr>
          <w:bCs/>
        </w:rPr>
        <w:t xml:space="preserve">. </w:t>
      </w:r>
      <w:r w:rsidR="00025602" w:rsidRPr="00D614FA">
        <w:t>This assists them to make informed choices when planning their careers.</w:t>
      </w:r>
    </w:p>
    <w:sectPr w:rsidR="00F01253" w:rsidRPr="00D614FA"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A98250" w16cid:durableId="23170C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4A76E7" w:rsidRDefault="004A76E7" w:rsidP="00304EA1">
      <w:pPr>
        <w:spacing w:after="0" w:line="240" w:lineRule="auto"/>
      </w:pPr>
      <w:r>
        <w:separator/>
      </w:r>
    </w:p>
  </w:endnote>
  <w:endnote w:type="continuationSeparator" w:id="0">
    <w:p w14:paraId="3270DF94" w14:textId="77777777" w:rsidR="004A76E7" w:rsidRDefault="004A76E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4A76E7" w:rsidRPr="00D06414" w14:paraId="6474FD3B" w14:textId="77777777" w:rsidTr="00BB3BAB">
      <w:trPr>
        <w:trHeight w:val="476"/>
      </w:trPr>
      <w:tc>
        <w:tcPr>
          <w:tcW w:w="1667" w:type="pct"/>
          <w:tcMar>
            <w:left w:w="0" w:type="dxa"/>
            <w:right w:w="0" w:type="dxa"/>
          </w:tcMar>
        </w:tcPr>
        <w:p w14:paraId="0EC15F2D" w14:textId="77777777" w:rsidR="004A76E7" w:rsidRPr="00D06414" w:rsidRDefault="004A76E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4A76E7" w:rsidRPr="00D06414" w:rsidRDefault="004A76E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3F138B0" w:rsidR="004A76E7" w:rsidRPr="00D06414" w:rsidRDefault="004A76E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7751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4A76E7" w:rsidRPr="00D06414" w:rsidRDefault="004A76E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4A76E7" w:rsidRPr="00D06414" w14:paraId="36A4ADC1" w14:textId="77777777" w:rsidTr="000F5AAF">
      <w:tc>
        <w:tcPr>
          <w:tcW w:w="1459" w:type="pct"/>
          <w:tcMar>
            <w:left w:w="0" w:type="dxa"/>
            <w:right w:w="0" w:type="dxa"/>
          </w:tcMar>
        </w:tcPr>
        <w:p w14:paraId="74DB1FC2" w14:textId="77777777" w:rsidR="004A76E7" w:rsidRPr="00D06414" w:rsidRDefault="004A76E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4A76E7" w:rsidRPr="00D06414" w:rsidRDefault="004A76E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4A76E7" w:rsidRPr="00D06414" w:rsidRDefault="004A76E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4A76E7" w:rsidRPr="00D06414" w:rsidRDefault="004A76E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4A76E7" w:rsidRDefault="004A76E7" w:rsidP="00304EA1">
      <w:pPr>
        <w:spacing w:after="0" w:line="240" w:lineRule="auto"/>
      </w:pPr>
      <w:r>
        <w:separator/>
      </w:r>
    </w:p>
  </w:footnote>
  <w:footnote w:type="continuationSeparator" w:id="0">
    <w:p w14:paraId="13540A36" w14:textId="77777777" w:rsidR="004A76E7" w:rsidRDefault="004A76E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28B8CFA" w:rsidR="004A76E7" w:rsidRDefault="004A76E7" w:rsidP="0038622E">
    <w:pPr>
      <w:pStyle w:val="VCAAbody"/>
    </w:pPr>
    <w:r>
      <w:t>Embedding career education in the Victorian Curriculum F–10 – Ethical Capability, Levels 9 and 10</w:t>
    </w:r>
  </w:p>
  <w:p w14:paraId="0F4EB06A" w14:textId="77777777" w:rsidR="004A76E7" w:rsidRPr="0038622E" w:rsidRDefault="004A76E7"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4A76E7" w:rsidRPr="009370BC" w:rsidRDefault="004A76E7"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DC2B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CADC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70A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AAD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5038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0070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A0A3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C860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844F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CAF6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07E00"/>
    <w:multiLevelType w:val="hybridMultilevel"/>
    <w:tmpl w:val="54F84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153EC2"/>
    <w:multiLevelType w:val="hybridMultilevel"/>
    <w:tmpl w:val="A3265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7CB164CD"/>
    <w:multiLevelType w:val="hybridMultilevel"/>
    <w:tmpl w:val="A3A6B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6"/>
  </w:num>
  <w:num w:numId="4">
    <w:abstractNumId w:val="12"/>
  </w:num>
  <w:num w:numId="5">
    <w:abstractNumId w:val="22"/>
  </w:num>
  <w:num w:numId="6">
    <w:abstractNumId w:val="15"/>
  </w:num>
  <w:num w:numId="7">
    <w:abstractNumId w:val="13"/>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4"/>
  </w:num>
  <w:num w:numId="21">
    <w:abstractNumId w:val="19"/>
  </w:num>
  <w:num w:numId="22">
    <w:abstractNumId w:val="11"/>
  </w:num>
  <w:num w:numId="23">
    <w:abstractNumId w:val="20"/>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6B1"/>
    <w:rsid w:val="000219B2"/>
    <w:rsid w:val="00022F80"/>
    <w:rsid w:val="00025602"/>
    <w:rsid w:val="00033048"/>
    <w:rsid w:val="0003459C"/>
    <w:rsid w:val="0005780E"/>
    <w:rsid w:val="00065CC6"/>
    <w:rsid w:val="00072AF1"/>
    <w:rsid w:val="00086CFC"/>
    <w:rsid w:val="00097F58"/>
    <w:rsid w:val="000A71F7"/>
    <w:rsid w:val="000B152F"/>
    <w:rsid w:val="000E3FFE"/>
    <w:rsid w:val="000F09E4"/>
    <w:rsid w:val="000F16FD"/>
    <w:rsid w:val="000F5AAF"/>
    <w:rsid w:val="0012374D"/>
    <w:rsid w:val="00133B23"/>
    <w:rsid w:val="00143520"/>
    <w:rsid w:val="00153AD2"/>
    <w:rsid w:val="00177510"/>
    <w:rsid w:val="001779EA"/>
    <w:rsid w:val="001926FE"/>
    <w:rsid w:val="001A39A9"/>
    <w:rsid w:val="001C5A3C"/>
    <w:rsid w:val="001D3246"/>
    <w:rsid w:val="001E2722"/>
    <w:rsid w:val="001F5D88"/>
    <w:rsid w:val="002055B8"/>
    <w:rsid w:val="00212537"/>
    <w:rsid w:val="002279BA"/>
    <w:rsid w:val="002329F3"/>
    <w:rsid w:val="00243F0D"/>
    <w:rsid w:val="00254888"/>
    <w:rsid w:val="00255852"/>
    <w:rsid w:val="00260767"/>
    <w:rsid w:val="0026438C"/>
    <w:rsid w:val="002647BB"/>
    <w:rsid w:val="002754C1"/>
    <w:rsid w:val="002841C8"/>
    <w:rsid w:val="0028516B"/>
    <w:rsid w:val="002B103A"/>
    <w:rsid w:val="002C3758"/>
    <w:rsid w:val="002C6F90"/>
    <w:rsid w:val="002E4FB5"/>
    <w:rsid w:val="00302FB8"/>
    <w:rsid w:val="00304EA1"/>
    <w:rsid w:val="00307944"/>
    <w:rsid w:val="00314D81"/>
    <w:rsid w:val="00322FC6"/>
    <w:rsid w:val="00345DF2"/>
    <w:rsid w:val="00346D4E"/>
    <w:rsid w:val="0035293F"/>
    <w:rsid w:val="0038622E"/>
    <w:rsid w:val="00391986"/>
    <w:rsid w:val="00392864"/>
    <w:rsid w:val="00396ACD"/>
    <w:rsid w:val="003A00B4"/>
    <w:rsid w:val="003A2270"/>
    <w:rsid w:val="003B3C55"/>
    <w:rsid w:val="003C394F"/>
    <w:rsid w:val="003C5E71"/>
    <w:rsid w:val="003D50FF"/>
    <w:rsid w:val="00411D26"/>
    <w:rsid w:val="00412080"/>
    <w:rsid w:val="00417AA3"/>
    <w:rsid w:val="00421DB1"/>
    <w:rsid w:val="00425DFE"/>
    <w:rsid w:val="00425FD1"/>
    <w:rsid w:val="00434EDB"/>
    <w:rsid w:val="00440B32"/>
    <w:rsid w:val="00457521"/>
    <w:rsid w:val="0046078D"/>
    <w:rsid w:val="004714C5"/>
    <w:rsid w:val="00475107"/>
    <w:rsid w:val="0048438A"/>
    <w:rsid w:val="00495592"/>
    <w:rsid w:val="00495C80"/>
    <w:rsid w:val="004A2ED8"/>
    <w:rsid w:val="004A76E7"/>
    <w:rsid w:val="004D70CD"/>
    <w:rsid w:val="004F5BDA"/>
    <w:rsid w:val="004F6DE0"/>
    <w:rsid w:val="00504EBE"/>
    <w:rsid w:val="0051438D"/>
    <w:rsid w:val="0051631E"/>
    <w:rsid w:val="005221BD"/>
    <w:rsid w:val="005324EC"/>
    <w:rsid w:val="00537A1F"/>
    <w:rsid w:val="00563E1D"/>
    <w:rsid w:val="00566029"/>
    <w:rsid w:val="00567FD3"/>
    <w:rsid w:val="00574D5F"/>
    <w:rsid w:val="005923CB"/>
    <w:rsid w:val="00595F04"/>
    <w:rsid w:val="005A50E9"/>
    <w:rsid w:val="005B391B"/>
    <w:rsid w:val="005D3D78"/>
    <w:rsid w:val="005D7236"/>
    <w:rsid w:val="005E2EF0"/>
    <w:rsid w:val="005F3313"/>
    <w:rsid w:val="005F4092"/>
    <w:rsid w:val="00610518"/>
    <w:rsid w:val="006505BC"/>
    <w:rsid w:val="00666B34"/>
    <w:rsid w:val="0068471E"/>
    <w:rsid w:val="00684ACF"/>
    <w:rsid w:val="00684F98"/>
    <w:rsid w:val="00693FFD"/>
    <w:rsid w:val="006D2159"/>
    <w:rsid w:val="006F58F8"/>
    <w:rsid w:val="006F6561"/>
    <w:rsid w:val="006F787C"/>
    <w:rsid w:val="00702636"/>
    <w:rsid w:val="00724507"/>
    <w:rsid w:val="0072500D"/>
    <w:rsid w:val="007623B9"/>
    <w:rsid w:val="00773E6C"/>
    <w:rsid w:val="00781FB1"/>
    <w:rsid w:val="007A0E4B"/>
    <w:rsid w:val="007D1B6D"/>
    <w:rsid w:val="007D6335"/>
    <w:rsid w:val="007E7D1F"/>
    <w:rsid w:val="007F6B61"/>
    <w:rsid w:val="007F720A"/>
    <w:rsid w:val="00812074"/>
    <w:rsid w:val="00813C37"/>
    <w:rsid w:val="008154B5"/>
    <w:rsid w:val="00823962"/>
    <w:rsid w:val="00852719"/>
    <w:rsid w:val="00860115"/>
    <w:rsid w:val="00862F22"/>
    <w:rsid w:val="00877960"/>
    <w:rsid w:val="00880043"/>
    <w:rsid w:val="0088783C"/>
    <w:rsid w:val="008A4A7F"/>
    <w:rsid w:val="008B1278"/>
    <w:rsid w:val="008C0A84"/>
    <w:rsid w:val="008C3BB0"/>
    <w:rsid w:val="008D0ABF"/>
    <w:rsid w:val="008D57CA"/>
    <w:rsid w:val="008D63EB"/>
    <w:rsid w:val="008E1A80"/>
    <w:rsid w:val="00905484"/>
    <w:rsid w:val="009165AE"/>
    <w:rsid w:val="00936A78"/>
    <w:rsid w:val="009370BC"/>
    <w:rsid w:val="00956258"/>
    <w:rsid w:val="00970580"/>
    <w:rsid w:val="0098739B"/>
    <w:rsid w:val="009B61E5"/>
    <w:rsid w:val="009D1E89"/>
    <w:rsid w:val="009E5707"/>
    <w:rsid w:val="00A13223"/>
    <w:rsid w:val="00A17661"/>
    <w:rsid w:val="00A24B2D"/>
    <w:rsid w:val="00A25B6B"/>
    <w:rsid w:val="00A25ED2"/>
    <w:rsid w:val="00A27DCD"/>
    <w:rsid w:val="00A40966"/>
    <w:rsid w:val="00A50E81"/>
    <w:rsid w:val="00A75112"/>
    <w:rsid w:val="00A77E07"/>
    <w:rsid w:val="00A921E0"/>
    <w:rsid w:val="00A922F4"/>
    <w:rsid w:val="00AA1D8B"/>
    <w:rsid w:val="00AC22A1"/>
    <w:rsid w:val="00AD59D5"/>
    <w:rsid w:val="00AE5526"/>
    <w:rsid w:val="00AF051B"/>
    <w:rsid w:val="00B01578"/>
    <w:rsid w:val="00B0738F"/>
    <w:rsid w:val="00B13D3B"/>
    <w:rsid w:val="00B230DB"/>
    <w:rsid w:val="00B26601"/>
    <w:rsid w:val="00B30E01"/>
    <w:rsid w:val="00B41951"/>
    <w:rsid w:val="00B47C49"/>
    <w:rsid w:val="00B51FA6"/>
    <w:rsid w:val="00B52212"/>
    <w:rsid w:val="00B53229"/>
    <w:rsid w:val="00B62480"/>
    <w:rsid w:val="00B74D78"/>
    <w:rsid w:val="00B81B70"/>
    <w:rsid w:val="00B97968"/>
    <w:rsid w:val="00BB3BAB"/>
    <w:rsid w:val="00BD0724"/>
    <w:rsid w:val="00BD2B91"/>
    <w:rsid w:val="00BE5521"/>
    <w:rsid w:val="00BF6C23"/>
    <w:rsid w:val="00C2005D"/>
    <w:rsid w:val="00C4197E"/>
    <w:rsid w:val="00C53263"/>
    <w:rsid w:val="00C6415E"/>
    <w:rsid w:val="00C75F1D"/>
    <w:rsid w:val="00C95156"/>
    <w:rsid w:val="00CA0DC2"/>
    <w:rsid w:val="00CA1E9D"/>
    <w:rsid w:val="00CB68E8"/>
    <w:rsid w:val="00D04F01"/>
    <w:rsid w:val="00D06414"/>
    <w:rsid w:val="00D13BB9"/>
    <w:rsid w:val="00D24E5A"/>
    <w:rsid w:val="00D338E4"/>
    <w:rsid w:val="00D35D07"/>
    <w:rsid w:val="00D36FA7"/>
    <w:rsid w:val="00D4304F"/>
    <w:rsid w:val="00D43567"/>
    <w:rsid w:val="00D44DA6"/>
    <w:rsid w:val="00D51947"/>
    <w:rsid w:val="00D532F0"/>
    <w:rsid w:val="00D614FA"/>
    <w:rsid w:val="00D77413"/>
    <w:rsid w:val="00D82759"/>
    <w:rsid w:val="00D86DE4"/>
    <w:rsid w:val="00D95CAE"/>
    <w:rsid w:val="00DA3D60"/>
    <w:rsid w:val="00DA40D3"/>
    <w:rsid w:val="00DB1655"/>
    <w:rsid w:val="00DB533D"/>
    <w:rsid w:val="00DE1909"/>
    <w:rsid w:val="00DE51DB"/>
    <w:rsid w:val="00E23F1D"/>
    <w:rsid w:val="00E30E05"/>
    <w:rsid w:val="00E36361"/>
    <w:rsid w:val="00E47D0B"/>
    <w:rsid w:val="00E55AE9"/>
    <w:rsid w:val="00E56D1D"/>
    <w:rsid w:val="00E87D27"/>
    <w:rsid w:val="00E9592C"/>
    <w:rsid w:val="00EA2830"/>
    <w:rsid w:val="00EB0C84"/>
    <w:rsid w:val="00EB64BB"/>
    <w:rsid w:val="00EF1E25"/>
    <w:rsid w:val="00F01253"/>
    <w:rsid w:val="00F17FDE"/>
    <w:rsid w:val="00F40D53"/>
    <w:rsid w:val="00F4525C"/>
    <w:rsid w:val="00F50D86"/>
    <w:rsid w:val="00F6610F"/>
    <w:rsid w:val="00F967B5"/>
    <w:rsid w:val="00FB23F1"/>
    <w:rsid w:val="00FB4755"/>
    <w:rsid w:val="00FD159A"/>
    <w:rsid w:val="00FD29D3"/>
    <w:rsid w:val="00FE049A"/>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F6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F6610F"/>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6F6561"/>
    <w:pPr>
      <w:numPr>
        <w:numId w:val="4"/>
      </w:numPr>
      <w:tabs>
        <w:tab w:val="left" w:pos="425"/>
      </w:tabs>
      <w:overflowPunct w:val="0"/>
      <w:autoSpaceDE w:val="0"/>
      <w:autoSpaceDN w:val="0"/>
      <w:adjustRightInd w:val="0"/>
      <w:spacing w:before="80" w:after="80" w:line="260" w:lineRule="exact"/>
      <w:ind w:left="425" w:hanging="425"/>
      <w:contextualSpacing/>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684ACF"/>
    <w:rPr>
      <w:color w:val="605E5C"/>
      <w:shd w:val="clear" w:color="auto" w:fill="E1DFDD"/>
    </w:rPr>
  </w:style>
  <w:style w:type="character" w:styleId="FollowedHyperlink">
    <w:name w:val="FollowedHyperlink"/>
    <w:basedOn w:val="DefaultParagraphFont"/>
    <w:uiPriority w:val="99"/>
    <w:semiHidden/>
    <w:unhideWhenUsed/>
    <w:rsid w:val="00936A78"/>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conversation.com/au/topics/gender-quotas-2493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gea.gov.au/topics/women-in-leadershi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CU0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C1B5B19-36D9-4981-8F43-2D3E3C5AA311}"/>
</file>

<file path=customXml/itemProps4.xml><?xml version="1.0" encoding="utf-8"?>
<ds:datastoreItem xmlns:ds="http://schemas.openxmlformats.org/officeDocument/2006/customXml" ds:itemID="{FEC37897-317D-43A6-8F29-34CD92AE3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ethical capability</cp:keywords>
  <cp:lastModifiedBy>Witt, Kylie I</cp:lastModifiedBy>
  <cp:revision>2</cp:revision>
  <cp:lastPrinted>2020-03-04T04:43:00Z</cp:lastPrinted>
  <dcterms:created xsi:type="dcterms:W3CDTF">2020-09-30T05:08:00Z</dcterms:created>
  <dcterms:modified xsi:type="dcterms:W3CDTF">2020-09-30T05:08:00Z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