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0B78774" w:rsidR="00086CFC" w:rsidRPr="002B2BAC" w:rsidRDefault="00C2005D" w:rsidP="002B2BAC">
      <w:pPr>
        <w:pStyle w:val="VCAAHeading1"/>
        <w:rPr>
          <w:lang w:val="en-AU"/>
        </w:rPr>
      </w:pPr>
      <w:r w:rsidRPr="002B2BAC">
        <w:rPr>
          <w:lang w:val="en-AU"/>
        </w:rPr>
        <w:t>E</w:t>
      </w:r>
      <w:r w:rsidR="00E56D1D" w:rsidRPr="002B2BAC">
        <w:rPr>
          <w:lang w:val="en-AU"/>
        </w:rPr>
        <w:t>m</w:t>
      </w:r>
      <w:r w:rsidR="007E7D1F" w:rsidRPr="002B2BAC">
        <w:rPr>
          <w:lang w:val="en-AU"/>
        </w:rPr>
        <w:t xml:space="preserve">bedding career education in </w:t>
      </w:r>
      <w:r w:rsidR="00E56D1D" w:rsidRPr="002B2BAC">
        <w:rPr>
          <w:lang w:val="en-AU"/>
        </w:rPr>
        <w:t>the Victorian Curriculum F–10</w:t>
      </w:r>
      <w:r w:rsidR="00086CFC" w:rsidRPr="002B2BAC">
        <w:rPr>
          <w:lang w:val="en-AU"/>
        </w:rPr>
        <w:t xml:space="preserve"> </w:t>
      </w:r>
    </w:p>
    <w:p w14:paraId="309AA2D5" w14:textId="2D16B7E8" w:rsidR="004F6DE0" w:rsidRPr="004E5544" w:rsidRDefault="00BE2CDA" w:rsidP="004F6DE0">
      <w:pPr>
        <w:pStyle w:val="VCAAHeading2"/>
        <w:rPr>
          <w:lang w:val="en-AU"/>
        </w:rPr>
      </w:pPr>
      <w:bookmarkStart w:id="0" w:name="TemplateOverview"/>
      <w:bookmarkEnd w:id="0"/>
      <w:r w:rsidRPr="004E5544">
        <w:rPr>
          <w:lang w:val="en-AU"/>
        </w:rPr>
        <w:t>Geography</w:t>
      </w:r>
      <w:r w:rsidR="004F6DE0" w:rsidRPr="004E5544">
        <w:rPr>
          <w:lang w:val="en-AU"/>
        </w:rPr>
        <w:t xml:space="preserve">, Levels </w:t>
      </w:r>
      <w:r w:rsidRPr="004E5544">
        <w:rPr>
          <w:lang w:val="en-AU"/>
        </w:rPr>
        <w:t>7 and 8</w:t>
      </w:r>
    </w:p>
    <w:p w14:paraId="2E354ED1" w14:textId="22192D87" w:rsidR="0038622E" w:rsidRPr="004E5544" w:rsidRDefault="008B1278" w:rsidP="004F6DE0">
      <w:pPr>
        <w:pStyle w:val="VCAAbodyintrotext"/>
        <w:rPr>
          <w:lang w:val="en-AU"/>
        </w:rPr>
      </w:pPr>
      <w:r w:rsidRPr="004E5544">
        <w:rPr>
          <w:lang w:val="en-AU"/>
        </w:rPr>
        <w:t>An e</w:t>
      </w:r>
      <w:r w:rsidR="00C6415E" w:rsidRPr="004E5544">
        <w:rPr>
          <w:lang w:val="en-AU"/>
        </w:rPr>
        <w:t>xisting l</w:t>
      </w:r>
      <w:r w:rsidRPr="004E5544">
        <w:rPr>
          <w:lang w:val="en-AU"/>
        </w:rPr>
        <w:t>earning activity</w:t>
      </w:r>
      <w:r w:rsidR="00254888" w:rsidRPr="004E5544">
        <w:rPr>
          <w:lang w:val="en-AU"/>
        </w:rPr>
        <w:t xml:space="preserve"> linked to</w:t>
      </w:r>
      <w:r w:rsidRPr="004E5544">
        <w:rPr>
          <w:lang w:val="en-AU"/>
        </w:rPr>
        <w:t xml:space="preserve"> a particular learning area or capability in the</w:t>
      </w:r>
      <w:r w:rsidR="00C6415E" w:rsidRPr="004E5544">
        <w:rPr>
          <w:lang w:val="en-AU"/>
        </w:rPr>
        <w:t xml:space="preserve"> Victorian Curriculum F–10</w:t>
      </w:r>
      <w:r w:rsidR="0038622E" w:rsidRPr="004E5544">
        <w:rPr>
          <w:lang w:val="en-AU"/>
        </w:rPr>
        <w:t xml:space="preserve"> can be</w:t>
      </w:r>
      <w:r w:rsidR="00255852" w:rsidRPr="004E5544">
        <w:rPr>
          <w:lang w:val="en-AU"/>
        </w:rPr>
        <w:t xml:space="preserve"> easily</w:t>
      </w:r>
      <w:r w:rsidR="0038622E" w:rsidRPr="004E5544">
        <w:rPr>
          <w:lang w:val="en-AU"/>
        </w:rPr>
        <w:t xml:space="preserve"> </w:t>
      </w:r>
      <w:r w:rsidR="00255852" w:rsidRPr="004E5544">
        <w:rPr>
          <w:lang w:val="en-AU"/>
        </w:rPr>
        <w:t xml:space="preserve">adapted </w:t>
      </w:r>
      <w:r w:rsidR="0038622E" w:rsidRPr="004E5544">
        <w:rPr>
          <w:lang w:val="en-AU"/>
        </w:rPr>
        <w:t>to incorporate career education</w:t>
      </w:r>
      <w:r w:rsidR="00255852" w:rsidRPr="004E5544">
        <w:rPr>
          <w:lang w:val="en-AU"/>
        </w:rPr>
        <w:t>, enriching students’ career-related learning and skill development</w:t>
      </w:r>
      <w:r w:rsidR="00C6415E" w:rsidRPr="004E5544">
        <w:rPr>
          <w:lang w:val="en-AU"/>
        </w:rPr>
        <w:t xml:space="preserve">. </w:t>
      </w:r>
    </w:p>
    <w:p w14:paraId="27EE590C" w14:textId="43E2E57C" w:rsidR="00255852" w:rsidRPr="004E5544" w:rsidRDefault="00254888" w:rsidP="004F6DE0">
      <w:pPr>
        <w:pStyle w:val="VCAAHeading3"/>
        <w:rPr>
          <w:lang w:val="en-AU"/>
        </w:rPr>
      </w:pPr>
      <w:r w:rsidRPr="004E5544">
        <w:rPr>
          <w:lang w:val="en-AU"/>
        </w:rPr>
        <w:t xml:space="preserve">1. Identify an existing learning activity </w:t>
      </w:r>
    </w:p>
    <w:p w14:paraId="0AE57492" w14:textId="7CB15972" w:rsidR="008B1278" w:rsidRPr="004E5544" w:rsidRDefault="008B1278" w:rsidP="002B2BAC">
      <w:pPr>
        <w:pStyle w:val="VCAAbody-withlargetabandhangingindent"/>
      </w:pPr>
      <w:r w:rsidRPr="004E5544">
        <w:rPr>
          <w:b/>
        </w:rPr>
        <w:t>Curriculum area and levels:</w:t>
      </w:r>
      <w:r w:rsidRPr="004E5544">
        <w:tab/>
      </w:r>
      <w:r w:rsidR="00BE2CDA" w:rsidRPr="004E5544">
        <w:t>Geography</w:t>
      </w:r>
      <w:r w:rsidRPr="004E5544">
        <w:t xml:space="preserve">, Levels </w:t>
      </w:r>
      <w:r w:rsidR="00BE2CDA" w:rsidRPr="004E5544">
        <w:t>7 and 8</w:t>
      </w:r>
      <w:r w:rsidR="002B2BAC">
        <w:t>.</w:t>
      </w:r>
    </w:p>
    <w:p w14:paraId="75C67D18" w14:textId="656EC5C6" w:rsidR="009034C5" w:rsidRPr="004E5544" w:rsidRDefault="00254888" w:rsidP="00B51FA6">
      <w:pPr>
        <w:pStyle w:val="VCAAbody-withlargetabandhangingindent"/>
      </w:pPr>
      <w:r w:rsidRPr="004E5544">
        <w:rPr>
          <w:b/>
        </w:rPr>
        <w:t>Relevant c</w:t>
      </w:r>
      <w:r w:rsidR="008B1278" w:rsidRPr="004E5544">
        <w:rPr>
          <w:b/>
        </w:rPr>
        <w:t>ontent description:</w:t>
      </w:r>
      <w:r w:rsidR="008B1278" w:rsidRPr="004E5544">
        <w:tab/>
      </w:r>
      <w:r w:rsidR="009034C5" w:rsidRPr="002B2BAC">
        <w:t>Factors that influence the decisions people make about where to live and their perceptions of the liveability of places</w:t>
      </w:r>
      <w:r w:rsidR="002B2BAC">
        <w:t xml:space="preserve"> </w:t>
      </w:r>
      <w:hyperlink r:id="rId11" w:tooltip="View elaborations and additional details of VCGGK111" w:history="1">
        <w:r w:rsidR="009034C5" w:rsidRPr="002B2BAC">
          <w:t>(</w:t>
        </w:r>
        <w:r w:rsidR="009034C5" w:rsidRPr="002B2BAC">
          <w:rPr>
            <w:rStyle w:val="Hyperlink"/>
          </w:rPr>
          <w:t>VCGGK111</w:t>
        </w:r>
        <w:r w:rsidR="009034C5" w:rsidRPr="002B2BAC">
          <w:t>)</w:t>
        </w:r>
      </w:hyperlink>
      <w:r w:rsidR="002B2BAC">
        <w:t>.</w:t>
      </w:r>
    </w:p>
    <w:p w14:paraId="36A2C730" w14:textId="7BD46339" w:rsidR="007E7D1F" w:rsidRPr="004E5544" w:rsidRDefault="00B51FA6" w:rsidP="00B51FA6">
      <w:pPr>
        <w:pStyle w:val="VCAAbody-withlargetabandhangingindent"/>
      </w:pPr>
      <w:r w:rsidRPr="004E5544">
        <w:rPr>
          <w:b/>
        </w:rPr>
        <w:t>Existing a</w:t>
      </w:r>
      <w:r w:rsidR="00254888" w:rsidRPr="004E5544">
        <w:rPr>
          <w:b/>
        </w:rPr>
        <w:t>ctivity</w:t>
      </w:r>
      <w:r w:rsidR="00097F58" w:rsidRPr="004E5544">
        <w:rPr>
          <w:b/>
        </w:rPr>
        <w:t>:</w:t>
      </w:r>
      <w:r w:rsidR="00254888" w:rsidRPr="004E5544">
        <w:tab/>
      </w:r>
      <w:r w:rsidR="00A55C53" w:rsidRPr="004E5544">
        <w:t>Brainstorming</w:t>
      </w:r>
      <w:r w:rsidR="009034C5" w:rsidRPr="004E5544">
        <w:t xml:space="preserve"> about why people live where they do, and what external factors may change perceptions</w:t>
      </w:r>
      <w:r w:rsidR="000C6EAB" w:rsidRPr="004E5544">
        <w:t xml:space="preserve"> about how safe or liveable a place is</w:t>
      </w:r>
      <w:r w:rsidR="009034C5" w:rsidRPr="004E5544">
        <w:t xml:space="preserve">. </w:t>
      </w:r>
    </w:p>
    <w:p w14:paraId="2364A01C" w14:textId="21E31C0C" w:rsidR="00421DB1" w:rsidRPr="004E5544" w:rsidRDefault="00421DB1" w:rsidP="00E419A1">
      <w:pPr>
        <w:pStyle w:val="VCAAbody-withlargetabandhangingindent"/>
      </w:pPr>
      <w:r w:rsidRPr="002B2BAC">
        <w:rPr>
          <w:b/>
          <w:bCs/>
        </w:rPr>
        <w:t>Summary of adaptation, change, addition:</w:t>
      </w:r>
      <w:r w:rsidRPr="004E5544">
        <w:tab/>
      </w:r>
      <w:r w:rsidR="00660845" w:rsidRPr="004E5544">
        <w:t>What and who determine liveability.</w:t>
      </w:r>
    </w:p>
    <w:p w14:paraId="65DFB73F" w14:textId="488549B2" w:rsidR="00254888" w:rsidRPr="004E5544" w:rsidRDefault="00254888" w:rsidP="002B2BAC">
      <w:pPr>
        <w:pStyle w:val="VCAAHeading3"/>
        <w:rPr>
          <w:lang w:val="en-AU"/>
        </w:rPr>
      </w:pPr>
      <w:r w:rsidRPr="004E5544">
        <w:rPr>
          <w:lang w:val="en-AU"/>
        </w:rPr>
        <w:t xml:space="preserve">2. Adapt the learning activity to </w:t>
      </w:r>
      <w:r w:rsidR="00FF47DF" w:rsidRPr="004E5544">
        <w:rPr>
          <w:lang w:val="en-AU"/>
        </w:rPr>
        <w:t>include</w:t>
      </w:r>
      <w:r w:rsidRPr="004E554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4E5544" w14:paraId="47FFE019" w14:textId="77777777" w:rsidTr="002B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4E5544" w:rsidRDefault="00254888" w:rsidP="00B51FA6">
            <w:pPr>
              <w:pStyle w:val="VCAAtablecondensedheading"/>
              <w:rPr>
                <w:lang w:val="en-AU"/>
              </w:rPr>
            </w:pPr>
            <w:r w:rsidRPr="004E554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4E5544" w:rsidRDefault="00E9592C" w:rsidP="00B51FA6">
            <w:pPr>
              <w:pStyle w:val="VCAAtablecondensedheading"/>
              <w:rPr>
                <w:lang w:val="en-AU"/>
              </w:rPr>
            </w:pPr>
            <w:r w:rsidRPr="004E5544">
              <w:rPr>
                <w:lang w:val="en-AU"/>
              </w:rPr>
              <w:t>Adaptations, changes or extensions that can be made</w:t>
            </w:r>
          </w:p>
        </w:tc>
      </w:tr>
      <w:tr w:rsidR="00254888" w:rsidRPr="004E5544" w14:paraId="20588B85" w14:textId="77777777" w:rsidTr="002B2BAC">
        <w:tc>
          <w:tcPr>
            <w:tcW w:w="4957" w:type="dxa"/>
          </w:tcPr>
          <w:p w14:paraId="211D4B03" w14:textId="3EA998B6" w:rsidR="00BE28E1" w:rsidRPr="00BE28E1" w:rsidRDefault="00A55C53" w:rsidP="00BE28E1">
            <w:pPr>
              <w:pStyle w:val="VCAAtablecondensed"/>
              <w:rPr>
                <w:lang w:val="en-AU"/>
              </w:rPr>
            </w:pPr>
            <w:r w:rsidRPr="004E5544">
              <w:rPr>
                <w:lang w:val="en-AU"/>
              </w:rPr>
              <w:t>Teacher leads discussion on the concept of ‘</w:t>
            </w:r>
            <w:r w:rsidR="000C6EAB" w:rsidRPr="004E5544">
              <w:rPr>
                <w:lang w:val="en-AU"/>
              </w:rPr>
              <w:t>liveability</w:t>
            </w:r>
            <w:r w:rsidRPr="004E5544">
              <w:rPr>
                <w:lang w:val="en-AU"/>
              </w:rPr>
              <w:t>’,</w:t>
            </w:r>
            <w:r w:rsidR="000C6EAB" w:rsidRPr="004E5544">
              <w:rPr>
                <w:lang w:val="en-AU"/>
              </w:rPr>
              <w:t xml:space="preserve"> using </w:t>
            </w:r>
            <w:r w:rsidR="00BE28E1">
              <w:rPr>
                <w:lang w:val="en-AU"/>
              </w:rPr>
              <w:t xml:space="preserve">the following definition from the Australian Curriculum website: </w:t>
            </w:r>
          </w:p>
          <w:p w14:paraId="46A85701" w14:textId="2BF48D73" w:rsidR="00BE28E1" w:rsidRPr="004E5544" w:rsidRDefault="00BE28E1" w:rsidP="002B2BAC">
            <w:pPr>
              <w:pStyle w:val="VCAAtablecondensed"/>
              <w:rPr>
                <w:lang w:val="en-AU"/>
              </w:rPr>
            </w:pPr>
            <w:r w:rsidRPr="002B2BAC">
              <w:rPr>
                <w:b/>
                <w:bCs/>
                <w:lang w:val="en-AU"/>
              </w:rPr>
              <w:t>Liveability</w:t>
            </w:r>
            <w:r>
              <w:rPr>
                <w:lang w:val="en-AU"/>
              </w:rPr>
              <w:t xml:space="preserve">: </w:t>
            </w:r>
            <w:r w:rsidRPr="00BE28E1">
              <w:rPr>
                <w:lang w:val="en-AU"/>
              </w:rPr>
              <w:t xml:space="preserve">An assessment of what a </w:t>
            </w:r>
            <w:r w:rsidRPr="002B2BAC">
              <w:rPr>
                <w:i/>
                <w:iCs/>
                <w:lang w:val="en-AU"/>
              </w:rPr>
              <w:t>place</w:t>
            </w:r>
            <w:r w:rsidRPr="00BE28E1">
              <w:rPr>
                <w:lang w:val="en-AU"/>
              </w:rPr>
              <w:t xml:space="preserve"> is like to live in, using particular criteria, for example, environmental quality, crime and safety, education and health provision, access to shops and services, recreational facilities and cultural activities.</w:t>
            </w:r>
          </w:p>
        </w:tc>
        <w:tc>
          <w:tcPr>
            <w:tcW w:w="4932" w:type="dxa"/>
          </w:tcPr>
          <w:p w14:paraId="092660B4" w14:textId="1E2B509C" w:rsidR="00457521" w:rsidRPr="004E5544" w:rsidRDefault="00457521" w:rsidP="00B51FA6">
            <w:pPr>
              <w:pStyle w:val="VCAAtablecondensed"/>
              <w:rPr>
                <w:lang w:val="en-AU"/>
              </w:rPr>
            </w:pPr>
          </w:p>
        </w:tc>
      </w:tr>
      <w:tr w:rsidR="00254888" w:rsidRPr="004E5544" w14:paraId="47C09381" w14:textId="77777777" w:rsidTr="002B2BAC">
        <w:tc>
          <w:tcPr>
            <w:tcW w:w="4957" w:type="dxa"/>
          </w:tcPr>
          <w:p w14:paraId="123E135F" w14:textId="5A110436" w:rsidR="00254888" w:rsidRPr="004E5544" w:rsidRDefault="00A55C53" w:rsidP="00457521">
            <w:pPr>
              <w:pStyle w:val="VCAAtablecondensed"/>
              <w:rPr>
                <w:lang w:val="en-AU"/>
              </w:rPr>
            </w:pPr>
            <w:r w:rsidRPr="004E5544">
              <w:rPr>
                <w:lang w:val="en-AU"/>
              </w:rPr>
              <w:t xml:space="preserve">Teacher details </w:t>
            </w:r>
            <w:r w:rsidR="00077032" w:rsidRPr="004E5544">
              <w:rPr>
                <w:lang w:val="en-AU"/>
              </w:rPr>
              <w:t xml:space="preserve">the factors of liveability for students. </w:t>
            </w:r>
            <w:r w:rsidRPr="004E5544">
              <w:rPr>
                <w:lang w:val="en-AU"/>
              </w:rPr>
              <w:t>S</w:t>
            </w:r>
            <w:r w:rsidR="001F50B0" w:rsidRPr="004E5544">
              <w:rPr>
                <w:lang w:val="en-AU"/>
              </w:rPr>
              <w:t xml:space="preserve">tudents find images and make a collage/mood board about an area </w:t>
            </w:r>
            <w:r w:rsidR="002B2BAC">
              <w:rPr>
                <w:lang w:val="en-AU"/>
              </w:rPr>
              <w:t>of</w:t>
            </w:r>
            <w:r w:rsidR="001F50B0" w:rsidRPr="004E5544">
              <w:rPr>
                <w:lang w:val="en-AU"/>
              </w:rPr>
              <w:t xml:space="preserve"> high liveability.</w:t>
            </w:r>
            <w:r w:rsidR="00DE1E55" w:rsidRPr="004E5544">
              <w:rPr>
                <w:lang w:val="en-AU"/>
              </w:rPr>
              <w:t xml:space="preserve"> </w:t>
            </w:r>
            <w:r w:rsidRPr="004E5544">
              <w:rPr>
                <w:lang w:val="en-AU"/>
              </w:rPr>
              <w:t>Teacher/students u</w:t>
            </w:r>
            <w:r w:rsidR="00E770FA" w:rsidRPr="004E5544">
              <w:rPr>
                <w:lang w:val="en-AU"/>
              </w:rPr>
              <w:t xml:space="preserve">se the indicators </w:t>
            </w:r>
            <w:r w:rsidR="007F23D7" w:rsidRPr="004E5544">
              <w:rPr>
                <w:lang w:val="en-AU"/>
              </w:rPr>
              <w:t>of Stability, Healthcare, Culture, Environment, Education and Infrastructure</w:t>
            </w:r>
            <w:r w:rsidRPr="004E5544">
              <w:rPr>
                <w:lang w:val="en-AU"/>
              </w:rPr>
              <w:t xml:space="preserve"> </w:t>
            </w:r>
            <w:r w:rsidR="00E770FA" w:rsidRPr="004E5544">
              <w:rPr>
                <w:lang w:val="en-AU"/>
              </w:rPr>
              <w:t xml:space="preserve">created by </w:t>
            </w:r>
            <w:r w:rsidR="007F23D7" w:rsidRPr="004E5544">
              <w:rPr>
                <w:lang w:val="en-AU"/>
              </w:rPr>
              <w:t xml:space="preserve">the </w:t>
            </w:r>
            <w:hyperlink r:id="rId12" w:history="1">
              <w:r w:rsidR="007F23D7" w:rsidRPr="002B2BAC">
                <w:rPr>
                  <w:rStyle w:val="Hyperlink"/>
                </w:rPr>
                <w:t>Economist Intelligence Unit</w:t>
              </w:r>
            </w:hyperlink>
            <w:r w:rsidR="007F23D7" w:rsidRPr="004E5544">
              <w:rPr>
                <w:lang w:val="en-AU"/>
              </w:rPr>
              <w:t>: Global Liveability Index</w:t>
            </w:r>
            <w:r w:rsidR="00E770FA" w:rsidRPr="004E5544">
              <w:rPr>
                <w:lang w:val="en-AU"/>
              </w:rPr>
              <w:t xml:space="preserve"> </w:t>
            </w:r>
            <w:r w:rsidR="007F23D7" w:rsidRPr="004E5544">
              <w:rPr>
                <w:lang w:val="en-AU"/>
              </w:rPr>
              <w:t>to help formulate areas o</w:t>
            </w:r>
            <w:r w:rsidRPr="004E5544">
              <w:rPr>
                <w:lang w:val="en-AU"/>
              </w:rPr>
              <w:t>f</w:t>
            </w:r>
            <w:r w:rsidR="007F23D7" w:rsidRPr="004E5544">
              <w:rPr>
                <w:lang w:val="en-AU"/>
              </w:rPr>
              <w:t xml:space="preserve"> inquiry.</w:t>
            </w:r>
          </w:p>
        </w:tc>
        <w:tc>
          <w:tcPr>
            <w:tcW w:w="4932" w:type="dxa"/>
          </w:tcPr>
          <w:p w14:paraId="7279DA82" w14:textId="30962064" w:rsidR="00E770FA" w:rsidRPr="004E5544" w:rsidRDefault="00C63818" w:rsidP="00E770FA">
            <w:pPr>
              <w:pStyle w:val="VCAAtablecondensed"/>
              <w:rPr>
                <w:color w:val="auto"/>
                <w:lang w:val="en-AU"/>
              </w:rPr>
            </w:pPr>
            <w:r w:rsidRPr="002B2BAC">
              <w:t xml:space="preserve">Students are encouraged to consider who </w:t>
            </w:r>
            <w:r w:rsidR="00DE1E55" w:rsidRPr="002B2BAC">
              <w:t xml:space="preserve">created the </w:t>
            </w:r>
            <w:r w:rsidR="007F23D7" w:rsidRPr="002B2BAC">
              <w:t>indicators</w:t>
            </w:r>
            <w:r w:rsidR="00646559">
              <w:t>, and w</w:t>
            </w:r>
            <w:r w:rsidR="00DE1E55" w:rsidRPr="002B2BAC">
              <w:t>hy was there a need to determine whether a city is liveable</w:t>
            </w:r>
            <w:bookmarkStart w:id="1" w:name="_GoBack"/>
            <w:bookmarkEnd w:id="1"/>
            <w:r w:rsidR="00DE1E55" w:rsidRPr="002B2BAC">
              <w:t xml:space="preserve"> or not</w:t>
            </w:r>
            <w:r w:rsidR="00646559">
              <w:t>.</w:t>
            </w:r>
            <w:r w:rsidR="00DE1E55" w:rsidRPr="002B2BAC">
              <w:t xml:space="preserve"> </w:t>
            </w:r>
          </w:p>
        </w:tc>
      </w:tr>
      <w:tr w:rsidR="00254888" w:rsidRPr="004E5544" w14:paraId="3F7C9F0C" w14:textId="77777777" w:rsidTr="002B2BAC">
        <w:tc>
          <w:tcPr>
            <w:tcW w:w="4957" w:type="dxa"/>
            <w:tcBorders>
              <w:bottom w:val="single" w:sz="4" w:space="0" w:color="auto"/>
            </w:tcBorders>
          </w:tcPr>
          <w:p w14:paraId="4746D91F" w14:textId="7EE4D15B" w:rsidR="00254888" w:rsidRPr="004E5544" w:rsidRDefault="00C46EAA" w:rsidP="00B51FA6">
            <w:pPr>
              <w:pStyle w:val="VCAAtablecondensed"/>
              <w:rPr>
                <w:lang w:val="en-AU"/>
              </w:rPr>
            </w:pPr>
            <w:r w:rsidRPr="004E5544">
              <w:rPr>
                <w:lang w:val="en-AU"/>
              </w:rPr>
              <w:t xml:space="preserve">Class uses </w:t>
            </w:r>
            <w:r w:rsidR="00E770FA" w:rsidRPr="004E5544">
              <w:rPr>
                <w:lang w:val="en-AU"/>
              </w:rPr>
              <w:t xml:space="preserve">a case study approach </w:t>
            </w:r>
            <w:r w:rsidR="00DE1E55" w:rsidRPr="004E5544">
              <w:rPr>
                <w:lang w:val="en-AU"/>
              </w:rPr>
              <w:t xml:space="preserve">to discuss </w:t>
            </w:r>
            <w:r w:rsidR="00E770FA" w:rsidRPr="004E5544">
              <w:rPr>
                <w:lang w:val="en-AU"/>
              </w:rPr>
              <w:t xml:space="preserve">a place that is regarded as one of </w:t>
            </w:r>
            <w:r w:rsidR="00DE1E55" w:rsidRPr="004E5544">
              <w:rPr>
                <w:lang w:val="en-AU"/>
              </w:rPr>
              <w:t>the most liveable place</w:t>
            </w:r>
            <w:r w:rsidR="00E770FA" w:rsidRPr="004E5544">
              <w:rPr>
                <w:lang w:val="en-AU"/>
              </w:rPr>
              <w:t xml:space="preserve">s. </w:t>
            </w:r>
            <w:r w:rsidRPr="004E5544">
              <w:rPr>
                <w:lang w:val="en-AU"/>
              </w:rPr>
              <w:t xml:space="preserve">Students consider questions </w:t>
            </w:r>
            <w:r w:rsidR="00646559">
              <w:rPr>
                <w:lang w:val="en-AU"/>
              </w:rPr>
              <w:t>such as</w:t>
            </w:r>
            <w:r w:rsidRPr="004E5544">
              <w:rPr>
                <w:lang w:val="en-AU"/>
              </w:rPr>
              <w:t>, ‘W</w:t>
            </w:r>
            <w:r w:rsidR="00DE1E55" w:rsidRPr="004E5544">
              <w:rPr>
                <w:lang w:val="en-AU"/>
              </w:rPr>
              <w:t>hat would they rate it?</w:t>
            </w:r>
            <w:r w:rsidR="00646559">
              <w:rPr>
                <w:lang w:val="en-AU"/>
              </w:rPr>
              <w:t>’,</w:t>
            </w:r>
            <w:r w:rsidR="00DE1E55" w:rsidRPr="004E5544">
              <w:rPr>
                <w:lang w:val="en-AU"/>
              </w:rPr>
              <w:t xml:space="preserve"> </w:t>
            </w:r>
            <w:r w:rsidR="00646559">
              <w:rPr>
                <w:lang w:val="en-AU"/>
              </w:rPr>
              <w:t>‘</w:t>
            </w:r>
            <w:r w:rsidR="00DE1E55" w:rsidRPr="004E5544">
              <w:rPr>
                <w:lang w:val="en-AU"/>
              </w:rPr>
              <w:t>Why would they give it that rating?</w:t>
            </w:r>
            <w:r w:rsidR="00646559">
              <w:rPr>
                <w:lang w:val="en-AU"/>
              </w:rPr>
              <w:t>’,</w:t>
            </w:r>
            <w:r w:rsidR="00DE1E55" w:rsidRPr="004E5544">
              <w:rPr>
                <w:lang w:val="en-AU"/>
              </w:rPr>
              <w:t xml:space="preserve"> </w:t>
            </w:r>
            <w:proofErr w:type="gramStart"/>
            <w:r w:rsidR="00646559">
              <w:rPr>
                <w:lang w:val="en-AU"/>
              </w:rPr>
              <w:t>‘</w:t>
            </w:r>
            <w:r w:rsidR="00DE1E55" w:rsidRPr="004E5544">
              <w:rPr>
                <w:lang w:val="en-AU"/>
              </w:rPr>
              <w:t>What</w:t>
            </w:r>
            <w:proofErr w:type="gramEnd"/>
            <w:r w:rsidR="00DE1E55" w:rsidRPr="004E5544">
              <w:rPr>
                <w:lang w:val="en-AU"/>
              </w:rPr>
              <w:t xml:space="preserve"> did it actually score?</w:t>
            </w:r>
            <w:r w:rsidRPr="004E5544">
              <w:rPr>
                <w:lang w:val="en-AU"/>
              </w:rPr>
              <w:t>’</w:t>
            </w:r>
            <w:r w:rsidR="00DE1E55" w:rsidRPr="004E5544">
              <w:rPr>
                <w:lang w:val="en-AU"/>
              </w:rPr>
              <w:t xml:space="preserve"> </w:t>
            </w:r>
            <w:r w:rsidRPr="004E5544">
              <w:rPr>
                <w:lang w:val="en-AU"/>
              </w:rPr>
              <w:t>As a class, students look at variances between scores.</w:t>
            </w:r>
          </w:p>
          <w:p w14:paraId="446FB8DB" w14:textId="4BA09461" w:rsidR="00E770FA" w:rsidRPr="004E5544" w:rsidRDefault="00C46EAA" w:rsidP="00B51FA6">
            <w:pPr>
              <w:pStyle w:val="VCAAtablecondensed"/>
              <w:rPr>
                <w:lang w:val="en-AU"/>
              </w:rPr>
            </w:pPr>
            <w:r w:rsidRPr="002B2BAC">
              <w:t xml:space="preserve">Students consider what could be done to overcome a negative liveability rating. </w:t>
            </w:r>
            <w:r w:rsidR="00646559">
              <w:t>Teacher introduce</w:t>
            </w:r>
            <w:r w:rsidR="00E74673">
              <w:t>s</w:t>
            </w:r>
            <w:r w:rsidR="00646559">
              <w:t xml:space="preserve"> the concept of </w:t>
            </w:r>
            <w:r w:rsidR="00E74673">
              <w:t xml:space="preserve">‘management </w:t>
            </w:r>
            <w:r w:rsidR="00E74673">
              <w:lastRenderedPageBreak/>
              <w:t>response’</w:t>
            </w:r>
            <w:r w:rsidR="00646559">
              <w:t xml:space="preserve"> </w:t>
            </w:r>
            <w:r w:rsidR="00E74673">
              <w:t xml:space="preserve">and </w:t>
            </w:r>
            <w:r w:rsidR="00646559">
              <w:t>lead</w:t>
            </w:r>
            <w:r w:rsidR="00E74673">
              <w:t>s</w:t>
            </w:r>
            <w:r w:rsidR="00646559">
              <w:t xml:space="preserve"> s</w:t>
            </w:r>
            <w:r w:rsidR="00E76603" w:rsidRPr="002B2BAC">
              <w:t xml:space="preserve">tudents </w:t>
            </w:r>
            <w:r w:rsidR="00646559">
              <w:t xml:space="preserve">to </w:t>
            </w:r>
            <w:r w:rsidR="00E76603" w:rsidRPr="002B2BAC">
              <w:t xml:space="preserve">create a management response to address a negative liveability rating. 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119452C0" w14:textId="4C1313D4" w:rsidR="00E770FA" w:rsidRPr="002B2BAC" w:rsidRDefault="00C63818" w:rsidP="00E770FA">
            <w:pPr>
              <w:pStyle w:val="VCAAtablecondensed"/>
            </w:pPr>
            <w:r w:rsidRPr="002B2BAC">
              <w:lastRenderedPageBreak/>
              <w:t>Students are extended to consider w</w:t>
            </w:r>
            <w:r w:rsidR="00E770FA" w:rsidRPr="002B2BAC">
              <w:t>ho controls liveability in each area</w:t>
            </w:r>
            <w:r w:rsidR="00646559">
              <w:t>.</w:t>
            </w:r>
            <w:r w:rsidR="00E770FA" w:rsidRPr="002B2BAC">
              <w:t xml:space="preserve"> </w:t>
            </w:r>
            <w:r w:rsidRPr="002B2BAC">
              <w:t xml:space="preserve">What roles influence </w:t>
            </w:r>
            <w:r w:rsidRPr="002B2BAC">
              <w:rPr>
                <w:i/>
                <w:iCs/>
                <w:lang w:val="en-AU"/>
              </w:rPr>
              <w:t>perceptions</w:t>
            </w:r>
            <w:r w:rsidRPr="002B2BAC">
              <w:t xml:space="preserve"> of liveability, and liveability factors? Roles</w:t>
            </w:r>
            <w:r w:rsidR="00E770FA" w:rsidRPr="002B2BAC">
              <w:t xml:space="preserve"> </w:t>
            </w:r>
            <w:r w:rsidR="00646559">
              <w:t xml:space="preserve">that can be considered include </w:t>
            </w:r>
            <w:r w:rsidRPr="002B2BAC">
              <w:t>real estate agents</w:t>
            </w:r>
            <w:r w:rsidR="00E770FA" w:rsidRPr="002B2BAC">
              <w:t xml:space="preserve">, </w:t>
            </w:r>
            <w:r w:rsidRPr="002B2BAC">
              <w:t>photographers</w:t>
            </w:r>
            <w:r w:rsidR="00E770FA" w:rsidRPr="002B2BAC">
              <w:t xml:space="preserve">, </w:t>
            </w:r>
            <w:r w:rsidRPr="002B2BAC">
              <w:t>urban planners</w:t>
            </w:r>
            <w:r w:rsidR="00E770FA" w:rsidRPr="002B2BAC">
              <w:t xml:space="preserve">, </w:t>
            </w:r>
            <w:r w:rsidRPr="002B2BAC">
              <w:t xml:space="preserve">local </w:t>
            </w:r>
            <w:r w:rsidR="00E770FA" w:rsidRPr="002B2BAC">
              <w:t xml:space="preserve">council, </w:t>
            </w:r>
            <w:r w:rsidRPr="002B2BAC">
              <w:t xml:space="preserve">small </w:t>
            </w:r>
            <w:r w:rsidR="00E770FA" w:rsidRPr="002B2BAC">
              <w:t xml:space="preserve">business owners, </w:t>
            </w:r>
            <w:r w:rsidRPr="002B2BAC">
              <w:t xml:space="preserve">traffic </w:t>
            </w:r>
            <w:r w:rsidR="00E770FA" w:rsidRPr="002B2BAC">
              <w:t xml:space="preserve">engineers, </w:t>
            </w:r>
            <w:r w:rsidR="00646559">
              <w:t xml:space="preserve">and </w:t>
            </w:r>
            <w:r w:rsidRPr="002B2BAC">
              <w:t>social m</w:t>
            </w:r>
            <w:r w:rsidR="00E770FA" w:rsidRPr="002B2BAC">
              <w:t>edia influencers</w:t>
            </w:r>
            <w:r w:rsidRPr="002B2BAC">
              <w:t xml:space="preserve">. </w:t>
            </w:r>
          </w:p>
          <w:p w14:paraId="6FC53481" w14:textId="46BF66C6" w:rsidR="00E76603" w:rsidRPr="002B2BAC" w:rsidRDefault="00E76603" w:rsidP="008600CE">
            <w:pPr>
              <w:pStyle w:val="VCAAtablecondensed"/>
            </w:pPr>
            <w:r w:rsidRPr="002B2BAC">
              <w:lastRenderedPageBreak/>
              <w:t>Students select one of the career roles identified earlier and consider what the role entails, how</w:t>
            </w:r>
            <w:r w:rsidR="00E74673">
              <w:t xml:space="preserve"> someone in that role</w:t>
            </w:r>
            <w:r w:rsidRPr="002B2BAC">
              <w:t xml:space="preserve"> </w:t>
            </w:r>
            <w:r w:rsidR="00E74673">
              <w:t>c</w:t>
            </w:r>
            <w:r w:rsidRPr="002B2BAC">
              <w:t xml:space="preserve">ould improve liveability, </w:t>
            </w:r>
            <w:r w:rsidR="00E74673">
              <w:t xml:space="preserve">and </w:t>
            </w:r>
            <w:r w:rsidRPr="002B2BAC">
              <w:t xml:space="preserve">why they would want to improve the liveability rating. </w:t>
            </w:r>
            <w:r w:rsidR="00E74673">
              <w:t xml:space="preserve">Students </w:t>
            </w:r>
            <w:r w:rsidR="00E74673" w:rsidRPr="002B2BAC">
              <w:t xml:space="preserve">create a response about one way that someone in </w:t>
            </w:r>
            <w:r w:rsidR="00E74673">
              <w:t>that</w:t>
            </w:r>
            <w:r w:rsidR="00E74673" w:rsidRPr="002B2BAC">
              <w:t xml:space="preserve"> role could </w:t>
            </w:r>
            <w:r w:rsidR="00E74673">
              <w:t>improve</w:t>
            </w:r>
            <w:r w:rsidR="00E74673" w:rsidRPr="002B2BAC">
              <w:t xml:space="preserve"> the liveability of a specific place. </w:t>
            </w:r>
          </w:p>
          <w:p w14:paraId="0D137BAF" w14:textId="7FA23257" w:rsidR="00254888" w:rsidRPr="004E5544" w:rsidRDefault="00C63818" w:rsidP="008600CE">
            <w:pPr>
              <w:pStyle w:val="VCAAtablecondensed"/>
              <w:rPr>
                <w:color w:val="auto"/>
                <w:lang w:val="en-AU"/>
              </w:rPr>
            </w:pPr>
            <w:r w:rsidRPr="002B2BAC">
              <w:t>This</w:t>
            </w:r>
            <w:r w:rsidR="00C46EAA" w:rsidRPr="002B2BAC">
              <w:t xml:space="preserve"> </w:t>
            </w:r>
            <w:r w:rsidR="00E74673">
              <w:t>will develop a</w:t>
            </w:r>
            <w:r w:rsidR="00C46EAA" w:rsidRPr="002B2BAC">
              <w:t xml:space="preserve"> greater understanding </w:t>
            </w:r>
            <w:r w:rsidR="00E76603" w:rsidRPr="002B2BAC">
              <w:t>of</w:t>
            </w:r>
            <w:r w:rsidR="00C46EAA" w:rsidRPr="002B2BAC">
              <w:t xml:space="preserve"> how certain careers can create more employment due to improved liveability (</w:t>
            </w:r>
            <w:r w:rsidR="00E74673">
              <w:t>e.g. improved liv</w:t>
            </w:r>
            <w:r w:rsidR="0049167C">
              <w:t>e</w:t>
            </w:r>
            <w:r w:rsidR="00E74673">
              <w:t xml:space="preserve">ability </w:t>
            </w:r>
            <w:r w:rsidR="00746165">
              <w:t xml:space="preserve">might </w:t>
            </w:r>
            <w:r w:rsidR="00E74673">
              <w:t xml:space="preserve">lift </w:t>
            </w:r>
            <w:r w:rsidR="00C46EAA" w:rsidRPr="002B2BAC">
              <w:t>tourism.)</w:t>
            </w:r>
          </w:p>
        </w:tc>
      </w:tr>
      <w:tr w:rsidR="00457521" w:rsidRPr="004E5544" w14:paraId="63793E0F" w14:textId="77777777" w:rsidTr="002B2BAC">
        <w:tc>
          <w:tcPr>
            <w:tcW w:w="4957" w:type="dxa"/>
          </w:tcPr>
          <w:p w14:paraId="7674DB26" w14:textId="55E599C0" w:rsidR="00457521" w:rsidRPr="004E5544" w:rsidRDefault="00C46EAA" w:rsidP="00457521">
            <w:pPr>
              <w:pStyle w:val="VCAAtablecondensed"/>
              <w:rPr>
                <w:lang w:val="en-AU"/>
              </w:rPr>
            </w:pPr>
            <w:r w:rsidRPr="004E5544">
              <w:rPr>
                <w:lang w:val="en-AU"/>
              </w:rPr>
              <w:lastRenderedPageBreak/>
              <w:t xml:space="preserve">Teacher </w:t>
            </w:r>
            <w:r w:rsidR="0036433B">
              <w:rPr>
                <w:lang w:val="en-AU"/>
              </w:rPr>
              <w:t>leads a discussion on</w:t>
            </w:r>
            <w:r w:rsidRPr="004E5544">
              <w:rPr>
                <w:lang w:val="en-AU"/>
              </w:rPr>
              <w:t xml:space="preserve"> </w:t>
            </w:r>
            <w:r w:rsidR="00DE1E55" w:rsidRPr="004E5544">
              <w:rPr>
                <w:lang w:val="en-AU"/>
              </w:rPr>
              <w:t xml:space="preserve">why </w:t>
            </w:r>
            <w:r w:rsidRPr="004E5544">
              <w:rPr>
                <w:lang w:val="en-AU"/>
              </w:rPr>
              <w:t xml:space="preserve">liveability </w:t>
            </w:r>
            <w:r w:rsidR="00DE1E55" w:rsidRPr="004E5544">
              <w:rPr>
                <w:lang w:val="en-AU"/>
              </w:rPr>
              <w:t xml:space="preserve">factors may specifically influence the places </w:t>
            </w:r>
            <w:r w:rsidR="0036433B">
              <w:rPr>
                <w:lang w:val="en-AU"/>
              </w:rPr>
              <w:t>people</w:t>
            </w:r>
            <w:r w:rsidR="0036433B" w:rsidRPr="004E5544">
              <w:rPr>
                <w:lang w:val="en-AU"/>
              </w:rPr>
              <w:t xml:space="preserve"> </w:t>
            </w:r>
            <w:r w:rsidR="00DE1E55" w:rsidRPr="004E5544">
              <w:rPr>
                <w:lang w:val="en-AU"/>
              </w:rPr>
              <w:t>live or their perception of where they live.</w:t>
            </w:r>
          </w:p>
        </w:tc>
        <w:tc>
          <w:tcPr>
            <w:tcW w:w="4932" w:type="dxa"/>
          </w:tcPr>
          <w:p w14:paraId="7C083F81" w14:textId="124DA4F7" w:rsidR="00457521" w:rsidRPr="004E5544" w:rsidRDefault="00E76603" w:rsidP="00072AF1">
            <w:pPr>
              <w:pStyle w:val="VCAAtablecondensed"/>
              <w:rPr>
                <w:color w:val="auto"/>
                <w:lang w:val="en-AU"/>
              </w:rPr>
            </w:pPr>
            <w:r w:rsidRPr="002B2BAC">
              <w:t xml:space="preserve">Students reflect on the relationship between careers and the concept of liveability. They consider how their perceptions of where they live are influenced by the work of other people. </w:t>
            </w:r>
          </w:p>
        </w:tc>
      </w:tr>
    </w:tbl>
    <w:p w14:paraId="3F52BE49" w14:textId="7E95BA0F" w:rsidR="00DB533D" w:rsidRPr="004E5544" w:rsidRDefault="00B51FA6" w:rsidP="004F6DE0">
      <w:pPr>
        <w:pStyle w:val="VCAAHeading4"/>
        <w:rPr>
          <w:lang w:val="en-AU"/>
        </w:rPr>
      </w:pPr>
      <w:r w:rsidRPr="004E5544">
        <w:rPr>
          <w:lang w:val="en-AU"/>
        </w:rPr>
        <w:t>C</w:t>
      </w:r>
      <w:r w:rsidR="0038622E" w:rsidRPr="004E5544">
        <w:rPr>
          <w:lang w:val="en-AU"/>
        </w:rPr>
        <w:t>onsiderations</w:t>
      </w:r>
      <w:r w:rsidR="00255852" w:rsidRPr="004E5544">
        <w:rPr>
          <w:lang w:val="en-AU"/>
        </w:rPr>
        <w:t xml:space="preserve"> when </w:t>
      </w:r>
      <w:r w:rsidR="001A39A9" w:rsidRPr="004E5544">
        <w:rPr>
          <w:lang w:val="en-AU"/>
        </w:rPr>
        <w:t xml:space="preserve">adapting the </w:t>
      </w:r>
      <w:r w:rsidR="001926FE" w:rsidRPr="004E5544">
        <w:rPr>
          <w:lang w:val="en-AU"/>
        </w:rPr>
        <w:t>learning</w:t>
      </w:r>
      <w:r w:rsidR="00255852" w:rsidRPr="004E5544">
        <w:rPr>
          <w:lang w:val="en-AU"/>
        </w:rPr>
        <w:t xml:space="preserve"> activity</w:t>
      </w:r>
    </w:p>
    <w:p w14:paraId="03D84793" w14:textId="0957BC10" w:rsidR="00E16E65" w:rsidRPr="004E5544" w:rsidRDefault="00C7717E">
      <w:pPr>
        <w:pStyle w:val="VCAAbullet"/>
        <w:rPr>
          <w:lang w:val="en-AU" w:eastAsia="en-AU"/>
        </w:rPr>
      </w:pPr>
      <w:r w:rsidRPr="002B2BAC">
        <w:rPr>
          <w:szCs w:val="18"/>
          <w:lang w:val="en-AU"/>
        </w:rPr>
        <w:t xml:space="preserve">Teacher should be prepared to </w:t>
      </w:r>
      <w:r w:rsidR="0049167C">
        <w:rPr>
          <w:szCs w:val="18"/>
          <w:lang w:val="en-AU"/>
        </w:rPr>
        <w:t>help</w:t>
      </w:r>
      <w:r w:rsidRPr="002B2BAC">
        <w:rPr>
          <w:szCs w:val="18"/>
          <w:lang w:val="en-AU"/>
        </w:rPr>
        <w:t xml:space="preserve"> students as they explore the various roles that influence an area’s liveability, and perceptions of liveability. </w:t>
      </w:r>
      <w:r w:rsidRPr="004E5544">
        <w:rPr>
          <w:lang w:val="en-AU" w:eastAsia="en-AU"/>
        </w:rPr>
        <w:t>U</w:t>
      </w:r>
      <w:r w:rsidR="00E16E65" w:rsidRPr="004E5544">
        <w:rPr>
          <w:lang w:val="en-AU" w:eastAsia="en-AU"/>
        </w:rPr>
        <w:t>rban planners, traffic engineers</w:t>
      </w:r>
      <w:r w:rsidRPr="004E5544">
        <w:rPr>
          <w:lang w:val="en-AU" w:eastAsia="en-AU"/>
        </w:rPr>
        <w:t xml:space="preserve">, </w:t>
      </w:r>
      <w:r w:rsidR="00E16E65" w:rsidRPr="004E5544">
        <w:rPr>
          <w:lang w:val="en-AU" w:eastAsia="en-AU"/>
        </w:rPr>
        <w:t>real estate agents</w:t>
      </w:r>
      <w:r w:rsidR="00637ECF" w:rsidRPr="004E5544">
        <w:rPr>
          <w:lang w:val="en-AU" w:eastAsia="en-AU"/>
        </w:rPr>
        <w:t xml:space="preserve">, builders, local council, soil specialists, architects </w:t>
      </w:r>
      <w:r w:rsidR="0049167C">
        <w:rPr>
          <w:lang w:val="en-AU" w:eastAsia="en-AU"/>
        </w:rPr>
        <w:t>and others</w:t>
      </w:r>
      <w:r w:rsidR="00637ECF" w:rsidRPr="004E5544">
        <w:rPr>
          <w:lang w:val="en-AU" w:eastAsia="en-AU"/>
        </w:rPr>
        <w:t xml:space="preserve"> </w:t>
      </w:r>
      <w:r w:rsidR="0049167C">
        <w:rPr>
          <w:lang w:val="en-AU" w:eastAsia="en-AU"/>
        </w:rPr>
        <w:t xml:space="preserve">contribute to improving </w:t>
      </w:r>
      <w:r w:rsidR="00637ECF" w:rsidRPr="004E5544">
        <w:rPr>
          <w:lang w:val="en-AU" w:eastAsia="en-AU"/>
        </w:rPr>
        <w:t>a place</w:t>
      </w:r>
      <w:r w:rsidR="0049167C">
        <w:rPr>
          <w:lang w:val="en-AU" w:eastAsia="en-AU"/>
        </w:rPr>
        <w:t>’s liveability</w:t>
      </w:r>
      <w:r w:rsidR="00637ECF" w:rsidRPr="004E5544">
        <w:rPr>
          <w:lang w:val="en-AU" w:eastAsia="en-AU"/>
        </w:rPr>
        <w:t>.</w:t>
      </w:r>
      <w:r w:rsidRPr="004E5544">
        <w:rPr>
          <w:lang w:val="en-AU" w:eastAsia="en-AU"/>
        </w:rPr>
        <w:t xml:space="preserve"> Marketing, advertising and social media can also impact </w:t>
      </w:r>
      <w:r w:rsidR="0049167C">
        <w:rPr>
          <w:lang w:val="en-AU" w:eastAsia="en-AU"/>
        </w:rPr>
        <w:t>a place’s perceived liveability</w:t>
      </w:r>
      <w:r w:rsidRPr="004E5544">
        <w:rPr>
          <w:lang w:val="en-AU" w:eastAsia="en-AU"/>
        </w:rPr>
        <w:t xml:space="preserve">. </w:t>
      </w:r>
    </w:p>
    <w:p w14:paraId="1FB1AEC5" w14:textId="340EDDB1" w:rsidR="008B1278" w:rsidRPr="002B2BAC" w:rsidRDefault="00DB533D" w:rsidP="004F6DE0">
      <w:pPr>
        <w:pStyle w:val="VCAAHeading4"/>
        <w:rPr>
          <w:lang w:val="en-AU"/>
        </w:rPr>
      </w:pPr>
      <w:r w:rsidRPr="002B2BAC">
        <w:rPr>
          <w:lang w:val="en-AU"/>
        </w:rPr>
        <w:t xml:space="preserve">Additional resources to help when adapting the learning activity </w:t>
      </w:r>
    </w:p>
    <w:p w14:paraId="5CF68665" w14:textId="531123FE" w:rsidR="001F50B0" w:rsidRPr="002B2BAC" w:rsidRDefault="00BE28E1" w:rsidP="001F50B0">
      <w:pPr>
        <w:pStyle w:val="VCAAbody"/>
        <w:numPr>
          <w:ilvl w:val="0"/>
          <w:numId w:val="24"/>
        </w:numPr>
      </w:pPr>
      <w:r>
        <w:t>Australian Curriculum</w:t>
      </w:r>
      <w:r w:rsidR="00EE2A35">
        <w:t>, Geography</w:t>
      </w:r>
      <w:r>
        <w:t>:</w:t>
      </w:r>
      <w:r w:rsidR="000C6EAB" w:rsidRPr="002B2BAC">
        <w:t xml:space="preserve"> </w:t>
      </w:r>
      <w:r w:rsidR="00AE2F77" w:rsidRPr="002B2BAC">
        <w:t>‘</w:t>
      </w:r>
      <w:hyperlink r:id="rId13" w:tooltip="AC definition of 'liveability'" w:history="1">
        <w:r w:rsidR="000C6EAB" w:rsidRPr="002B2BAC">
          <w:rPr>
            <w:rStyle w:val="Hyperlink"/>
            <w:shd w:val="clear" w:color="auto" w:fill="FFFFFF"/>
            <w:lang w:val="en-AU"/>
          </w:rPr>
          <w:t>Liveability</w:t>
        </w:r>
      </w:hyperlink>
      <w:r w:rsidR="00394B79">
        <w:rPr>
          <w:shd w:val="clear" w:color="auto" w:fill="FFFFFF"/>
          <w:lang w:val="en-AU"/>
        </w:rPr>
        <w:t xml:space="preserve"> </w:t>
      </w:r>
      <w:r w:rsidR="00AE2F77" w:rsidRPr="002B2BAC">
        <w:t>–</w:t>
      </w:r>
      <w:r w:rsidR="000C6EAB" w:rsidRPr="002B2BAC"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An assessment of what a</w:t>
      </w:r>
      <w:r w:rsidR="00394B79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place</w:t>
      </w:r>
      <w:r w:rsidR="00394B79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is like to live in, using particular criteria, for example, environmental quality, crime and safety, education and health provision, access to shops and services, recreational facilities and cultural activities.’</w:t>
      </w:r>
    </w:p>
    <w:p w14:paraId="308BCEC9" w14:textId="54274A29" w:rsidR="001F50B0" w:rsidRPr="0051588E" w:rsidRDefault="00AE7563" w:rsidP="001F50B0">
      <w:pPr>
        <w:pStyle w:val="VCAAbody"/>
        <w:numPr>
          <w:ilvl w:val="0"/>
          <w:numId w:val="24"/>
        </w:numPr>
      </w:pPr>
      <w:r w:rsidRPr="002B2BAC">
        <w:rPr>
          <w:i/>
          <w:iCs/>
          <w:lang w:val="en-AU"/>
        </w:rPr>
        <w:t>The Economist</w:t>
      </w:r>
      <w:r w:rsidRPr="002B2BAC">
        <w:rPr>
          <w:lang w:val="en-AU"/>
        </w:rPr>
        <w:t xml:space="preserve"> Intelligence Unit, </w:t>
      </w:r>
      <w:hyperlink r:id="rId14" w:history="1">
        <w:r w:rsidRPr="002B2BAC">
          <w:rPr>
            <w:rStyle w:val="Hyperlink"/>
            <w:lang w:val="en-AU"/>
          </w:rPr>
          <w:t>The Global Liveability Index</w:t>
        </w:r>
      </w:hyperlink>
      <w:r w:rsidRPr="002B2BAC">
        <w:rPr>
          <w:lang w:val="en-AU"/>
        </w:rPr>
        <w:t xml:space="preserve"> </w:t>
      </w:r>
    </w:p>
    <w:p w14:paraId="69BBC039" w14:textId="0C69A78B" w:rsidR="00803209" w:rsidRPr="002B2BAC" w:rsidRDefault="004E5544" w:rsidP="001F50B0">
      <w:pPr>
        <w:pStyle w:val="VCAAbody"/>
        <w:numPr>
          <w:ilvl w:val="0"/>
          <w:numId w:val="24"/>
        </w:numPr>
      </w:pPr>
      <w:r w:rsidRPr="002B2BAC">
        <w:rPr>
          <w:i/>
          <w:iCs/>
          <w:lang w:val="en-AU"/>
        </w:rPr>
        <w:t>The Guardian</w:t>
      </w:r>
      <w:r>
        <w:rPr>
          <w:lang w:val="en-AU"/>
        </w:rPr>
        <w:t>, ‘</w:t>
      </w:r>
      <w:hyperlink r:id="rId15" w:history="1">
        <w:r w:rsidRPr="004E5544">
          <w:rPr>
            <w:rStyle w:val="Hyperlink"/>
            <w:lang w:val="en-AU"/>
          </w:rPr>
          <w:t>World's most liveable cities: Vienna's win leaves Sydney and Melbourne in a spin</w:t>
        </w:r>
      </w:hyperlink>
      <w:r>
        <w:rPr>
          <w:lang w:val="en-AU"/>
        </w:rPr>
        <w:t xml:space="preserve">’ </w:t>
      </w:r>
    </w:p>
    <w:p w14:paraId="5B6532E0" w14:textId="7608C5FC" w:rsidR="00F01253" w:rsidRPr="004E5544" w:rsidRDefault="00905484" w:rsidP="004F6DE0">
      <w:pPr>
        <w:pStyle w:val="VCAAHeading3"/>
        <w:rPr>
          <w:lang w:val="en-AU"/>
        </w:rPr>
      </w:pPr>
      <w:r w:rsidRPr="004E5544">
        <w:rPr>
          <w:lang w:val="en-AU"/>
        </w:rPr>
        <w:t>B</w:t>
      </w:r>
      <w:r w:rsidR="0038622E" w:rsidRPr="004E5544">
        <w:rPr>
          <w:lang w:val="en-AU"/>
        </w:rPr>
        <w:t>enefit</w:t>
      </w:r>
      <w:r w:rsidR="00425FD1" w:rsidRPr="004E5544">
        <w:rPr>
          <w:lang w:val="en-AU"/>
        </w:rPr>
        <w:t>s for</w:t>
      </w:r>
      <w:r w:rsidR="0038622E" w:rsidRPr="004E5544">
        <w:rPr>
          <w:lang w:val="en-AU"/>
        </w:rPr>
        <w:t xml:space="preserve"> </w:t>
      </w:r>
      <w:r w:rsidR="007E7D1F" w:rsidRPr="004E5544">
        <w:rPr>
          <w:lang w:val="en-AU"/>
        </w:rPr>
        <w:t>students</w:t>
      </w:r>
    </w:p>
    <w:p w14:paraId="7D5FAB03" w14:textId="19D9D739" w:rsidR="00F01253" w:rsidRPr="002B2BAC" w:rsidRDefault="001F3A38" w:rsidP="00F01253">
      <w:pPr>
        <w:pStyle w:val="VCAAbody"/>
      </w:pPr>
      <w:r>
        <w:rPr>
          <w:lang w:val="en-AU"/>
        </w:rPr>
        <w:t>Know yourself - s</w:t>
      </w:r>
      <w:r w:rsidR="00F01253" w:rsidRPr="004E5544">
        <w:rPr>
          <w:lang w:val="en-AU"/>
        </w:rPr>
        <w:t xml:space="preserve">elf-development: </w:t>
      </w:r>
    </w:p>
    <w:p w14:paraId="3648019A" w14:textId="5151CF72" w:rsidR="00F708D8" w:rsidRPr="002B2BAC" w:rsidRDefault="004A2A8B" w:rsidP="00E85D77">
      <w:pPr>
        <w:pStyle w:val="VCAAbullet"/>
      </w:pPr>
      <w:r w:rsidRPr="00503857">
        <w:rPr>
          <w:lang w:val="en-AU"/>
        </w:rPr>
        <w:t xml:space="preserve">As they write a response from a particular perspective, students develop their problem-solving abilities and </w:t>
      </w:r>
      <w:r w:rsidR="006062C7">
        <w:rPr>
          <w:lang w:val="en-AU"/>
        </w:rPr>
        <w:t xml:space="preserve">their </w:t>
      </w:r>
      <w:r w:rsidRPr="00503857">
        <w:rPr>
          <w:lang w:val="en-AU"/>
        </w:rPr>
        <w:t xml:space="preserve">ability to </w:t>
      </w:r>
      <w:r w:rsidRPr="00503857">
        <w:rPr>
          <w:bCs/>
          <w:lang w:val="en-AU"/>
        </w:rPr>
        <w:t>think creatively</w:t>
      </w:r>
      <w:r w:rsidRPr="00503857">
        <w:rPr>
          <w:lang w:val="en-AU"/>
        </w:rPr>
        <w:t>.</w:t>
      </w:r>
    </w:p>
    <w:p w14:paraId="20A965EF" w14:textId="271ACB7D" w:rsidR="0025693A" w:rsidRPr="002B2BAC" w:rsidRDefault="0025693A">
      <w:pPr>
        <w:pStyle w:val="VCAAbullet"/>
      </w:pPr>
      <w:r w:rsidRPr="00503857">
        <w:t xml:space="preserve">Students </w:t>
      </w:r>
      <w:r w:rsidR="006062C7">
        <w:t>improve their</w:t>
      </w:r>
      <w:r w:rsidRPr="00503857">
        <w:t xml:space="preserve"> ability to </w:t>
      </w:r>
      <w:r w:rsidRPr="00503857">
        <w:rPr>
          <w:bCs/>
        </w:rPr>
        <w:t>make informed choices</w:t>
      </w:r>
      <w:r w:rsidRPr="00503857">
        <w:t xml:space="preserve"> </w:t>
      </w:r>
      <w:r w:rsidR="00C8199C" w:rsidRPr="00503857">
        <w:t>as they understand the factors that influence</w:t>
      </w:r>
      <w:r w:rsidRPr="00503857">
        <w:t xml:space="preserve"> why </w:t>
      </w:r>
      <w:r w:rsidR="006062C7">
        <w:t xml:space="preserve">people choose to </w:t>
      </w:r>
      <w:r w:rsidRPr="00503857">
        <w:t xml:space="preserve">live where they do.  </w:t>
      </w:r>
    </w:p>
    <w:p w14:paraId="66FA02DD" w14:textId="79E9B723" w:rsidR="00F01253" w:rsidRPr="00503857" w:rsidRDefault="001F3A38">
      <w:pPr>
        <w:pStyle w:val="VCAAbody"/>
        <w:rPr>
          <w:lang w:val="en-AU"/>
        </w:rPr>
      </w:pPr>
      <w:r w:rsidRPr="00503857">
        <w:rPr>
          <w:lang w:val="en-AU"/>
        </w:rPr>
        <w:t>Know your world - c</w:t>
      </w:r>
      <w:r w:rsidR="00F01253" w:rsidRPr="00503857">
        <w:rPr>
          <w:lang w:val="en-AU"/>
        </w:rPr>
        <w:t xml:space="preserve">areer exploration: </w:t>
      </w:r>
    </w:p>
    <w:p w14:paraId="1112E592" w14:textId="6AAF1DB2" w:rsidR="00E85D77" w:rsidRPr="002B2BAC" w:rsidRDefault="00A8725A">
      <w:pPr>
        <w:pStyle w:val="VCAAbullet"/>
      </w:pPr>
      <w:r w:rsidRPr="002B2BAC">
        <w:rPr>
          <w:lang w:val="en-AU"/>
        </w:rPr>
        <w:t>Students gain an understanding of</w:t>
      </w:r>
      <w:r w:rsidR="009E2AD0" w:rsidRPr="002B2BAC">
        <w:rPr>
          <w:lang w:val="en-AU"/>
        </w:rPr>
        <w:t xml:space="preserve"> the influence </w:t>
      </w:r>
      <w:r w:rsidR="006E5915" w:rsidRPr="00503857">
        <w:rPr>
          <w:lang w:val="en-AU"/>
        </w:rPr>
        <w:t>various roles</w:t>
      </w:r>
      <w:r w:rsidR="009E2AD0" w:rsidRPr="002B2BAC">
        <w:rPr>
          <w:lang w:val="en-AU"/>
        </w:rPr>
        <w:t xml:space="preserve"> have in where </w:t>
      </w:r>
      <w:r w:rsidR="00C8199C" w:rsidRPr="00503857">
        <w:rPr>
          <w:lang w:val="en-AU"/>
        </w:rPr>
        <w:t>people</w:t>
      </w:r>
      <w:r w:rsidR="00C8199C" w:rsidRPr="002B2BAC">
        <w:rPr>
          <w:lang w:val="en-AU"/>
        </w:rPr>
        <w:t xml:space="preserve"> </w:t>
      </w:r>
      <w:r w:rsidR="009E2AD0" w:rsidRPr="002B2BAC">
        <w:rPr>
          <w:lang w:val="en-AU"/>
        </w:rPr>
        <w:t>choose to live</w:t>
      </w:r>
      <w:r w:rsidR="00C8199C" w:rsidRPr="00503857">
        <w:rPr>
          <w:lang w:val="en-AU"/>
        </w:rPr>
        <w:t>, and the tasks and aims of certain roles</w:t>
      </w:r>
      <w:r w:rsidRPr="002B2BAC">
        <w:rPr>
          <w:lang w:val="en-AU"/>
        </w:rPr>
        <w:t>.</w:t>
      </w:r>
      <w:r w:rsidR="006E5915" w:rsidRPr="00503857">
        <w:rPr>
          <w:lang w:val="en-AU"/>
        </w:rPr>
        <w:t xml:space="preserve"> </w:t>
      </w:r>
      <w:r w:rsidR="007A221E" w:rsidRPr="00503857">
        <w:rPr>
          <w:lang w:val="en-AU"/>
        </w:rPr>
        <w:t xml:space="preserve">This increases their </w:t>
      </w:r>
      <w:r w:rsidR="007A221E" w:rsidRPr="00503857">
        <w:rPr>
          <w:bCs/>
          <w:lang w:val="en-AU"/>
        </w:rPr>
        <w:t>understanding of the world of work.</w:t>
      </w:r>
    </w:p>
    <w:p w14:paraId="235EE798" w14:textId="0CEEE2C5" w:rsidR="00DB533D" w:rsidRPr="002B2BAC" w:rsidRDefault="00E85D77" w:rsidP="002B2BAC">
      <w:pPr>
        <w:pStyle w:val="VCAAbullet"/>
        <w:rPr>
          <w:lang w:val="en-AU"/>
        </w:rPr>
      </w:pPr>
      <w:r w:rsidRPr="00503857">
        <w:rPr>
          <w:lang w:val="en-AU"/>
        </w:rPr>
        <w:t xml:space="preserve">By researching how </w:t>
      </w:r>
      <w:r w:rsidR="00F012C5">
        <w:rPr>
          <w:lang w:val="en-AU"/>
        </w:rPr>
        <w:t>various</w:t>
      </w:r>
      <w:r w:rsidRPr="00503857">
        <w:rPr>
          <w:lang w:val="en-AU"/>
        </w:rPr>
        <w:t xml:space="preserve"> roles influence an area’s liveability, students learn to </w:t>
      </w:r>
      <w:r w:rsidRPr="00503857">
        <w:rPr>
          <w:bCs/>
          <w:lang w:val="en-AU"/>
        </w:rPr>
        <w:t>use information and technology effectively</w:t>
      </w:r>
      <w:r w:rsidRPr="00503857">
        <w:rPr>
          <w:lang w:val="en-AU"/>
        </w:rPr>
        <w:t xml:space="preserve">. </w:t>
      </w:r>
    </w:p>
    <w:p w14:paraId="5E11C16D" w14:textId="4202662D" w:rsidR="00F01253" w:rsidRPr="00503857" w:rsidRDefault="001F3A38" w:rsidP="00F01253">
      <w:pPr>
        <w:pStyle w:val="VCAAbody"/>
        <w:rPr>
          <w:lang w:val="en-AU"/>
        </w:rPr>
      </w:pPr>
      <w:r w:rsidRPr="00503857">
        <w:rPr>
          <w:lang w:val="en-AU"/>
        </w:rPr>
        <w:t>Manage your future</w:t>
      </w:r>
      <w:r w:rsidR="009E20C5" w:rsidRPr="00503857">
        <w:rPr>
          <w:lang w:val="en-AU"/>
        </w:rPr>
        <w:t xml:space="preserve"> - </w:t>
      </w:r>
      <w:r w:rsidRPr="00503857">
        <w:rPr>
          <w:lang w:val="en-AU"/>
        </w:rPr>
        <w:t>be proactive</w:t>
      </w:r>
      <w:r w:rsidR="00F01253" w:rsidRPr="00503857">
        <w:rPr>
          <w:lang w:val="en-AU"/>
        </w:rPr>
        <w:t xml:space="preserve">: </w:t>
      </w:r>
    </w:p>
    <w:p w14:paraId="5DD6FFBA" w14:textId="05582892" w:rsidR="00F01253" w:rsidRPr="002B2BAC" w:rsidRDefault="00F708D8" w:rsidP="002B2BAC">
      <w:pPr>
        <w:pStyle w:val="VCAAbullet"/>
      </w:pPr>
      <w:r w:rsidRPr="00503857">
        <w:rPr>
          <w:lang w:val="en-AU"/>
        </w:rPr>
        <w:t>Students</w:t>
      </w:r>
      <w:r w:rsidR="00212D31" w:rsidRPr="002B2BAC">
        <w:rPr>
          <w:lang w:val="en-AU"/>
        </w:rPr>
        <w:t xml:space="preserve"> develop </w:t>
      </w:r>
      <w:r w:rsidR="006E5915" w:rsidRPr="00503857">
        <w:rPr>
          <w:lang w:val="en-AU"/>
        </w:rPr>
        <w:t xml:space="preserve">employability skills such as </w:t>
      </w:r>
      <w:r w:rsidR="00212D31" w:rsidRPr="002B2BAC">
        <w:rPr>
          <w:lang w:val="en-AU"/>
        </w:rPr>
        <w:t>the ability to justify the</w:t>
      </w:r>
      <w:r w:rsidR="0025693A" w:rsidRPr="00503857">
        <w:rPr>
          <w:lang w:val="en-AU"/>
        </w:rPr>
        <w:t>ir</w:t>
      </w:r>
      <w:r w:rsidR="00212D31" w:rsidRPr="002B2BAC">
        <w:rPr>
          <w:lang w:val="en-AU"/>
        </w:rPr>
        <w:t xml:space="preserve"> choices through research, debate, communication skills and collaboration. </w:t>
      </w:r>
      <w:r w:rsidR="00A8725A" w:rsidRPr="002B2BAC">
        <w:rPr>
          <w:lang w:val="en-AU"/>
        </w:rPr>
        <w:t>They may also learn to justify and defend a cause and be involved in planning and decision-making.</w:t>
      </w:r>
    </w:p>
    <w:sectPr w:rsidR="00F01253" w:rsidRPr="002B2BAC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39B2" w14:textId="77777777" w:rsidR="00E17417" w:rsidRDefault="00E17417" w:rsidP="00304EA1">
      <w:pPr>
        <w:spacing w:after="0" w:line="240" w:lineRule="auto"/>
      </w:pPr>
      <w:r>
        <w:separator/>
      </w:r>
    </w:p>
  </w:endnote>
  <w:endnote w:type="continuationSeparator" w:id="0">
    <w:p w14:paraId="78782FCD" w14:textId="77777777" w:rsidR="00E17417" w:rsidRDefault="00E1741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1741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17417" w:rsidRPr="00D06414" w:rsidRDefault="00E1741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17417" w:rsidRPr="00D06414" w:rsidRDefault="00E17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483D5F4" w:rsidR="00E17417" w:rsidRPr="00D06414" w:rsidRDefault="00E174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47F6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17417" w:rsidRPr="00D06414" w:rsidRDefault="00E174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1741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17417" w:rsidRPr="00D06414" w:rsidRDefault="00E17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17417" w:rsidRPr="00D06414" w:rsidRDefault="00E17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17417" w:rsidRPr="00D06414" w:rsidRDefault="00E174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17417" w:rsidRPr="00D06414" w:rsidRDefault="00E174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BC09" w14:textId="77777777" w:rsidR="00E17417" w:rsidRDefault="00E17417" w:rsidP="00304EA1">
      <w:pPr>
        <w:spacing w:after="0" w:line="240" w:lineRule="auto"/>
      </w:pPr>
      <w:r>
        <w:separator/>
      </w:r>
    </w:p>
  </w:footnote>
  <w:footnote w:type="continuationSeparator" w:id="0">
    <w:p w14:paraId="183E3978" w14:textId="77777777" w:rsidR="00E17417" w:rsidRDefault="00E1741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9E1F10D" w:rsidR="00E17417" w:rsidRPr="0038622E" w:rsidRDefault="00E17417" w:rsidP="0038622E">
    <w:pPr>
      <w:pStyle w:val="VCAAbody"/>
      <w:rPr>
        <w:color w:val="0F7EB4"/>
      </w:rPr>
    </w:pPr>
    <w:r>
      <w:t>Embedding career education in the Victorian Curriculum F–10 – Geography,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E17417" w:rsidRPr="009370BC" w:rsidRDefault="00E1741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1EA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92B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4C5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1CC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03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C1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C0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AB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0A49"/>
    <w:multiLevelType w:val="hybridMultilevel"/>
    <w:tmpl w:val="68B8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528"/>
    <w:multiLevelType w:val="hybridMultilevel"/>
    <w:tmpl w:val="EA5EA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20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77032"/>
    <w:rsid w:val="00086CFC"/>
    <w:rsid w:val="00097F58"/>
    <w:rsid w:val="000A71F7"/>
    <w:rsid w:val="000B152F"/>
    <w:rsid w:val="000C6EAB"/>
    <w:rsid w:val="000F09E4"/>
    <w:rsid w:val="000F16FD"/>
    <w:rsid w:val="000F5AAF"/>
    <w:rsid w:val="0012374D"/>
    <w:rsid w:val="00143520"/>
    <w:rsid w:val="00153AD2"/>
    <w:rsid w:val="001779EA"/>
    <w:rsid w:val="001926FE"/>
    <w:rsid w:val="001A39A9"/>
    <w:rsid w:val="001D3246"/>
    <w:rsid w:val="001E71C3"/>
    <w:rsid w:val="001F3A38"/>
    <w:rsid w:val="001F50B0"/>
    <w:rsid w:val="001F5D88"/>
    <w:rsid w:val="00212D31"/>
    <w:rsid w:val="002279BA"/>
    <w:rsid w:val="002329F3"/>
    <w:rsid w:val="00243F0D"/>
    <w:rsid w:val="00254888"/>
    <w:rsid w:val="00255852"/>
    <w:rsid w:val="0025693A"/>
    <w:rsid w:val="00260767"/>
    <w:rsid w:val="002647BB"/>
    <w:rsid w:val="002754C1"/>
    <w:rsid w:val="002841C8"/>
    <w:rsid w:val="0028516B"/>
    <w:rsid w:val="00287B67"/>
    <w:rsid w:val="002B103A"/>
    <w:rsid w:val="002B2BAC"/>
    <w:rsid w:val="002C6486"/>
    <w:rsid w:val="002C6F90"/>
    <w:rsid w:val="002D2791"/>
    <w:rsid w:val="002E4FB5"/>
    <w:rsid w:val="002F3D18"/>
    <w:rsid w:val="00302FB8"/>
    <w:rsid w:val="0030470E"/>
    <w:rsid w:val="00304EA1"/>
    <w:rsid w:val="00314D81"/>
    <w:rsid w:val="00322FC6"/>
    <w:rsid w:val="00335553"/>
    <w:rsid w:val="0035293F"/>
    <w:rsid w:val="0036433B"/>
    <w:rsid w:val="0038622E"/>
    <w:rsid w:val="00391986"/>
    <w:rsid w:val="00392864"/>
    <w:rsid w:val="00394B79"/>
    <w:rsid w:val="003A00B4"/>
    <w:rsid w:val="003B3A38"/>
    <w:rsid w:val="003C394F"/>
    <w:rsid w:val="003C5E71"/>
    <w:rsid w:val="003F5C4A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8712D"/>
    <w:rsid w:val="0049167C"/>
    <w:rsid w:val="00495C80"/>
    <w:rsid w:val="004A2A8B"/>
    <w:rsid w:val="004A2ED8"/>
    <w:rsid w:val="004D70CD"/>
    <w:rsid w:val="004E5544"/>
    <w:rsid w:val="004F5BDA"/>
    <w:rsid w:val="004F6DE0"/>
    <w:rsid w:val="00503857"/>
    <w:rsid w:val="0051588E"/>
    <w:rsid w:val="0051631E"/>
    <w:rsid w:val="00537A1F"/>
    <w:rsid w:val="00547F63"/>
    <w:rsid w:val="00563E1D"/>
    <w:rsid w:val="00566029"/>
    <w:rsid w:val="00567FD3"/>
    <w:rsid w:val="00590BD1"/>
    <w:rsid w:val="005923CB"/>
    <w:rsid w:val="005B391B"/>
    <w:rsid w:val="005D3D78"/>
    <w:rsid w:val="005D7236"/>
    <w:rsid w:val="005D764B"/>
    <w:rsid w:val="005E2EF0"/>
    <w:rsid w:val="005F4092"/>
    <w:rsid w:val="006062C7"/>
    <w:rsid w:val="00610518"/>
    <w:rsid w:val="00633087"/>
    <w:rsid w:val="00637ECF"/>
    <w:rsid w:val="00646559"/>
    <w:rsid w:val="006542CD"/>
    <w:rsid w:val="00660845"/>
    <w:rsid w:val="0068471E"/>
    <w:rsid w:val="00684F98"/>
    <w:rsid w:val="00693FFD"/>
    <w:rsid w:val="006D2159"/>
    <w:rsid w:val="006E5915"/>
    <w:rsid w:val="006F787C"/>
    <w:rsid w:val="00702636"/>
    <w:rsid w:val="00724507"/>
    <w:rsid w:val="00727C75"/>
    <w:rsid w:val="00746165"/>
    <w:rsid w:val="007623B9"/>
    <w:rsid w:val="00773E6C"/>
    <w:rsid w:val="00774916"/>
    <w:rsid w:val="00781FB1"/>
    <w:rsid w:val="007A0E4B"/>
    <w:rsid w:val="007A221E"/>
    <w:rsid w:val="007B0505"/>
    <w:rsid w:val="007D1B6D"/>
    <w:rsid w:val="007E7D1F"/>
    <w:rsid w:val="007F23D7"/>
    <w:rsid w:val="00803209"/>
    <w:rsid w:val="00813C37"/>
    <w:rsid w:val="008154B5"/>
    <w:rsid w:val="00823962"/>
    <w:rsid w:val="00852719"/>
    <w:rsid w:val="008600CE"/>
    <w:rsid w:val="00860115"/>
    <w:rsid w:val="008805E6"/>
    <w:rsid w:val="0088783C"/>
    <w:rsid w:val="008B1278"/>
    <w:rsid w:val="008C0A84"/>
    <w:rsid w:val="008D0ABF"/>
    <w:rsid w:val="008D57CA"/>
    <w:rsid w:val="009034C5"/>
    <w:rsid w:val="00905484"/>
    <w:rsid w:val="009370BC"/>
    <w:rsid w:val="00970580"/>
    <w:rsid w:val="0098739B"/>
    <w:rsid w:val="009A2CC8"/>
    <w:rsid w:val="009B61E5"/>
    <w:rsid w:val="009C574E"/>
    <w:rsid w:val="009D1E89"/>
    <w:rsid w:val="009E20C5"/>
    <w:rsid w:val="009E2AD0"/>
    <w:rsid w:val="009E5707"/>
    <w:rsid w:val="00A13223"/>
    <w:rsid w:val="00A17661"/>
    <w:rsid w:val="00A24B2D"/>
    <w:rsid w:val="00A27DCD"/>
    <w:rsid w:val="00A40966"/>
    <w:rsid w:val="00A50E81"/>
    <w:rsid w:val="00A55C53"/>
    <w:rsid w:val="00A8725A"/>
    <w:rsid w:val="00A921E0"/>
    <w:rsid w:val="00A922F4"/>
    <w:rsid w:val="00AD1899"/>
    <w:rsid w:val="00AD59D5"/>
    <w:rsid w:val="00AE21C6"/>
    <w:rsid w:val="00AE2F77"/>
    <w:rsid w:val="00AE5526"/>
    <w:rsid w:val="00AE619E"/>
    <w:rsid w:val="00AE7563"/>
    <w:rsid w:val="00AF051B"/>
    <w:rsid w:val="00B01578"/>
    <w:rsid w:val="00B0738F"/>
    <w:rsid w:val="00B13D3B"/>
    <w:rsid w:val="00B230DB"/>
    <w:rsid w:val="00B26601"/>
    <w:rsid w:val="00B30E01"/>
    <w:rsid w:val="00B41951"/>
    <w:rsid w:val="00B42FC5"/>
    <w:rsid w:val="00B51FA6"/>
    <w:rsid w:val="00B53229"/>
    <w:rsid w:val="00B62480"/>
    <w:rsid w:val="00B715E9"/>
    <w:rsid w:val="00B74D78"/>
    <w:rsid w:val="00B81B70"/>
    <w:rsid w:val="00BB3BAB"/>
    <w:rsid w:val="00BD0435"/>
    <w:rsid w:val="00BD0724"/>
    <w:rsid w:val="00BD2B91"/>
    <w:rsid w:val="00BE28E1"/>
    <w:rsid w:val="00BE2CDA"/>
    <w:rsid w:val="00BE5521"/>
    <w:rsid w:val="00BF6C23"/>
    <w:rsid w:val="00C2005D"/>
    <w:rsid w:val="00C3152E"/>
    <w:rsid w:val="00C46EAA"/>
    <w:rsid w:val="00C53263"/>
    <w:rsid w:val="00C63818"/>
    <w:rsid w:val="00C6415E"/>
    <w:rsid w:val="00C75F1D"/>
    <w:rsid w:val="00C7717E"/>
    <w:rsid w:val="00C8199C"/>
    <w:rsid w:val="00C95156"/>
    <w:rsid w:val="00CA0DC2"/>
    <w:rsid w:val="00CB68E8"/>
    <w:rsid w:val="00D04F01"/>
    <w:rsid w:val="00D06414"/>
    <w:rsid w:val="00D13E7C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1E55"/>
    <w:rsid w:val="00DE51DB"/>
    <w:rsid w:val="00E16E65"/>
    <w:rsid w:val="00E17417"/>
    <w:rsid w:val="00E23F1D"/>
    <w:rsid w:val="00E30E05"/>
    <w:rsid w:val="00E36361"/>
    <w:rsid w:val="00E419A1"/>
    <w:rsid w:val="00E55AE9"/>
    <w:rsid w:val="00E56D1D"/>
    <w:rsid w:val="00E6275F"/>
    <w:rsid w:val="00E74673"/>
    <w:rsid w:val="00E76603"/>
    <w:rsid w:val="00E770FA"/>
    <w:rsid w:val="00E85D77"/>
    <w:rsid w:val="00E9592C"/>
    <w:rsid w:val="00EA2830"/>
    <w:rsid w:val="00EB0C84"/>
    <w:rsid w:val="00EE2A35"/>
    <w:rsid w:val="00EF1E25"/>
    <w:rsid w:val="00F01253"/>
    <w:rsid w:val="00F012C5"/>
    <w:rsid w:val="00F05269"/>
    <w:rsid w:val="00F148C9"/>
    <w:rsid w:val="00F17FDE"/>
    <w:rsid w:val="00F40D53"/>
    <w:rsid w:val="00F4525C"/>
    <w:rsid w:val="00F476E3"/>
    <w:rsid w:val="00F50D86"/>
    <w:rsid w:val="00F51ABE"/>
    <w:rsid w:val="00F6610F"/>
    <w:rsid w:val="00F708D8"/>
    <w:rsid w:val="00FB23F1"/>
    <w:rsid w:val="00FD29D3"/>
    <w:rsid w:val="00FE2873"/>
    <w:rsid w:val="00FE3F0B"/>
    <w:rsid w:val="00FF249E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34C5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0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f-10-curriculum/humanities-and-social-sciences/geography/?strand=Geographical+Knowledge+and+Understanding&amp;strand=Geographical+Inquiry+and+Skills&amp;capability=ignore&amp;priority=ignore&amp;year=12377&amp;elaborations=true&amp;cd=ACHGK045&amp;searchTerm=ACHGK04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iu.com/topic/liveabili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K1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eguardian.com/australia-news/2019/sep/04/worlds-most-liveable-cities-viennas-win-leaves-sydney-and-melbourne-in-a-spi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iu.com/topic/liveabilit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9B176-241B-4A0A-B973-0A2BAE8F8772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7B763A-6A71-4D1A-A112-5B1F1AC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6229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Geography</cp:keywords>
  <dc:description/>
  <cp:lastModifiedBy/>
  <cp:revision>1</cp:revision>
  <cp:lastPrinted>2020-03-04T04:43:00Z</cp:lastPrinted>
  <dcterms:created xsi:type="dcterms:W3CDTF">2020-09-22T07:38:00Z</dcterms:created>
  <dcterms:modified xsi:type="dcterms:W3CDTF">2020-09-24T04:22:00Z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