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C30E4" w14:textId="30A1D0CA" w:rsidR="00086CFC" w:rsidRDefault="00C2005D" w:rsidP="002D7717">
      <w:pPr>
        <w:pStyle w:val="VCAAHeading1"/>
      </w:pPr>
      <w:r>
        <w:t>E</w:t>
      </w:r>
      <w:r w:rsidR="00E56D1D">
        <w:t>m</w:t>
      </w:r>
      <w:r w:rsidR="007E7D1F">
        <w:t xml:space="preserve">bedding </w:t>
      </w:r>
      <w:r w:rsidR="000719F3">
        <w:t>career education</w:t>
      </w:r>
      <w:r w:rsidR="007E7D1F">
        <w:t xml:space="preserve"> in </w:t>
      </w:r>
      <w:r w:rsidR="00E56D1D">
        <w:t xml:space="preserve">the Victorian Curriculum </w:t>
      </w:r>
      <w:r w:rsidR="00335E9F">
        <w:t>F</w:t>
      </w:r>
      <w:r w:rsidR="00E56D1D">
        <w:t>–10</w:t>
      </w:r>
      <w:r w:rsidR="00086CFC">
        <w:t xml:space="preserve"> </w:t>
      </w:r>
    </w:p>
    <w:p w14:paraId="309AA2D5" w14:textId="63F57E5C" w:rsidR="004F6DE0" w:rsidRPr="008C0A84" w:rsidRDefault="00BD4C8E" w:rsidP="004F6DE0">
      <w:pPr>
        <w:pStyle w:val="VCAAHeading2"/>
        <w:rPr>
          <w:lang w:val="en-AU"/>
        </w:rPr>
      </w:pPr>
      <w:bookmarkStart w:id="0" w:name="TemplateOverview"/>
      <w:bookmarkEnd w:id="0"/>
      <w:r>
        <w:rPr>
          <w:lang w:val="en-AU"/>
        </w:rPr>
        <w:t>Indonesian</w:t>
      </w:r>
      <w:r w:rsidR="0017214A">
        <w:rPr>
          <w:lang w:val="en-AU"/>
        </w:rPr>
        <w:t xml:space="preserve">: </w:t>
      </w:r>
      <w:r w:rsidR="00A56C0A">
        <w:rPr>
          <w:lang w:val="en-AU"/>
        </w:rPr>
        <w:t>F</w:t>
      </w:r>
      <w:r w:rsidR="00335E9F">
        <w:rPr>
          <w:lang w:val="en-AU"/>
        </w:rPr>
        <w:t>–10 Sequence</w:t>
      </w:r>
      <w:r w:rsidR="004F6DE0" w:rsidRPr="008C0A84">
        <w:rPr>
          <w:lang w:val="en-AU"/>
        </w:rPr>
        <w:t xml:space="preserve">, Levels </w:t>
      </w:r>
      <w:r w:rsidR="00A56C0A">
        <w:rPr>
          <w:lang w:val="en-AU"/>
        </w:rPr>
        <w:t>7</w:t>
      </w:r>
      <w:r w:rsidR="004F6DE0" w:rsidRPr="008C0A84">
        <w:rPr>
          <w:lang w:val="en-AU"/>
        </w:rPr>
        <w:t xml:space="preserve"> and </w:t>
      </w:r>
      <w:r w:rsidR="00A56C0A">
        <w:rPr>
          <w:lang w:val="en-AU"/>
        </w:rPr>
        <w:t>8</w:t>
      </w:r>
      <w:r w:rsidR="00335E9F">
        <w:rPr>
          <w:lang w:val="en-AU"/>
        </w:rPr>
        <w:t xml:space="preserve"> </w:t>
      </w:r>
    </w:p>
    <w:p w14:paraId="2E354ED1" w14:textId="313BC5D4" w:rsidR="0038622E" w:rsidRPr="008C0A84" w:rsidRDefault="008B1278" w:rsidP="004F6DE0">
      <w:pPr>
        <w:pStyle w:val="VCAAbodyintrotext"/>
        <w:rPr>
          <w:lang w:val="en-AU"/>
        </w:rPr>
      </w:pPr>
      <w:r w:rsidRPr="008C0A84">
        <w:rPr>
          <w:lang w:val="en-AU"/>
        </w:rPr>
        <w:t>An e</w:t>
      </w:r>
      <w:r w:rsidR="00C6415E" w:rsidRPr="008C0A84">
        <w:rPr>
          <w:lang w:val="en-AU"/>
        </w:rPr>
        <w:t>xisting l</w:t>
      </w:r>
      <w:r w:rsidRPr="008C0A84">
        <w:rPr>
          <w:lang w:val="en-AU"/>
        </w:rPr>
        <w:t>earning activity</w:t>
      </w:r>
      <w:r w:rsidR="00254888" w:rsidRPr="008C0A84">
        <w:rPr>
          <w:lang w:val="en-AU"/>
        </w:rPr>
        <w:t xml:space="preserve"> linked to</w:t>
      </w:r>
      <w:r w:rsidRPr="008C0A84">
        <w:rPr>
          <w:lang w:val="en-AU"/>
        </w:rPr>
        <w:t xml:space="preserve"> a </w:t>
      </w:r>
      <w:proofErr w:type="gramStart"/>
      <w:r w:rsidRPr="008C0A84">
        <w:rPr>
          <w:lang w:val="en-AU"/>
        </w:rPr>
        <w:t>particular learning</w:t>
      </w:r>
      <w:proofErr w:type="gramEnd"/>
      <w:r w:rsidRPr="008C0A84">
        <w:rPr>
          <w:lang w:val="en-AU"/>
        </w:rPr>
        <w:t xml:space="preserve"> area or capability in the</w:t>
      </w:r>
      <w:r w:rsidR="00C6415E" w:rsidRPr="008C0A84">
        <w:rPr>
          <w:lang w:val="en-AU"/>
        </w:rPr>
        <w:t xml:space="preserve"> Victorian Curriculum F–10</w:t>
      </w:r>
      <w:r w:rsidR="0038622E" w:rsidRPr="008C0A84">
        <w:rPr>
          <w:lang w:val="en-AU"/>
        </w:rPr>
        <w:t xml:space="preserve"> can be</w:t>
      </w:r>
      <w:r w:rsidR="00255852" w:rsidRPr="008C0A84">
        <w:rPr>
          <w:lang w:val="en-AU"/>
        </w:rPr>
        <w:t xml:space="preserve"> easily</w:t>
      </w:r>
      <w:r w:rsidR="0038622E" w:rsidRPr="008C0A84">
        <w:rPr>
          <w:lang w:val="en-AU"/>
        </w:rPr>
        <w:t xml:space="preserve"> </w:t>
      </w:r>
      <w:r w:rsidR="00255852" w:rsidRPr="008C0A84">
        <w:rPr>
          <w:lang w:val="en-AU"/>
        </w:rPr>
        <w:t xml:space="preserve">adapted </w:t>
      </w:r>
      <w:r w:rsidR="0038622E" w:rsidRPr="008C0A84">
        <w:rPr>
          <w:lang w:val="en-AU"/>
        </w:rPr>
        <w:t xml:space="preserve">to incorporate </w:t>
      </w:r>
      <w:r w:rsidR="000719F3">
        <w:rPr>
          <w:lang w:val="en-AU"/>
        </w:rPr>
        <w:t>career education</w:t>
      </w:r>
      <w:r w:rsidR="00255852" w:rsidRPr="008C0A84">
        <w:rPr>
          <w:lang w:val="en-AU"/>
        </w:rPr>
        <w:t>, enriching students’ career-related learning and skill development</w:t>
      </w:r>
      <w:r w:rsidR="00C6415E" w:rsidRPr="008C0A84">
        <w:rPr>
          <w:lang w:val="en-AU"/>
        </w:rPr>
        <w:t xml:space="preserve">. </w:t>
      </w:r>
    </w:p>
    <w:p w14:paraId="27EE590C" w14:textId="43E2E57C" w:rsidR="00255852" w:rsidRPr="008C0A84" w:rsidRDefault="00254888" w:rsidP="004F6DE0">
      <w:pPr>
        <w:pStyle w:val="VCAAHeading3"/>
        <w:rPr>
          <w:lang w:val="en-AU"/>
        </w:rPr>
      </w:pPr>
      <w:r w:rsidRPr="002D1489">
        <w:rPr>
          <w:lang w:val="en-AU"/>
        </w:rPr>
        <w:t>1. Identify an existing learning activity</w:t>
      </w:r>
      <w:r w:rsidRPr="008C0A84">
        <w:rPr>
          <w:lang w:val="en-AU"/>
        </w:rPr>
        <w:t xml:space="preserve"> </w:t>
      </w:r>
    </w:p>
    <w:p w14:paraId="0AE57492" w14:textId="615E90DF" w:rsidR="008B1278" w:rsidRPr="008C0A84" w:rsidRDefault="008B1278" w:rsidP="002D7717">
      <w:pPr>
        <w:pStyle w:val="VCAAbody-withlargetabandhangingindent"/>
      </w:pPr>
      <w:r w:rsidRPr="008C0A84">
        <w:rPr>
          <w:b/>
        </w:rPr>
        <w:t>Curriculum area and levels:</w:t>
      </w:r>
      <w:r w:rsidRPr="008C0A84">
        <w:tab/>
      </w:r>
      <w:r w:rsidR="00BD4C8E">
        <w:t>Indonesian</w:t>
      </w:r>
      <w:r w:rsidRPr="008C0A84">
        <w:t xml:space="preserve">, Levels </w:t>
      </w:r>
      <w:r w:rsidR="00A56C0A">
        <w:t>7</w:t>
      </w:r>
      <w:r w:rsidRPr="008C0A84">
        <w:t xml:space="preserve"> and </w:t>
      </w:r>
      <w:r w:rsidR="00A56C0A">
        <w:t>8</w:t>
      </w:r>
    </w:p>
    <w:p w14:paraId="540E05E6" w14:textId="71A544E2" w:rsidR="00CB2143" w:rsidRPr="00862336" w:rsidRDefault="00254888" w:rsidP="00C233C2">
      <w:pPr>
        <w:pStyle w:val="VCAAbody-withlargetabandhangingindent"/>
        <w:rPr>
          <w:rStyle w:val="Hyperlink"/>
          <w:color w:val="000000" w:themeColor="text1"/>
          <w:szCs w:val="20"/>
          <w:u w:val="none"/>
          <w:shd w:val="clear" w:color="auto" w:fill="FFFFFF"/>
        </w:rPr>
      </w:pPr>
      <w:r w:rsidRPr="008C0A84">
        <w:rPr>
          <w:b/>
        </w:rPr>
        <w:t>Relevant c</w:t>
      </w:r>
      <w:r w:rsidR="008B1278" w:rsidRPr="008C0A84">
        <w:rPr>
          <w:b/>
        </w:rPr>
        <w:t>ontent description:</w:t>
      </w:r>
      <w:r w:rsidR="008B1278" w:rsidRPr="008C0A84">
        <w:tab/>
      </w:r>
      <w:r w:rsidR="00C233C2" w:rsidRPr="002D7717">
        <w:t>Give presentations to describe, compare and report on experiences and topics of interest </w:t>
      </w:r>
      <w:hyperlink r:id="rId11" w:tooltip="View elaborations and additional details of VCIDC056" w:history="1">
        <w:r w:rsidR="00C233C2" w:rsidRPr="00C233C2">
          <w:rPr>
            <w:rStyle w:val="Hyperlink"/>
            <w:szCs w:val="20"/>
            <w:shd w:val="clear" w:color="auto" w:fill="FFFFFF"/>
          </w:rPr>
          <w:t>(VCIDC056)</w:t>
        </w:r>
      </w:hyperlink>
    </w:p>
    <w:p w14:paraId="36A2C730" w14:textId="7FCCEF97" w:rsidR="007E7D1F" w:rsidRPr="002D7717" w:rsidRDefault="00B51FA6" w:rsidP="00C233C2">
      <w:pPr>
        <w:pStyle w:val="VCAAbody-withlargetabandhangingindent"/>
      </w:pPr>
      <w:r w:rsidRPr="008C0A84">
        <w:rPr>
          <w:b/>
        </w:rPr>
        <w:t>Existing a</w:t>
      </w:r>
      <w:r w:rsidR="00254888" w:rsidRPr="008C0A84">
        <w:rPr>
          <w:b/>
        </w:rPr>
        <w:t>ctivity</w:t>
      </w:r>
      <w:r w:rsidR="00097F58">
        <w:rPr>
          <w:b/>
        </w:rPr>
        <w:t>:</w:t>
      </w:r>
      <w:r w:rsidR="00254888" w:rsidRPr="008C0A84">
        <w:tab/>
      </w:r>
      <w:r w:rsidR="00F10668" w:rsidRPr="002D7717">
        <w:t>Mak</w:t>
      </w:r>
      <w:r w:rsidR="001A652E" w:rsidRPr="002D7717">
        <w:t>ing a</w:t>
      </w:r>
      <w:r w:rsidR="00F10668" w:rsidRPr="002D7717">
        <w:t xml:space="preserve"> v</w:t>
      </w:r>
      <w:r w:rsidR="00C233C2" w:rsidRPr="002D7717">
        <w:t>ideo recording</w:t>
      </w:r>
      <w:r w:rsidR="00F10668" w:rsidRPr="002D7717">
        <w:t xml:space="preserve"> of</w:t>
      </w:r>
      <w:r w:rsidR="00C233C2" w:rsidRPr="002D7717">
        <w:t xml:space="preserve"> a cooking or game demonstration</w:t>
      </w:r>
      <w:r w:rsidR="00910A5C" w:rsidRPr="002D7717">
        <w:t>.</w:t>
      </w:r>
    </w:p>
    <w:p w14:paraId="78355413" w14:textId="2FB6BFFE" w:rsidR="003C60DB" w:rsidRPr="003C60DB" w:rsidRDefault="00421DB1" w:rsidP="003C60DB">
      <w:pPr>
        <w:pStyle w:val="VCAAbody-withlargetabandhangingindent"/>
      </w:pPr>
      <w:r w:rsidRPr="0017214A">
        <w:rPr>
          <w:b/>
          <w:bCs/>
        </w:rPr>
        <w:t>Summary of adaptation, change, addition:</w:t>
      </w:r>
      <w:r w:rsidRPr="0017214A">
        <w:rPr>
          <w:b/>
          <w:bCs/>
        </w:rPr>
        <w:tab/>
      </w:r>
      <w:r w:rsidR="00F10668">
        <w:t>Mak</w:t>
      </w:r>
      <w:r w:rsidR="001A652E">
        <w:t>ing a</w:t>
      </w:r>
      <w:r w:rsidR="00F10668">
        <w:t xml:space="preserve"> video recording as a learning activity for primary school students learning Indonesian </w:t>
      </w:r>
      <w:r w:rsidR="001A652E">
        <w:t>and</w:t>
      </w:r>
      <w:r w:rsidR="00F10668">
        <w:t xml:space="preserve"> </w:t>
      </w:r>
      <w:r w:rsidR="001A652E">
        <w:t>reflecting</w:t>
      </w:r>
      <w:r w:rsidR="00F10668">
        <w:t xml:space="preserve"> on feedback from target audience.</w:t>
      </w:r>
    </w:p>
    <w:p w14:paraId="65DFB73F" w14:textId="58AF4A59" w:rsidR="00254888" w:rsidRDefault="00254888" w:rsidP="002D7717">
      <w:pPr>
        <w:pStyle w:val="VCAAHeading3"/>
        <w:rPr>
          <w:lang w:val="en-AU"/>
        </w:rPr>
      </w:pPr>
      <w:r w:rsidRPr="002D1489">
        <w:rPr>
          <w:lang w:val="en-AU"/>
        </w:rPr>
        <w:t xml:space="preserve">2. Adapt the learning activity to </w:t>
      </w:r>
      <w:r w:rsidR="00FF47DF" w:rsidRPr="002D1489">
        <w:rPr>
          <w:lang w:val="en-AU"/>
        </w:rPr>
        <w:t>include</w:t>
      </w:r>
      <w:r w:rsidRPr="002D1489">
        <w:rPr>
          <w:lang w:val="en-AU"/>
        </w:rPr>
        <w:t xml:space="preserve"> a </w:t>
      </w:r>
      <w:r w:rsidR="000719F3">
        <w:rPr>
          <w:lang w:val="en-AU"/>
        </w:rPr>
        <w:t>career education</w:t>
      </w:r>
      <w:r w:rsidRPr="002D1489">
        <w:rPr>
          <w:lang w:val="en-AU"/>
        </w:rPr>
        <w:t xml:space="preserve">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3964"/>
        <w:gridCol w:w="5925"/>
      </w:tblGrid>
      <w:tr w:rsidR="00254888" w:rsidRPr="008C0A84" w14:paraId="47FFE019" w14:textId="77777777" w:rsidTr="00567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64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7852C108" w:rsidR="00254888" w:rsidRPr="008C0A84" w:rsidRDefault="00254888" w:rsidP="00B51FA6">
            <w:pPr>
              <w:pStyle w:val="VCAAtablecondensedheading"/>
              <w:rPr>
                <w:lang w:val="en-AU"/>
              </w:rPr>
            </w:pPr>
            <w:r w:rsidRPr="008C0A84">
              <w:rPr>
                <w:lang w:val="en-AU"/>
              </w:rPr>
              <w:t>Existing learning activity</w:t>
            </w:r>
          </w:p>
        </w:tc>
        <w:tc>
          <w:tcPr>
            <w:tcW w:w="5925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2A06455F" w:rsidR="00254888" w:rsidRPr="008C0A84" w:rsidRDefault="00E9592C" w:rsidP="00B51FA6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Adaptations, changes or extensions that can be made</w:t>
            </w:r>
          </w:p>
        </w:tc>
      </w:tr>
      <w:tr w:rsidR="00254888" w:rsidRPr="008C0A84" w14:paraId="20588B85" w14:textId="77777777" w:rsidTr="00567FD3">
        <w:tc>
          <w:tcPr>
            <w:tcW w:w="3964" w:type="dxa"/>
          </w:tcPr>
          <w:p w14:paraId="46A85701" w14:textId="57E47EBD" w:rsidR="00254888" w:rsidRPr="008C0A84" w:rsidRDefault="0078359F" w:rsidP="0045752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Teacher introduces vocabulary and structures for </w:t>
            </w:r>
            <w:r w:rsidR="00C53DDF">
              <w:rPr>
                <w:lang w:val="en-AU"/>
              </w:rPr>
              <w:t>describing</w:t>
            </w:r>
            <w:r>
              <w:rPr>
                <w:lang w:val="en-AU"/>
              </w:rPr>
              <w:t xml:space="preserve"> a procedure.</w:t>
            </w:r>
          </w:p>
        </w:tc>
        <w:tc>
          <w:tcPr>
            <w:tcW w:w="5925" w:type="dxa"/>
          </w:tcPr>
          <w:p w14:paraId="092660B4" w14:textId="7E35843B" w:rsidR="00457521" w:rsidRPr="008C0A84" w:rsidRDefault="0078359F" w:rsidP="00B51FA6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In addition, teacher outlines the language that a </w:t>
            </w:r>
            <w:r w:rsidR="00F10668">
              <w:rPr>
                <w:lang w:val="en-AU"/>
              </w:rPr>
              <w:t>younger group of students</w:t>
            </w:r>
            <w:r>
              <w:rPr>
                <w:lang w:val="en-AU"/>
              </w:rPr>
              <w:t xml:space="preserve"> will be learning in a future topic. For example</w:t>
            </w:r>
            <w:r w:rsidR="001A652E">
              <w:rPr>
                <w:lang w:val="en-AU"/>
              </w:rPr>
              <w:t>, teacher demonstrates language about</w:t>
            </w:r>
            <w:r>
              <w:rPr>
                <w:lang w:val="en-AU"/>
              </w:rPr>
              <w:t xml:space="preserve"> </w:t>
            </w:r>
            <w:r w:rsidR="0024161E">
              <w:rPr>
                <w:lang w:val="en-AU"/>
              </w:rPr>
              <w:t>cooking, sport or directions</w:t>
            </w:r>
            <w:r w:rsidR="001A652E">
              <w:rPr>
                <w:lang w:val="en-AU"/>
              </w:rPr>
              <w:t xml:space="preserve"> that young students will learn.</w:t>
            </w:r>
          </w:p>
        </w:tc>
      </w:tr>
      <w:tr w:rsidR="00537102" w:rsidRPr="008C0A84" w14:paraId="578175A2" w14:textId="77777777" w:rsidTr="00567FD3">
        <w:tc>
          <w:tcPr>
            <w:tcW w:w="3964" w:type="dxa"/>
          </w:tcPr>
          <w:p w14:paraId="77E4CD2C" w14:textId="7E1B58AC" w:rsidR="00537102" w:rsidRDefault="0024161E" w:rsidP="0045752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make a video of a cooking demonstration or </w:t>
            </w:r>
            <w:r w:rsidR="00C53DDF">
              <w:rPr>
                <w:lang w:val="en-AU"/>
              </w:rPr>
              <w:t>demonstration of a sport or board game</w:t>
            </w:r>
          </w:p>
        </w:tc>
        <w:tc>
          <w:tcPr>
            <w:tcW w:w="5925" w:type="dxa"/>
          </w:tcPr>
          <w:p w14:paraId="1F9FFB89" w14:textId="465AA05B" w:rsidR="00537102" w:rsidRDefault="000232D8" w:rsidP="00B51FA6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Students’ goal is not just to demonstrate their own mastery of the relevant vocabulary and structures but to give a demonstration </w:t>
            </w:r>
            <w:r w:rsidR="001A652E">
              <w:rPr>
                <w:lang w:val="en-AU"/>
              </w:rPr>
              <w:t>to younger students</w:t>
            </w:r>
            <w:r>
              <w:rPr>
                <w:lang w:val="en-AU"/>
              </w:rPr>
              <w:t xml:space="preserve">, so </w:t>
            </w:r>
            <w:r w:rsidR="001A652E">
              <w:rPr>
                <w:lang w:val="en-AU"/>
              </w:rPr>
              <w:t>students</w:t>
            </w:r>
            <w:r>
              <w:rPr>
                <w:lang w:val="en-AU"/>
              </w:rPr>
              <w:t xml:space="preserve"> have</w:t>
            </w:r>
            <w:r w:rsidR="009D26B8">
              <w:rPr>
                <w:lang w:val="en-AU"/>
              </w:rPr>
              <w:t xml:space="preserve"> a</w:t>
            </w:r>
            <w:r>
              <w:rPr>
                <w:lang w:val="en-AU"/>
              </w:rPr>
              <w:t xml:space="preserve"> </w:t>
            </w:r>
            <w:r w:rsidR="00484209">
              <w:rPr>
                <w:lang w:val="en-AU"/>
              </w:rPr>
              <w:t xml:space="preserve">purpose for </w:t>
            </w:r>
            <w:r>
              <w:rPr>
                <w:lang w:val="en-AU"/>
              </w:rPr>
              <w:t xml:space="preserve">communicating </w:t>
            </w:r>
            <w:r w:rsidR="00484209">
              <w:rPr>
                <w:lang w:val="en-AU"/>
              </w:rPr>
              <w:t xml:space="preserve">accurately, </w:t>
            </w:r>
            <w:r>
              <w:rPr>
                <w:lang w:val="en-AU"/>
              </w:rPr>
              <w:t xml:space="preserve">clearly and simply and </w:t>
            </w:r>
            <w:r w:rsidR="001B6120">
              <w:rPr>
                <w:lang w:val="en-AU"/>
              </w:rPr>
              <w:t>for</w:t>
            </w:r>
            <w:r>
              <w:rPr>
                <w:lang w:val="en-AU"/>
              </w:rPr>
              <w:t xml:space="preserve"> using visual prompts to assist comprehension</w:t>
            </w:r>
            <w:r w:rsidR="00484209">
              <w:rPr>
                <w:lang w:val="en-AU"/>
              </w:rPr>
              <w:t xml:space="preserve"> and engagement with their ‘product’</w:t>
            </w:r>
            <w:r>
              <w:rPr>
                <w:lang w:val="en-AU"/>
              </w:rPr>
              <w:t>.</w:t>
            </w:r>
          </w:p>
        </w:tc>
        <w:bookmarkStart w:id="1" w:name="_GoBack"/>
        <w:bookmarkEnd w:id="1"/>
      </w:tr>
      <w:tr w:rsidR="00FA66E1" w:rsidRPr="008C0A84" w14:paraId="4D20FBF2" w14:textId="77777777" w:rsidTr="00567FD3">
        <w:tc>
          <w:tcPr>
            <w:tcW w:w="3964" w:type="dxa"/>
          </w:tcPr>
          <w:p w14:paraId="215857E6" w14:textId="77777777" w:rsidR="00FA66E1" w:rsidRDefault="00FA66E1" w:rsidP="00457521">
            <w:pPr>
              <w:pStyle w:val="VCAAtablecondensed"/>
              <w:rPr>
                <w:lang w:val="en-AU"/>
              </w:rPr>
            </w:pPr>
          </w:p>
        </w:tc>
        <w:tc>
          <w:tcPr>
            <w:tcW w:w="5925" w:type="dxa"/>
          </w:tcPr>
          <w:p w14:paraId="212C3441" w14:textId="00D84E89" w:rsidR="00743D5D" w:rsidRDefault="00FA66E1" w:rsidP="00B51FA6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Students rehearse</w:t>
            </w:r>
            <w:r w:rsidR="001A652E">
              <w:rPr>
                <w:lang w:val="en-AU"/>
              </w:rPr>
              <w:t xml:space="preserve"> their demonstrations</w:t>
            </w:r>
            <w:r>
              <w:rPr>
                <w:lang w:val="en-AU"/>
              </w:rPr>
              <w:t xml:space="preserve"> in front of each other and give and receive feedback. </w:t>
            </w:r>
            <w:r w:rsidR="00743D5D">
              <w:rPr>
                <w:lang w:val="en-AU"/>
              </w:rPr>
              <w:t>Students adapt their work to incorporate the feedback.</w:t>
            </w:r>
          </w:p>
          <w:p w14:paraId="5530D324" w14:textId="39197863" w:rsidR="00FA66E1" w:rsidRDefault="00FA66E1" w:rsidP="00B51FA6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Groups help each other record their videos.</w:t>
            </w:r>
          </w:p>
        </w:tc>
      </w:tr>
      <w:tr w:rsidR="00910A5C" w:rsidRPr="008C0A84" w14:paraId="3B6F4433" w14:textId="77777777" w:rsidTr="00567FD3">
        <w:tc>
          <w:tcPr>
            <w:tcW w:w="3964" w:type="dxa"/>
          </w:tcPr>
          <w:p w14:paraId="000FAC41" w14:textId="77777777" w:rsidR="00910A5C" w:rsidRDefault="00910A5C" w:rsidP="00457521">
            <w:pPr>
              <w:pStyle w:val="VCAAtablecondensed"/>
              <w:rPr>
                <w:lang w:val="en-AU"/>
              </w:rPr>
            </w:pPr>
          </w:p>
        </w:tc>
        <w:tc>
          <w:tcPr>
            <w:tcW w:w="5925" w:type="dxa"/>
          </w:tcPr>
          <w:p w14:paraId="50D3A7DE" w14:textId="77777777" w:rsidR="009D26B8" w:rsidRDefault="00910A5C" w:rsidP="00B51FA6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Students reflect on the skills they brought to and developed during filming</w:t>
            </w:r>
            <w:r w:rsidR="001A652E">
              <w:rPr>
                <w:lang w:val="en-AU"/>
              </w:rPr>
              <w:t>, such as clear communication in the delivery of instruction, consideration of an audience, planning and organisation,</w:t>
            </w:r>
            <w:r w:rsidR="00BC596D" w:rsidRPr="002D7717">
              <w:t xml:space="preserve"> use of visual supports</w:t>
            </w:r>
            <w:r w:rsidR="001A652E">
              <w:rPr>
                <w:lang w:val="en-AU"/>
              </w:rPr>
              <w:t xml:space="preserve"> and language skills. </w:t>
            </w:r>
          </w:p>
          <w:p w14:paraId="744FFB79" w14:textId="446E26CF" w:rsidR="00910A5C" w:rsidRDefault="001A652E" w:rsidP="00B51FA6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</w:t>
            </w:r>
            <w:r w:rsidR="00910A5C">
              <w:rPr>
                <w:lang w:val="en-AU"/>
              </w:rPr>
              <w:t xml:space="preserve">discuss </w:t>
            </w:r>
            <w:r w:rsidR="00BC596D">
              <w:rPr>
                <w:lang w:val="en-AU"/>
              </w:rPr>
              <w:t xml:space="preserve">occupations and activities </w:t>
            </w:r>
            <w:r w:rsidR="00910A5C">
              <w:rPr>
                <w:lang w:val="en-AU"/>
              </w:rPr>
              <w:t xml:space="preserve">that use these skills and how being bilingual can provide an advantage in such </w:t>
            </w:r>
            <w:r w:rsidR="00BC596D">
              <w:rPr>
                <w:lang w:val="en-AU"/>
              </w:rPr>
              <w:t>roles</w:t>
            </w:r>
            <w:r w:rsidR="00910A5C">
              <w:rPr>
                <w:lang w:val="en-AU"/>
              </w:rPr>
              <w:t>.</w:t>
            </w:r>
            <w:r>
              <w:rPr>
                <w:lang w:val="en-AU"/>
              </w:rPr>
              <w:t xml:space="preserve"> Examples could include content creators (such as YouTubers), language teachers</w:t>
            </w:r>
            <w:r w:rsidR="00BC596D">
              <w:rPr>
                <w:lang w:val="en-AU"/>
              </w:rPr>
              <w:t>, tutors and coaches</w:t>
            </w:r>
            <w:r>
              <w:rPr>
                <w:lang w:val="en-AU"/>
              </w:rPr>
              <w:t>,</w:t>
            </w:r>
            <w:r w:rsidR="00BC596D">
              <w:rPr>
                <w:lang w:val="en-AU"/>
              </w:rPr>
              <w:t xml:space="preserve"> tour organisers,</w:t>
            </w:r>
            <w:r>
              <w:rPr>
                <w:lang w:val="en-AU"/>
              </w:rPr>
              <w:t xml:space="preserve"> </w:t>
            </w:r>
            <w:r w:rsidR="00BC596D">
              <w:rPr>
                <w:lang w:val="en-AU"/>
              </w:rPr>
              <w:t xml:space="preserve">and </w:t>
            </w:r>
            <w:r>
              <w:rPr>
                <w:lang w:val="en-AU"/>
              </w:rPr>
              <w:t>sales/marketing roles.</w:t>
            </w:r>
          </w:p>
        </w:tc>
      </w:tr>
      <w:tr w:rsidR="009D306C" w:rsidRPr="008C0A84" w14:paraId="6EFB624A" w14:textId="77777777" w:rsidTr="009D306C">
        <w:tc>
          <w:tcPr>
            <w:tcW w:w="3964" w:type="dxa"/>
          </w:tcPr>
          <w:p w14:paraId="64F7ACA2" w14:textId="77777777" w:rsidR="009D306C" w:rsidRDefault="009D306C" w:rsidP="009D306C">
            <w:pPr>
              <w:pStyle w:val="VCAAtablecondensed"/>
              <w:rPr>
                <w:lang w:val="en-AU"/>
              </w:rPr>
            </w:pPr>
          </w:p>
        </w:tc>
        <w:tc>
          <w:tcPr>
            <w:tcW w:w="5925" w:type="dxa"/>
          </w:tcPr>
          <w:p w14:paraId="0CA69DAB" w14:textId="0C38C2A7" w:rsidR="009D306C" w:rsidRDefault="00F10668" w:rsidP="009D306C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Videos are shared with a primary school class to use as a learning resource. </w:t>
            </w:r>
            <w:r w:rsidR="001A652E">
              <w:rPr>
                <w:lang w:val="en-AU"/>
              </w:rPr>
              <w:t xml:space="preserve">Students receive feedback on their resources and reflect further on </w:t>
            </w:r>
            <w:r w:rsidR="0017214A">
              <w:rPr>
                <w:lang w:val="en-AU"/>
              </w:rPr>
              <w:t>what they learnt from</w:t>
            </w:r>
            <w:r w:rsidR="001A652E">
              <w:rPr>
                <w:lang w:val="en-AU"/>
              </w:rPr>
              <w:t xml:space="preserve"> the rehearsal process and </w:t>
            </w:r>
            <w:r w:rsidR="0017214A">
              <w:rPr>
                <w:lang w:val="en-AU"/>
              </w:rPr>
              <w:t xml:space="preserve">receiving </w:t>
            </w:r>
            <w:r w:rsidR="001A652E">
              <w:rPr>
                <w:lang w:val="en-AU"/>
              </w:rPr>
              <w:t xml:space="preserve">feedback </w:t>
            </w:r>
            <w:r w:rsidR="0017214A">
              <w:rPr>
                <w:lang w:val="en-AU"/>
              </w:rPr>
              <w:t>on the final product.</w:t>
            </w:r>
            <w:r w:rsidR="009D26B8">
              <w:rPr>
                <w:lang w:val="en-AU"/>
              </w:rPr>
              <w:t xml:space="preserve"> Teacher encourages students to reflect on any insight gained from this activity </w:t>
            </w:r>
            <w:proofErr w:type="gramStart"/>
            <w:r w:rsidR="009D26B8">
              <w:rPr>
                <w:lang w:val="en-AU"/>
              </w:rPr>
              <w:t>with regard to</w:t>
            </w:r>
            <w:proofErr w:type="gramEnd"/>
            <w:r w:rsidR="009D26B8">
              <w:rPr>
                <w:lang w:val="en-AU"/>
              </w:rPr>
              <w:t xml:space="preserve"> areas of interest or skills they might wish to develop further.</w:t>
            </w:r>
          </w:p>
        </w:tc>
      </w:tr>
    </w:tbl>
    <w:p w14:paraId="3F52BE49" w14:textId="0D4D11B4" w:rsidR="00DB533D" w:rsidRDefault="00B51FA6" w:rsidP="004F6DE0">
      <w:pPr>
        <w:pStyle w:val="VCAAHeading4"/>
        <w:rPr>
          <w:lang w:val="en-AU"/>
        </w:rPr>
      </w:pPr>
      <w:r w:rsidRPr="008C0A84">
        <w:rPr>
          <w:lang w:val="en-AU"/>
        </w:rPr>
        <w:t>C</w:t>
      </w:r>
      <w:r w:rsidR="0038622E" w:rsidRPr="008C0A84">
        <w:rPr>
          <w:lang w:val="en-AU"/>
        </w:rPr>
        <w:t>onsiderations</w:t>
      </w:r>
      <w:r w:rsidR="00255852" w:rsidRPr="008C0A84">
        <w:rPr>
          <w:lang w:val="en-AU"/>
        </w:rPr>
        <w:t xml:space="preserve"> when </w:t>
      </w:r>
      <w:r w:rsidR="001A39A9" w:rsidRPr="008C0A84">
        <w:rPr>
          <w:lang w:val="en-AU"/>
        </w:rPr>
        <w:t xml:space="preserve">adapting the </w:t>
      </w:r>
      <w:r w:rsidR="001926FE" w:rsidRPr="008C0A84">
        <w:rPr>
          <w:lang w:val="en-AU"/>
        </w:rPr>
        <w:t>learning</w:t>
      </w:r>
      <w:r w:rsidR="00255852" w:rsidRPr="008C0A84">
        <w:rPr>
          <w:lang w:val="en-AU"/>
        </w:rPr>
        <w:t xml:space="preserve"> activity</w:t>
      </w:r>
    </w:p>
    <w:p w14:paraId="32D9CB18" w14:textId="11459FDB" w:rsidR="00572870" w:rsidRDefault="009268C8" w:rsidP="007524B7">
      <w:pPr>
        <w:pStyle w:val="VCAAbullet"/>
        <w:rPr>
          <w:lang w:val="en-AU" w:eastAsia="en-AU"/>
        </w:rPr>
      </w:pPr>
      <w:r>
        <w:rPr>
          <w:lang w:val="en-AU" w:eastAsia="en-AU"/>
        </w:rPr>
        <w:t>P</w:t>
      </w:r>
      <w:r w:rsidR="002D1489">
        <w:rPr>
          <w:lang w:val="en-AU" w:eastAsia="en-AU"/>
        </w:rPr>
        <w:t xml:space="preserve">lanning this activity in collaboration with a local primary school </w:t>
      </w:r>
      <w:r>
        <w:rPr>
          <w:lang w:val="en-AU" w:eastAsia="en-AU"/>
        </w:rPr>
        <w:t>where</w:t>
      </w:r>
      <w:r w:rsidR="002D1489">
        <w:rPr>
          <w:lang w:val="en-AU" w:eastAsia="en-AU"/>
        </w:rPr>
        <w:t xml:space="preserve"> Indonesian </w:t>
      </w:r>
      <w:r>
        <w:rPr>
          <w:lang w:val="en-AU" w:eastAsia="en-AU"/>
        </w:rPr>
        <w:t>is taught could help to</w:t>
      </w:r>
      <w:r w:rsidR="002D1489">
        <w:rPr>
          <w:lang w:val="en-AU" w:eastAsia="en-AU"/>
        </w:rPr>
        <w:t xml:space="preserve"> forge links between primary and secondary schools and encourage primary students to continue learning Indonesian in secondary school</w:t>
      </w:r>
      <w:r w:rsidR="005B0878">
        <w:rPr>
          <w:lang w:val="en-AU" w:eastAsia="en-AU"/>
        </w:rPr>
        <w:t>.</w:t>
      </w:r>
      <w:r>
        <w:rPr>
          <w:lang w:val="en-AU" w:eastAsia="en-AU"/>
        </w:rPr>
        <w:t xml:space="preserve"> </w:t>
      </w:r>
      <w:r w:rsidR="0017214A">
        <w:rPr>
          <w:lang w:val="en-AU" w:eastAsia="en-AU"/>
        </w:rPr>
        <w:t>See ‘Additional resources’ for suggest</w:t>
      </w:r>
      <w:r w:rsidR="00963383">
        <w:rPr>
          <w:lang w:val="en-AU" w:eastAsia="en-AU"/>
        </w:rPr>
        <w:t>ed groups to contact to facilitate the collaboration</w:t>
      </w:r>
      <w:r w:rsidR="0017214A">
        <w:rPr>
          <w:lang w:val="en-AU" w:eastAsia="en-AU"/>
        </w:rPr>
        <w:t>.</w:t>
      </w:r>
    </w:p>
    <w:p w14:paraId="61F67B17" w14:textId="3D5ADCDC" w:rsidR="008C60D4" w:rsidRDefault="008C60D4" w:rsidP="007524B7">
      <w:pPr>
        <w:pStyle w:val="VCAAbullet"/>
        <w:rPr>
          <w:lang w:val="en-AU" w:eastAsia="en-AU"/>
        </w:rPr>
      </w:pPr>
      <w:r>
        <w:rPr>
          <w:lang w:val="en-AU" w:eastAsia="en-AU"/>
        </w:rPr>
        <w:t>Planning this activity in collaboration with a more distant primary school could provide a greater degree of anonymity for students, which might give them more confidence to perform in front of the camera.</w:t>
      </w:r>
    </w:p>
    <w:p w14:paraId="61D7AC27" w14:textId="4E21B0B6" w:rsidR="008C60D4" w:rsidRDefault="008C60D4" w:rsidP="007524B7">
      <w:pPr>
        <w:pStyle w:val="VCAAbullet"/>
        <w:rPr>
          <w:lang w:val="en-AU" w:eastAsia="en-AU"/>
        </w:rPr>
      </w:pPr>
      <w:r>
        <w:rPr>
          <w:lang w:val="en-AU" w:eastAsia="en-AU"/>
        </w:rPr>
        <w:t xml:space="preserve">The teacher should consult with school administration </w:t>
      </w:r>
      <w:r w:rsidR="00963383">
        <w:rPr>
          <w:lang w:val="en-AU" w:eastAsia="en-AU"/>
        </w:rPr>
        <w:t>during the planning stages</w:t>
      </w:r>
      <w:r w:rsidR="00E54E02">
        <w:rPr>
          <w:lang w:val="en-AU" w:eastAsia="en-AU"/>
        </w:rPr>
        <w:t xml:space="preserve"> to ensure the project is within school policy on sharing video recordings of students.</w:t>
      </w:r>
    </w:p>
    <w:p w14:paraId="0E197D70" w14:textId="77777777" w:rsidR="00FC3F5B" w:rsidRPr="00A3434A" w:rsidRDefault="00FC3F5B" w:rsidP="00FC3F5B">
      <w:pPr>
        <w:pStyle w:val="VCAAHeading4"/>
      </w:pPr>
      <w:r>
        <w:t xml:space="preserve">Additional resources to help when adapting the learning activity </w:t>
      </w:r>
    </w:p>
    <w:p w14:paraId="7FB94978" w14:textId="1DC4D599" w:rsidR="0017214A" w:rsidRPr="002D7717" w:rsidRDefault="0017214A" w:rsidP="0017214A">
      <w:pPr>
        <w:pStyle w:val="VCAAbullet"/>
      </w:pPr>
      <w:r>
        <w:t>Groups to connect with to facilitate sharing video resources and receiving feedback:</w:t>
      </w:r>
    </w:p>
    <w:p w14:paraId="02EDFC2C" w14:textId="2D06FA33" w:rsidR="00FC3F5B" w:rsidRPr="002F58D6" w:rsidRDefault="001B6120" w:rsidP="0017214A">
      <w:pPr>
        <w:pStyle w:val="VCAAbulletlevel2"/>
      </w:pPr>
      <w:hyperlink r:id="rId12" w:history="1">
        <w:r w:rsidR="00FC3F5B" w:rsidRPr="0017214A">
          <w:rPr>
            <w:rStyle w:val="Hyperlink"/>
            <w:rFonts w:asciiTheme="minorHAnsi" w:hAnsiTheme="minorHAnsi" w:cstheme="minorHAnsi"/>
          </w:rPr>
          <w:t>Victorian Indonesian Language Teachers Association</w:t>
        </w:r>
      </w:hyperlink>
      <w:r w:rsidR="00FC3F5B">
        <w:t xml:space="preserve"> (VILTA) </w:t>
      </w:r>
    </w:p>
    <w:p w14:paraId="159AC8F2" w14:textId="7397091F" w:rsidR="002F58D6" w:rsidRDefault="001B6120" w:rsidP="0017214A">
      <w:pPr>
        <w:pStyle w:val="VCAAbulletlevel2"/>
      </w:pPr>
      <w:hyperlink r:id="rId13" w:history="1">
        <w:r w:rsidR="002F58D6" w:rsidRPr="0017214A">
          <w:rPr>
            <w:rStyle w:val="Hyperlink"/>
          </w:rPr>
          <w:t>Primary Indonesian Language teaching</w:t>
        </w:r>
      </w:hyperlink>
      <w:r w:rsidR="0017214A">
        <w:t xml:space="preserve"> </w:t>
      </w:r>
      <w:r w:rsidR="00963383">
        <w:t>(</w:t>
      </w:r>
      <w:r w:rsidR="0017214A">
        <w:t>Facebook group</w:t>
      </w:r>
      <w:r w:rsidR="00963383">
        <w:t>)</w:t>
      </w:r>
    </w:p>
    <w:p w14:paraId="5EF64BFD" w14:textId="0A321E1E" w:rsidR="00FC3F5B" w:rsidRPr="0017214A" w:rsidRDefault="001B6120" w:rsidP="0017214A">
      <w:pPr>
        <w:pStyle w:val="VCAAbulletlevel2"/>
        <w:rPr>
          <w:lang w:val="en-AU" w:eastAsia="en-US"/>
        </w:rPr>
      </w:pPr>
      <w:hyperlink r:id="rId14" w:history="1">
        <w:r w:rsidR="002F58D6" w:rsidRPr="0017214A">
          <w:rPr>
            <w:rStyle w:val="Hyperlink"/>
            <w:rFonts w:asciiTheme="minorHAnsi" w:hAnsiTheme="minorHAnsi" w:cstheme="minorHAnsi"/>
          </w:rPr>
          <w:t>Indonesian Language Teachers in Australia</w:t>
        </w:r>
      </w:hyperlink>
      <w:r w:rsidR="002F58D6">
        <w:t xml:space="preserve"> </w:t>
      </w:r>
      <w:r w:rsidR="00963383">
        <w:t>(</w:t>
      </w:r>
      <w:r w:rsidR="0017214A">
        <w:t>Facebook group</w:t>
      </w:r>
      <w:r w:rsidR="00963383">
        <w:t>)</w:t>
      </w:r>
    </w:p>
    <w:p w14:paraId="5B6532E0" w14:textId="0756D75B" w:rsidR="00F01253" w:rsidRPr="008C0A84" w:rsidRDefault="00905484" w:rsidP="004F6DE0">
      <w:pPr>
        <w:pStyle w:val="VCAAHeading3"/>
        <w:rPr>
          <w:lang w:val="en-AU"/>
        </w:rPr>
      </w:pPr>
      <w:r w:rsidRPr="002D1489">
        <w:rPr>
          <w:lang w:val="en-AU"/>
        </w:rPr>
        <w:t>B</w:t>
      </w:r>
      <w:r w:rsidR="0038622E" w:rsidRPr="002D1489">
        <w:rPr>
          <w:lang w:val="en-AU"/>
        </w:rPr>
        <w:t>enefit</w:t>
      </w:r>
      <w:r w:rsidR="00425FD1" w:rsidRPr="002D1489">
        <w:rPr>
          <w:lang w:val="en-AU"/>
        </w:rPr>
        <w:t>s for</w:t>
      </w:r>
      <w:r w:rsidR="0038622E" w:rsidRPr="002D1489">
        <w:rPr>
          <w:lang w:val="en-AU"/>
        </w:rPr>
        <w:t xml:space="preserve"> </w:t>
      </w:r>
      <w:r w:rsidR="007E7D1F" w:rsidRPr="002D1489">
        <w:rPr>
          <w:lang w:val="en-AU"/>
        </w:rPr>
        <w:t>students</w:t>
      </w:r>
    </w:p>
    <w:p w14:paraId="7D5FAB03" w14:textId="0141DE17" w:rsidR="00F01253" w:rsidRPr="008C0A84" w:rsidRDefault="00F406A5" w:rsidP="00F01253">
      <w:pPr>
        <w:pStyle w:val="VCAAbody"/>
        <w:rPr>
          <w:sz w:val="28"/>
          <w:lang w:val="en-AU"/>
        </w:rPr>
      </w:pPr>
      <w:r>
        <w:rPr>
          <w:lang w:val="en-AU"/>
        </w:rPr>
        <w:t xml:space="preserve">Know yourself </w:t>
      </w:r>
      <w:r w:rsidR="00A16A11">
        <w:rPr>
          <w:lang w:val="en-AU"/>
        </w:rPr>
        <w:t>–</w:t>
      </w:r>
      <w:r>
        <w:rPr>
          <w:lang w:val="en-AU"/>
        </w:rPr>
        <w:t xml:space="preserve"> s</w:t>
      </w:r>
      <w:r w:rsidR="00F01253" w:rsidRPr="008C0A84">
        <w:rPr>
          <w:lang w:val="en-AU"/>
        </w:rPr>
        <w:t xml:space="preserve">elf-development: </w:t>
      </w:r>
    </w:p>
    <w:p w14:paraId="7072F512" w14:textId="420AE57A" w:rsidR="00A267A0" w:rsidRDefault="0005583E" w:rsidP="00A267A0">
      <w:pPr>
        <w:pStyle w:val="VCAAbullet"/>
      </w:pPr>
      <w:r>
        <w:t xml:space="preserve">As they work in teams to plan and film their procedures, </w:t>
      </w:r>
      <w:r w:rsidR="00BC596D">
        <w:t xml:space="preserve">and deliver clear instructions via their videos, </w:t>
      </w:r>
      <w:r>
        <w:t>students use</w:t>
      </w:r>
      <w:r w:rsidR="00A267A0" w:rsidRPr="00A267A0">
        <w:t xml:space="preserve"> communication skills to </w:t>
      </w:r>
      <w:r w:rsidR="00DD2EC2">
        <w:t>interact positively and effectively with others</w:t>
      </w:r>
      <w:r w:rsidR="00A267A0" w:rsidRPr="00A267A0">
        <w:t>.</w:t>
      </w:r>
    </w:p>
    <w:p w14:paraId="0D945E5E" w14:textId="4E25B358" w:rsidR="000678BE" w:rsidRDefault="00BC596D" w:rsidP="002D7717">
      <w:pPr>
        <w:pStyle w:val="VCAAbullet"/>
      </w:pPr>
      <w:r w:rsidRPr="002D7717">
        <w:t>Students reflect on their involvement in the process of making the video and develop awareness of their preferences</w:t>
      </w:r>
      <w:r w:rsidR="00963383">
        <w:t xml:space="preserve"> for activities and careers</w:t>
      </w:r>
      <w:r w:rsidRPr="002D7717">
        <w:t>, for example, as writers, language experts, film makers</w:t>
      </w:r>
      <w:r w:rsidR="00963383">
        <w:t xml:space="preserve"> or</w:t>
      </w:r>
      <w:r w:rsidRPr="002D7717">
        <w:t xml:space="preserve"> presenters</w:t>
      </w:r>
      <w:r>
        <w:t>.</w:t>
      </w:r>
      <w:r w:rsidR="00963383">
        <w:t xml:space="preserve"> The reflection can also help students identify strengths and areas of development.</w:t>
      </w:r>
    </w:p>
    <w:p w14:paraId="27B7D11A" w14:textId="23198D8A" w:rsidR="00DD2EC2" w:rsidRDefault="00145541" w:rsidP="00A267A0">
      <w:pPr>
        <w:pStyle w:val="VCAAbullet"/>
      </w:pPr>
      <w:r>
        <w:t>By taking in feedback during rehearsal, and reflecting on the post-performance feedback, students d</w:t>
      </w:r>
      <w:r w:rsidR="00DD2EC2">
        <w:t xml:space="preserve">emonstrate </w:t>
      </w:r>
      <w:r>
        <w:t xml:space="preserve">the adaptability and </w:t>
      </w:r>
      <w:r w:rsidR="00DD2EC2">
        <w:t xml:space="preserve">flexibility to adjust delivery </w:t>
      </w:r>
      <w:r w:rsidR="004F6658">
        <w:t xml:space="preserve">to communicate </w:t>
      </w:r>
      <w:r w:rsidR="00DD2EC2">
        <w:t>in a multilingual environment.</w:t>
      </w:r>
    </w:p>
    <w:p w14:paraId="66FA02DD" w14:textId="159876E2" w:rsidR="00F01253" w:rsidRPr="008C0A84" w:rsidRDefault="00F406A5" w:rsidP="00F01253">
      <w:pPr>
        <w:pStyle w:val="VCAAbody"/>
        <w:rPr>
          <w:lang w:val="en-AU"/>
        </w:rPr>
      </w:pPr>
      <w:r>
        <w:rPr>
          <w:lang w:val="en-AU"/>
        </w:rPr>
        <w:t xml:space="preserve">Know your world </w:t>
      </w:r>
      <w:r w:rsidR="00A16A11">
        <w:rPr>
          <w:lang w:val="en-AU"/>
        </w:rPr>
        <w:t>–</w:t>
      </w:r>
      <w:r>
        <w:rPr>
          <w:lang w:val="en-AU"/>
        </w:rPr>
        <w:t xml:space="preserve"> c</w:t>
      </w:r>
      <w:r w:rsidR="00F01253" w:rsidRPr="008C0A84">
        <w:rPr>
          <w:lang w:val="en-AU"/>
        </w:rPr>
        <w:t xml:space="preserve">areer exploration: </w:t>
      </w:r>
    </w:p>
    <w:p w14:paraId="1848F56E" w14:textId="72227274" w:rsidR="00A267A0" w:rsidRPr="002D7717" w:rsidRDefault="00145541" w:rsidP="00DB533D">
      <w:pPr>
        <w:pStyle w:val="VCAAbullet"/>
      </w:pPr>
      <w:r>
        <w:t xml:space="preserve">Through the creation of a procedural demonstration video, students </w:t>
      </w:r>
      <w:r w:rsidR="004F6658">
        <w:t>gain first-hand experience of teaching others</w:t>
      </w:r>
      <w:r w:rsidR="00FC3F5B">
        <w:t xml:space="preserve"> using video</w:t>
      </w:r>
      <w:r>
        <w:t>, enhancing their ability to use technology effectively.</w:t>
      </w:r>
    </w:p>
    <w:p w14:paraId="1430F119" w14:textId="7AB67754" w:rsidR="00145541" w:rsidRPr="00145541" w:rsidRDefault="00145541" w:rsidP="003C10C3">
      <w:pPr>
        <w:pStyle w:val="VCAAbullet"/>
        <w:rPr>
          <w:lang w:val="en-AU"/>
        </w:rPr>
      </w:pPr>
      <w:r>
        <w:t>Through the activity, students gain insight into developing</w:t>
      </w:r>
      <w:r w:rsidR="00160C8F">
        <w:t xml:space="preserve"> learning</w:t>
      </w:r>
      <w:r>
        <w:t xml:space="preserve"> strategies </w:t>
      </w:r>
      <w:r w:rsidR="00160C8F">
        <w:t>(in this case, strategies to help others learn a</w:t>
      </w:r>
      <w:r>
        <w:t xml:space="preserve"> second language</w:t>
      </w:r>
      <w:r w:rsidR="00160C8F">
        <w:t>)</w:t>
      </w:r>
      <w:r>
        <w:t xml:space="preserve"> which encourages them to participate in lifelong learning as they can apply strategies to their own lives. </w:t>
      </w:r>
    </w:p>
    <w:p w14:paraId="5E11C16D" w14:textId="3DE787D7" w:rsidR="00F01253" w:rsidRPr="008C0A84" w:rsidRDefault="00F406A5" w:rsidP="00F01253">
      <w:pPr>
        <w:pStyle w:val="VCAAbody"/>
        <w:rPr>
          <w:lang w:val="en-AU"/>
        </w:rPr>
      </w:pPr>
      <w:r>
        <w:rPr>
          <w:lang w:val="en-AU"/>
        </w:rPr>
        <w:t>Manage your future – be proactive:</w:t>
      </w:r>
      <w:r w:rsidR="00F01253" w:rsidRPr="008C0A84">
        <w:rPr>
          <w:lang w:val="en-AU"/>
        </w:rPr>
        <w:t xml:space="preserve"> </w:t>
      </w:r>
    </w:p>
    <w:p w14:paraId="597E30B0" w14:textId="6A5A78C6" w:rsidR="003C10C3" w:rsidRPr="00BC5981" w:rsidRDefault="003C10C3" w:rsidP="00BC5981">
      <w:pPr>
        <w:pStyle w:val="VCAAbullet"/>
      </w:pPr>
      <w:r>
        <w:t xml:space="preserve">As they plan a demonstration for a </w:t>
      </w:r>
      <w:r w:rsidR="00BC5981">
        <w:t xml:space="preserve">specific </w:t>
      </w:r>
      <w:r>
        <w:t>audience and take on feedback through the rehearsal process, students analyse information and think critically and creatively to make informed decisions.</w:t>
      </w:r>
    </w:p>
    <w:sectPr w:rsidR="003C10C3" w:rsidRPr="00BC5981" w:rsidSect="00B230DB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27843" w16cex:dateUtc="2020-07-21T22:33:00Z"/>
  <w16cex:commentExtensible w16cex:durableId="22C56CF7" w16cex:dateUtc="2020-07-24T04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CD8F9" w14:textId="77777777" w:rsidR="00BC596D" w:rsidRDefault="00BC596D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BC596D" w:rsidRDefault="00BC596D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BC596D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BC596D" w:rsidRPr="00D06414" w:rsidRDefault="00BC596D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BC596D" w:rsidRPr="00D06414" w:rsidRDefault="00BC596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253ED20D" w:rsidR="00BC596D" w:rsidRPr="00D06414" w:rsidRDefault="00BC596D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9D26B8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BC596D" w:rsidRPr="00D06414" w:rsidRDefault="00BC596D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BC596D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BC596D" w:rsidRPr="00D06414" w:rsidRDefault="00BC596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BC596D" w:rsidRPr="00D06414" w:rsidRDefault="00BC596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BC596D" w:rsidRPr="00D06414" w:rsidRDefault="00BC596D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BC596D" w:rsidRPr="00D06414" w:rsidRDefault="00BC596D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27F40" w14:textId="77777777" w:rsidR="00BC596D" w:rsidRDefault="00BC596D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BC596D" w:rsidRDefault="00BC596D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21396" w14:textId="1995012A" w:rsidR="00BC596D" w:rsidRPr="0038622E" w:rsidRDefault="00BC596D" w:rsidP="0038622E">
    <w:pPr>
      <w:pStyle w:val="VCAAbody"/>
      <w:rPr>
        <w:color w:val="0F7EB4"/>
      </w:rPr>
    </w:pPr>
    <w:r>
      <w:t xml:space="preserve">Embedding </w:t>
    </w:r>
    <w:r w:rsidR="000719F3">
      <w:t>career education</w:t>
    </w:r>
    <w:r>
      <w:t xml:space="preserve"> in the Victorian Curriculum F–10 – Indonesian: F–10 sequence, </w:t>
    </w:r>
    <w:r w:rsidR="00107771">
      <w:br/>
    </w:r>
    <w:r>
      <w:t>Levels 7 and 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B6D50" w14:textId="512449EE" w:rsidR="00BC596D" w:rsidRPr="009370BC" w:rsidRDefault="00BC596D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4FED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7C0A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EEC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FAC2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9ED2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1692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547D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E018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A43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4E5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27A6F"/>
    <w:multiLevelType w:val="hybridMultilevel"/>
    <w:tmpl w:val="CD0E1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2872B6C"/>
    <w:multiLevelType w:val="hybridMultilevel"/>
    <w:tmpl w:val="E18432B6"/>
    <w:lvl w:ilvl="0" w:tplc="EFC60A82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5"/>
  </w:num>
  <w:num w:numId="4">
    <w:abstractNumId w:val="11"/>
  </w:num>
  <w:num w:numId="5">
    <w:abstractNumId w:val="20"/>
  </w:num>
  <w:num w:numId="6">
    <w:abstractNumId w:val="14"/>
  </w:num>
  <w:num w:numId="7">
    <w:abstractNumId w:val="12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3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232D8"/>
    <w:rsid w:val="00033048"/>
    <w:rsid w:val="0004556D"/>
    <w:rsid w:val="0005583E"/>
    <w:rsid w:val="0005780E"/>
    <w:rsid w:val="00065CC6"/>
    <w:rsid w:val="000678BE"/>
    <w:rsid w:val="0007137D"/>
    <w:rsid w:val="000719F3"/>
    <w:rsid w:val="00072AF1"/>
    <w:rsid w:val="00086CFC"/>
    <w:rsid w:val="00097F58"/>
    <w:rsid w:val="000A71F7"/>
    <w:rsid w:val="000B152F"/>
    <w:rsid w:val="000F09E4"/>
    <w:rsid w:val="000F16FD"/>
    <w:rsid w:val="000F5AAF"/>
    <w:rsid w:val="00107771"/>
    <w:rsid w:val="0012374D"/>
    <w:rsid w:val="00143520"/>
    <w:rsid w:val="00145541"/>
    <w:rsid w:val="00153AD2"/>
    <w:rsid w:val="00160C8F"/>
    <w:rsid w:val="0017214A"/>
    <w:rsid w:val="001779EA"/>
    <w:rsid w:val="001926FE"/>
    <w:rsid w:val="001A39A9"/>
    <w:rsid w:val="001A652E"/>
    <w:rsid w:val="001B6120"/>
    <w:rsid w:val="001C2221"/>
    <w:rsid w:val="001D3246"/>
    <w:rsid w:val="001F47C8"/>
    <w:rsid w:val="001F5D88"/>
    <w:rsid w:val="002279BA"/>
    <w:rsid w:val="002329F3"/>
    <w:rsid w:val="0024161E"/>
    <w:rsid w:val="00243F0D"/>
    <w:rsid w:val="00245C8B"/>
    <w:rsid w:val="00254888"/>
    <w:rsid w:val="00255852"/>
    <w:rsid w:val="00260767"/>
    <w:rsid w:val="002647BB"/>
    <w:rsid w:val="002754C1"/>
    <w:rsid w:val="002841C8"/>
    <w:rsid w:val="0028516B"/>
    <w:rsid w:val="002B103A"/>
    <w:rsid w:val="002B47A9"/>
    <w:rsid w:val="002C5B4B"/>
    <w:rsid w:val="002C6F90"/>
    <w:rsid w:val="002D1489"/>
    <w:rsid w:val="002D7717"/>
    <w:rsid w:val="002E0338"/>
    <w:rsid w:val="002E4FB5"/>
    <w:rsid w:val="002F58D6"/>
    <w:rsid w:val="00302FB8"/>
    <w:rsid w:val="00304EA1"/>
    <w:rsid w:val="00314D81"/>
    <w:rsid w:val="00322FC6"/>
    <w:rsid w:val="00335E9F"/>
    <w:rsid w:val="003400EB"/>
    <w:rsid w:val="0035293F"/>
    <w:rsid w:val="003826DD"/>
    <w:rsid w:val="0038622E"/>
    <w:rsid w:val="00391986"/>
    <w:rsid w:val="00392864"/>
    <w:rsid w:val="00396EF9"/>
    <w:rsid w:val="003A00B4"/>
    <w:rsid w:val="003C10C3"/>
    <w:rsid w:val="003C394F"/>
    <w:rsid w:val="003C5C2F"/>
    <w:rsid w:val="003C5E71"/>
    <w:rsid w:val="003C60DB"/>
    <w:rsid w:val="00411D26"/>
    <w:rsid w:val="00417AA3"/>
    <w:rsid w:val="00421DB1"/>
    <w:rsid w:val="00425DFE"/>
    <w:rsid w:val="00425FD1"/>
    <w:rsid w:val="00434EDB"/>
    <w:rsid w:val="00440B32"/>
    <w:rsid w:val="00457521"/>
    <w:rsid w:val="0046078D"/>
    <w:rsid w:val="00474819"/>
    <w:rsid w:val="00484209"/>
    <w:rsid w:val="00495C80"/>
    <w:rsid w:val="004965E5"/>
    <w:rsid w:val="004A2ED8"/>
    <w:rsid w:val="004C5432"/>
    <w:rsid w:val="004C5FE7"/>
    <w:rsid w:val="004D70CD"/>
    <w:rsid w:val="004F5BDA"/>
    <w:rsid w:val="004F6658"/>
    <w:rsid w:val="004F6DE0"/>
    <w:rsid w:val="0051631E"/>
    <w:rsid w:val="00537102"/>
    <w:rsid w:val="00537A1F"/>
    <w:rsid w:val="00563E1D"/>
    <w:rsid w:val="00566029"/>
    <w:rsid w:val="00567FD3"/>
    <w:rsid w:val="00572870"/>
    <w:rsid w:val="00581BFA"/>
    <w:rsid w:val="005923CB"/>
    <w:rsid w:val="005B0878"/>
    <w:rsid w:val="005B391B"/>
    <w:rsid w:val="005D3D78"/>
    <w:rsid w:val="005D7236"/>
    <w:rsid w:val="005E2EF0"/>
    <w:rsid w:val="005F4092"/>
    <w:rsid w:val="00610518"/>
    <w:rsid w:val="0068471E"/>
    <w:rsid w:val="00684F98"/>
    <w:rsid w:val="00693FFD"/>
    <w:rsid w:val="006A0009"/>
    <w:rsid w:val="006D2159"/>
    <w:rsid w:val="006F1CDD"/>
    <w:rsid w:val="006F787C"/>
    <w:rsid w:val="00702636"/>
    <w:rsid w:val="007145E5"/>
    <w:rsid w:val="00724507"/>
    <w:rsid w:val="00727E4C"/>
    <w:rsid w:val="00737285"/>
    <w:rsid w:val="007437EA"/>
    <w:rsid w:val="00743D5D"/>
    <w:rsid w:val="007524B7"/>
    <w:rsid w:val="00754D96"/>
    <w:rsid w:val="0075729D"/>
    <w:rsid w:val="00760C88"/>
    <w:rsid w:val="007623B9"/>
    <w:rsid w:val="007702D4"/>
    <w:rsid w:val="00773E6C"/>
    <w:rsid w:val="00781FB1"/>
    <w:rsid w:val="0078359F"/>
    <w:rsid w:val="0079306E"/>
    <w:rsid w:val="007A0E4B"/>
    <w:rsid w:val="007B2114"/>
    <w:rsid w:val="007D1B6D"/>
    <w:rsid w:val="007D7AF7"/>
    <w:rsid w:val="007E7034"/>
    <w:rsid w:val="007E7D1F"/>
    <w:rsid w:val="00813C37"/>
    <w:rsid w:val="00813F96"/>
    <w:rsid w:val="008154B5"/>
    <w:rsid w:val="00823962"/>
    <w:rsid w:val="00852719"/>
    <w:rsid w:val="00860115"/>
    <w:rsid w:val="00862336"/>
    <w:rsid w:val="00872492"/>
    <w:rsid w:val="00876EA2"/>
    <w:rsid w:val="0088783C"/>
    <w:rsid w:val="008B1278"/>
    <w:rsid w:val="008C0A84"/>
    <w:rsid w:val="008C60D4"/>
    <w:rsid w:val="008D0ABF"/>
    <w:rsid w:val="008D57CA"/>
    <w:rsid w:val="00905484"/>
    <w:rsid w:val="00910A5C"/>
    <w:rsid w:val="00917812"/>
    <w:rsid w:val="009268C8"/>
    <w:rsid w:val="00935CFA"/>
    <w:rsid w:val="009370BC"/>
    <w:rsid w:val="00963383"/>
    <w:rsid w:val="00970580"/>
    <w:rsid w:val="0098739B"/>
    <w:rsid w:val="009B3CF3"/>
    <w:rsid w:val="009B61E5"/>
    <w:rsid w:val="009D1E89"/>
    <w:rsid w:val="009D26B8"/>
    <w:rsid w:val="009D306C"/>
    <w:rsid w:val="009E5707"/>
    <w:rsid w:val="00A13223"/>
    <w:rsid w:val="00A15C0B"/>
    <w:rsid w:val="00A16A11"/>
    <w:rsid w:val="00A17661"/>
    <w:rsid w:val="00A20089"/>
    <w:rsid w:val="00A24B2D"/>
    <w:rsid w:val="00A267A0"/>
    <w:rsid w:val="00A27DCD"/>
    <w:rsid w:val="00A3434A"/>
    <w:rsid w:val="00A35541"/>
    <w:rsid w:val="00A40966"/>
    <w:rsid w:val="00A50E81"/>
    <w:rsid w:val="00A56C0A"/>
    <w:rsid w:val="00A71372"/>
    <w:rsid w:val="00A921E0"/>
    <w:rsid w:val="00A922F4"/>
    <w:rsid w:val="00AB5D35"/>
    <w:rsid w:val="00AC7357"/>
    <w:rsid w:val="00AD4359"/>
    <w:rsid w:val="00AD59D5"/>
    <w:rsid w:val="00AE5526"/>
    <w:rsid w:val="00AF051B"/>
    <w:rsid w:val="00AF49CE"/>
    <w:rsid w:val="00B01578"/>
    <w:rsid w:val="00B0738F"/>
    <w:rsid w:val="00B13D3B"/>
    <w:rsid w:val="00B230DB"/>
    <w:rsid w:val="00B26601"/>
    <w:rsid w:val="00B27289"/>
    <w:rsid w:val="00B30E01"/>
    <w:rsid w:val="00B32535"/>
    <w:rsid w:val="00B41951"/>
    <w:rsid w:val="00B51FA6"/>
    <w:rsid w:val="00B53229"/>
    <w:rsid w:val="00B62480"/>
    <w:rsid w:val="00B726BC"/>
    <w:rsid w:val="00B74D78"/>
    <w:rsid w:val="00B81B70"/>
    <w:rsid w:val="00BB3BAB"/>
    <w:rsid w:val="00BC596D"/>
    <w:rsid w:val="00BC5981"/>
    <w:rsid w:val="00BD0724"/>
    <w:rsid w:val="00BD2B91"/>
    <w:rsid w:val="00BD4C8E"/>
    <w:rsid w:val="00BE5521"/>
    <w:rsid w:val="00BF6C23"/>
    <w:rsid w:val="00C2005D"/>
    <w:rsid w:val="00C233C2"/>
    <w:rsid w:val="00C37A34"/>
    <w:rsid w:val="00C53263"/>
    <w:rsid w:val="00C53DDF"/>
    <w:rsid w:val="00C6415E"/>
    <w:rsid w:val="00C75F1D"/>
    <w:rsid w:val="00C95156"/>
    <w:rsid w:val="00CA0DC2"/>
    <w:rsid w:val="00CB2143"/>
    <w:rsid w:val="00CB68E8"/>
    <w:rsid w:val="00CD7BEA"/>
    <w:rsid w:val="00CE105F"/>
    <w:rsid w:val="00CF7F89"/>
    <w:rsid w:val="00D04F01"/>
    <w:rsid w:val="00D06414"/>
    <w:rsid w:val="00D24E5A"/>
    <w:rsid w:val="00D338E4"/>
    <w:rsid w:val="00D35D07"/>
    <w:rsid w:val="00D36FA7"/>
    <w:rsid w:val="00D4304F"/>
    <w:rsid w:val="00D51947"/>
    <w:rsid w:val="00D532F0"/>
    <w:rsid w:val="00D77413"/>
    <w:rsid w:val="00D82759"/>
    <w:rsid w:val="00D86DE4"/>
    <w:rsid w:val="00D87D5D"/>
    <w:rsid w:val="00DB533D"/>
    <w:rsid w:val="00DD2EC2"/>
    <w:rsid w:val="00DE1909"/>
    <w:rsid w:val="00DE51DB"/>
    <w:rsid w:val="00E23F1D"/>
    <w:rsid w:val="00E30E05"/>
    <w:rsid w:val="00E36361"/>
    <w:rsid w:val="00E54E02"/>
    <w:rsid w:val="00E55AE9"/>
    <w:rsid w:val="00E56D1D"/>
    <w:rsid w:val="00E81F72"/>
    <w:rsid w:val="00E9592C"/>
    <w:rsid w:val="00EA0DF5"/>
    <w:rsid w:val="00EA2830"/>
    <w:rsid w:val="00EB0C84"/>
    <w:rsid w:val="00ED32C6"/>
    <w:rsid w:val="00EE3B15"/>
    <w:rsid w:val="00EF1E25"/>
    <w:rsid w:val="00EF710F"/>
    <w:rsid w:val="00F01253"/>
    <w:rsid w:val="00F10668"/>
    <w:rsid w:val="00F17FDE"/>
    <w:rsid w:val="00F406A5"/>
    <w:rsid w:val="00F40D53"/>
    <w:rsid w:val="00F41772"/>
    <w:rsid w:val="00F4525C"/>
    <w:rsid w:val="00F50D86"/>
    <w:rsid w:val="00F6610F"/>
    <w:rsid w:val="00FA66E1"/>
    <w:rsid w:val="00FB23F1"/>
    <w:rsid w:val="00FC12D7"/>
    <w:rsid w:val="00FC15DA"/>
    <w:rsid w:val="00FC3F5B"/>
    <w:rsid w:val="00FC6C43"/>
    <w:rsid w:val="00FD29D3"/>
    <w:rsid w:val="00FE2873"/>
    <w:rsid w:val="00FE3F0B"/>
    <w:rsid w:val="00FF47DF"/>
    <w:rsid w:val="00F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2D7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10C3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B1278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4C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137D"/>
    <w:rPr>
      <w:color w:val="8DB3E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72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groups/PrimaryIndonesian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ilta.org.au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Curriculum/ContentDescription/VCIDC056" TargetMode="External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groups/232152306957419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1aab662d-a6b2-42d6-996b-a574723d1ad8"/>
    <ds:schemaRef ds:uri="http://www.w3.org/XML/1998/namespace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3EF73D1-EFD9-4AA0-BE17-F2D785AF0043}"/>
</file>

<file path=customXml/itemProps4.xml><?xml version="1.0" encoding="utf-8"?>
<ds:datastoreItem xmlns:ds="http://schemas.openxmlformats.org/officeDocument/2006/customXml" ds:itemID="{52EB7EE6-9147-4EE5-9851-52E83E9B3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career education in the Victorian Curriculum F–10</vt:lpstr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career education in the Victorian Curriculum F–10</dc:title>
  <dc:creator>VCAA</dc:creator>
  <cp:keywords>career education, curriculum resources, Indonesian</cp:keywords>
  <cp:lastModifiedBy>Ng, Francis F</cp:lastModifiedBy>
  <cp:revision>3</cp:revision>
  <cp:lastPrinted>2020-03-04T04:43:00Z</cp:lastPrinted>
  <dcterms:created xsi:type="dcterms:W3CDTF">2020-09-08T08:31:00Z</dcterms:created>
  <dcterms:modified xsi:type="dcterms:W3CDTF">2020-10-19T21:35:00Z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