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26D0B140" w:rsidR="00086CFC" w:rsidRDefault="00C2005D" w:rsidP="00167D37">
      <w:pPr>
        <w:pStyle w:val="VCAAHeading1"/>
      </w:pPr>
      <w:r>
        <w:t>E</w:t>
      </w:r>
      <w:r w:rsidR="00E56D1D">
        <w:t>m</w:t>
      </w:r>
      <w:r w:rsidR="007E7D1F">
        <w:t xml:space="preserve">bedding career education </w:t>
      </w:r>
      <w:r w:rsidR="007E7D1F" w:rsidRPr="00C1678F">
        <w:t>in</w:t>
      </w:r>
      <w:r w:rsidR="007E7D1F">
        <w:t xml:space="preserve"> </w:t>
      </w:r>
      <w:r w:rsidR="00E56D1D">
        <w:t>the Victorian Curriculum F–10</w:t>
      </w:r>
      <w:r w:rsidR="00086CFC">
        <w:t xml:space="preserve"> </w:t>
      </w:r>
    </w:p>
    <w:p w14:paraId="309AA2D5" w14:textId="3CDE686E" w:rsidR="004F6DE0" w:rsidRPr="008C0A84" w:rsidRDefault="006F58F8" w:rsidP="004F6DE0">
      <w:pPr>
        <w:pStyle w:val="VCAAHeading2"/>
        <w:rPr>
          <w:lang w:val="en-AU"/>
        </w:rPr>
      </w:pPr>
      <w:bookmarkStart w:id="0" w:name="TemplateOverview"/>
      <w:bookmarkEnd w:id="0"/>
      <w:r>
        <w:rPr>
          <w:lang w:val="en-AU"/>
        </w:rPr>
        <w:t>Inte</w:t>
      </w:r>
      <w:r w:rsidR="008554F3">
        <w:rPr>
          <w:lang w:val="en-AU"/>
        </w:rPr>
        <w:t>rcultural Capability</w:t>
      </w:r>
      <w:r w:rsidR="00964C8A">
        <w:rPr>
          <w:lang w:val="en-AU"/>
        </w:rPr>
        <w:t>, Levels 7</w:t>
      </w:r>
      <w:r w:rsidR="004F6DE0" w:rsidRPr="008C0A84">
        <w:rPr>
          <w:lang w:val="en-AU"/>
        </w:rPr>
        <w:t xml:space="preserve"> and </w:t>
      </w:r>
      <w:r w:rsidR="00964C8A">
        <w:rPr>
          <w:lang w:val="en-AU"/>
        </w:rPr>
        <w:t>8</w:t>
      </w:r>
    </w:p>
    <w:p w14:paraId="2E354ED1" w14:textId="2F2CB147"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to incorporate 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70AF4484" w:rsidR="008B1278" w:rsidRPr="008C0A84" w:rsidRDefault="008B1278" w:rsidP="00167D37">
      <w:pPr>
        <w:pStyle w:val="VCAAbody-withlargetabandhangingindent"/>
      </w:pPr>
      <w:r w:rsidRPr="008C0A84">
        <w:rPr>
          <w:b/>
        </w:rPr>
        <w:t>Curriculum area and levels:</w:t>
      </w:r>
      <w:r w:rsidRPr="008C0A84">
        <w:tab/>
      </w:r>
      <w:r w:rsidR="006F58F8">
        <w:t xml:space="preserve">Intercultural </w:t>
      </w:r>
      <w:r w:rsidR="006F58F8" w:rsidRPr="00C1678F">
        <w:t>Capabilit</w:t>
      </w:r>
      <w:r w:rsidR="00CA7F19" w:rsidRPr="00C1678F">
        <w:t>y</w:t>
      </w:r>
      <w:r w:rsidRPr="008C0A84">
        <w:t xml:space="preserve">, Levels </w:t>
      </w:r>
      <w:r w:rsidR="00964C8A">
        <w:t>7</w:t>
      </w:r>
      <w:r w:rsidRPr="008C0A84">
        <w:t xml:space="preserve"> and </w:t>
      </w:r>
      <w:r w:rsidR="00964C8A">
        <w:t>8</w:t>
      </w:r>
    </w:p>
    <w:p w14:paraId="1FB5B60B" w14:textId="26C3A418" w:rsidR="008B1278" w:rsidRPr="00143AEA" w:rsidRDefault="00254888" w:rsidP="008B1278">
      <w:pPr>
        <w:pStyle w:val="VCAAbody-withlargetabandhangingindent"/>
      </w:pPr>
      <w:r w:rsidRPr="008C0A84">
        <w:rPr>
          <w:b/>
        </w:rPr>
        <w:t>Relevant c</w:t>
      </w:r>
      <w:r w:rsidR="008B1278" w:rsidRPr="008C0A84">
        <w:rPr>
          <w:b/>
        </w:rPr>
        <w:t>ontent description:</w:t>
      </w:r>
      <w:r w:rsidR="006F58F8">
        <w:tab/>
      </w:r>
      <w:r w:rsidR="00FD7A7D">
        <w:t>Analyse the dynamic nature of own and others cultural practices in a range of contexts (</w:t>
      </w:r>
      <w:hyperlink r:id="rId11" w:history="1">
        <w:r w:rsidR="00FD7A7D" w:rsidRPr="00C1678F">
          <w:rPr>
            <w:rStyle w:val="Hyperlink"/>
          </w:rPr>
          <w:t>VCICCB013</w:t>
        </w:r>
      </w:hyperlink>
      <w:r w:rsidR="00FD7A7D">
        <w:t>)</w:t>
      </w:r>
    </w:p>
    <w:p w14:paraId="36A2C730" w14:textId="18254BA2" w:rsidR="007E7D1F"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FD7A7D">
        <w:t>Comparing women’s roles over the past hundred years</w:t>
      </w:r>
      <w:r w:rsidR="00FD7A7D">
        <w:rPr>
          <w:rFonts w:eastAsia="Arial"/>
        </w:rPr>
        <w:t xml:space="preserve"> by analysing </w:t>
      </w:r>
      <w:r w:rsidR="00FD7A7D">
        <w:t xml:space="preserve">how </w:t>
      </w:r>
      <w:r w:rsidR="00FD7A7D">
        <w:rPr>
          <w:rFonts w:eastAsia="Arial"/>
        </w:rPr>
        <w:t>cultural</w:t>
      </w:r>
      <w:r w:rsidR="00FD7A7D">
        <w:t xml:space="preserve"> practices developed and how they may have changed</w:t>
      </w:r>
      <w:r w:rsidR="00D35D07">
        <w:t xml:space="preserve">. </w:t>
      </w:r>
    </w:p>
    <w:p w14:paraId="2364A01C" w14:textId="13B4234D" w:rsidR="00421DB1" w:rsidRPr="008C0A84" w:rsidRDefault="00421DB1">
      <w:pPr>
        <w:pStyle w:val="VCAAbody-withlargetabandhangingindent"/>
      </w:pPr>
      <w:r w:rsidRPr="00167D37">
        <w:rPr>
          <w:b/>
          <w:bCs/>
        </w:rPr>
        <w:t>Summary of adaptation, change, addition:</w:t>
      </w:r>
      <w:r>
        <w:tab/>
      </w:r>
      <w:r w:rsidR="00C1678F">
        <w:t>C</w:t>
      </w:r>
      <w:r w:rsidR="00FD7A7D" w:rsidRPr="00167D37">
        <w:t>omparing</w:t>
      </w:r>
      <w:r w:rsidR="00FD7A7D">
        <w:t xml:space="preserve"> the pathways that were available to women over this period</w:t>
      </w:r>
      <w:r w:rsidR="00C1678F">
        <w:t xml:space="preserve"> and the associated cultural contexts</w:t>
      </w:r>
      <w:r w:rsidR="00DB533D">
        <w:t>.</w:t>
      </w:r>
    </w:p>
    <w:p w14:paraId="65DFB73F" w14:textId="2E439FF9" w:rsidR="00254888" w:rsidRDefault="00254888" w:rsidP="00167D37">
      <w:pPr>
        <w:pStyle w:val="VCAAHeading3"/>
        <w:rPr>
          <w:lang w:val="en-AU"/>
        </w:rPr>
      </w:pPr>
      <w:r w:rsidRPr="008C0A84">
        <w:rPr>
          <w:lang w:val="en-AU"/>
        </w:rPr>
        <w:t xml:space="preserve">2. Adapt the learning activity to </w:t>
      </w:r>
      <w:r w:rsidR="00FF47DF" w:rsidRPr="008C0A84">
        <w:rPr>
          <w:lang w:val="en-AU"/>
        </w:rPr>
        <w:t>include</w:t>
      </w:r>
      <w:r w:rsidRPr="008C0A84">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815"/>
        <w:gridCol w:w="5074"/>
      </w:tblGrid>
      <w:tr w:rsidR="00254888" w:rsidRPr="008C0A84" w14:paraId="47FFE019" w14:textId="77777777" w:rsidTr="00167D37">
        <w:trPr>
          <w:cnfStyle w:val="100000000000" w:firstRow="1" w:lastRow="0" w:firstColumn="0" w:lastColumn="0" w:oddVBand="0" w:evenVBand="0" w:oddHBand="0" w:evenHBand="0" w:firstRowFirstColumn="0" w:firstRowLastColumn="0" w:lastRowFirstColumn="0" w:lastRowLastColumn="0"/>
        </w:trPr>
        <w:tc>
          <w:tcPr>
            <w:tcW w:w="4815"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074"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FD7A7D" w:rsidRPr="008C0A84" w14:paraId="20588B85" w14:textId="77777777" w:rsidTr="00167D37">
        <w:tc>
          <w:tcPr>
            <w:tcW w:w="4815" w:type="dxa"/>
          </w:tcPr>
          <w:p w14:paraId="3A99043C" w14:textId="4F81DF7B" w:rsidR="00FD7A7D" w:rsidRDefault="00346275" w:rsidP="00167D37">
            <w:pPr>
              <w:pStyle w:val="VCAAtablecondensed"/>
            </w:pPr>
            <w:r>
              <w:rPr>
                <w:lang w:val="en-AU"/>
              </w:rPr>
              <w:t xml:space="preserve">Teacher provides </w:t>
            </w:r>
            <w:r w:rsidR="00FD7A7D">
              <w:rPr>
                <w:lang w:val="en-AU"/>
              </w:rPr>
              <w:t>students with brief examples of influential women working within a</w:t>
            </w:r>
            <w:r>
              <w:rPr>
                <w:lang w:val="en-AU"/>
              </w:rPr>
              <w:t xml:space="preserve">n </w:t>
            </w:r>
            <w:r w:rsidR="00FD7A7D">
              <w:rPr>
                <w:lang w:val="en-AU"/>
              </w:rPr>
              <w:t xml:space="preserve">area of study within the last century. </w:t>
            </w:r>
          </w:p>
          <w:p w14:paraId="46A85701" w14:textId="394EF44C" w:rsidR="00FD7A7D" w:rsidRPr="008C0A84" w:rsidRDefault="00FD7A7D" w:rsidP="00FD7A7D">
            <w:pPr>
              <w:pStyle w:val="VCAAtablecondensed"/>
              <w:rPr>
                <w:lang w:val="en-AU"/>
              </w:rPr>
            </w:pPr>
            <w:r>
              <w:t xml:space="preserve">See the </w:t>
            </w:r>
            <w:r w:rsidR="00167D37">
              <w:t>c</w:t>
            </w:r>
            <w:r>
              <w:t>onsideratio</w:t>
            </w:r>
            <w:r w:rsidR="00167D37">
              <w:t>ns</w:t>
            </w:r>
            <w:r>
              <w:t xml:space="preserve"> on the following page for suggestions as to what this may look like in a cross-curricular context.</w:t>
            </w:r>
          </w:p>
        </w:tc>
        <w:tc>
          <w:tcPr>
            <w:tcW w:w="5074" w:type="dxa"/>
          </w:tcPr>
          <w:p w14:paraId="092660B4" w14:textId="12DCA43D" w:rsidR="00FD7A7D" w:rsidRPr="008C0A84" w:rsidRDefault="00346275" w:rsidP="00FD7A7D">
            <w:pPr>
              <w:pStyle w:val="VCAAtablecondensed"/>
              <w:rPr>
                <w:lang w:val="en-AU"/>
              </w:rPr>
            </w:pPr>
            <w:r>
              <w:rPr>
                <w:lang w:val="en-AU"/>
              </w:rPr>
              <w:t>Existing activity runs unchanged.</w:t>
            </w:r>
          </w:p>
        </w:tc>
      </w:tr>
      <w:tr w:rsidR="00FD7A7D" w:rsidRPr="008C0A84" w14:paraId="47C09381" w14:textId="77777777" w:rsidTr="00167D37">
        <w:tc>
          <w:tcPr>
            <w:tcW w:w="4815" w:type="dxa"/>
          </w:tcPr>
          <w:p w14:paraId="0E9E7A55" w14:textId="67449D20" w:rsidR="00C4773E" w:rsidRDefault="00346275" w:rsidP="00FD7A7D">
            <w:pPr>
              <w:pStyle w:val="VCAAtablecondensed"/>
              <w:rPr>
                <w:lang w:val="en-AU"/>
              </w:rPr>
            </w:pPr>
            <w:r>
              <w:rPr>
                <w:lang w:val="en-AU"/>
              </w:rPr>
              <w:t xml:space="preserve">Teacher divides </w:t>
            </w:r>
            <w:r w:rsidR="00FD7A7D">
              <w:rPr>
                <w:lang w:val="en-AU"/>
              </w:rPr>
              <w:t xml:space="preserve">class into small groups to complete further research on </w:t>
            </w:r>
            <w:r w:rsidR="00FD7A7D">
              <w:rPr>
                <w:rFonts w:eastAsia="Arial"/>
                <w:lang w:val="en-AU"/>
              </w:rPr>
              <w:t>one influential woman each</w:t>
            </w:r>
            <w:r w:rsidR="00FD7A7D">
              <w:rPr>
                <w:lang w:val="en-AU"/>
              </w:rPr>
              <w:t xml:space="preserve">. </w:t>
            </w:r>
          </w:p>
          <w:p w14:paraId="123E135F" w14:textId="2BF5E11D" w:rsidR="00FD7A7D" w:rsidRPr="008C0A84" w:rsidRDefault="00FD7A7D" w:rsidP="00FD7A7D">
            <w:pPr>
              <w:pStyle w:val="VCAAtablecondensed"/>
              <w:rPr>
                <w:lang w:val="en-AU"/>
              </w:rPr>
            </w:pPr>
            <w:r>
              <w:rPr>
                <w:lang w:val="en-AU"/>
              </w:rPr>
              <w:t xml:space="preserve">Emphasis of </w:t>
            </w:r>
            <w:r w:rsidR="00346275">
              <w:rPr>
                <w:lang w:val="en-AU"/>
              </w:rPr>
              <w:t xml:space="preserve">this </w:t>
            </w:r>
            <w:r>
              <w:rPr>
                <w:lang w:val="en-AU"/>
              </w:rPr>
              <w:t xml:space="preserve">research </w:t>
            </w:r>
            <w:r w:rsidR="00346275">
              <w:rPr>
                <w:lang w:val="en-AU"/>
              </w:rPr>
              <w:t>should be</w:t>
            </w:r>
            <w:r w:rsidR="00167D37">
              <w:rPr>
                <w:lang w:val="en-AU"/>
              </w:rPr>
              <w:t xml:space="preserve"> on</w:t>
            </w:r>
            <w:r w:rsidR="00346275">
              <w:rPr>
                <w:lang w:val="en-AU"/>
              </w:rPr>
              <w:t xml:space="preserve"> </w:t>
            </w:r>
            <w:r>
              <w:rPr>
                <w:lang w:val="en-AU"/>
              </w:rPr>
              <w:t>their achievements, and barriers they faced as women during the time in which they lived</w:t>
            </w:r>
            <w:r w:rsidR="00346275">
              <w:rPr>
                <w:lang w:val="en-AU"/>
              </w:rPr>
              <w:t>, including cultural influences on perceived gender roles.</w:t>
            </w:r>
          </w:p>
        </w:tc>
        <w:tc>
          <w:tcPr>
            <w:tcW w:w="5074" w:type="dxa"/>
          </w:tcPr>
          <w:p w14:paraId="7279DA82" w14:textId="62B6E735" w:rsidR="00FD7A7D" w:rsidRPr="00B74D78" w:rsidRDefault="00FD7A7D" w:rsidP="00FD7A7D">
            <w:pPr>
              <w:pStyle w:val="VCAAtablecondensed"/>
              <w:rPr>
                <w:color w:val="auto"/>
                <w:lang w:val="en-AU"/>
              </w:rPr>
            </w:pPr>
            <w:r>
              <w:rPr>
                <w:lang w:val="en-AU"/>
              </w:rPr>
              <w:t xml:space="preserve">In addition, the research will emphasise the </w:t>
            </w:r>
            <w:r w:rsidRPr="00167D37">
              <w:rPr>
                <w:bCs/>
                <w:lang w:val="en-AU"/>
              </w:rPr>
              <w:t>pathways</w:t>
            </w:r>
            <w:r>
              <w:rPr>
                <w:lang w:val="en-AU"/>
              </w:rPr>
              <w:t xml:space="preserve"> available to women working in this area of study at the time and the barriers that they faced</w:t>
            </w:r>
            <w:r w:rsidR="00346275">
              <w:rPr>
                <w:lang w:val="en-AU"/>
              </w:rPr>
              <w:t xml:space="preserve"> in relation to having a career or advancing in their field of study</w:t>
            </w:r>
            <w:r>
              <w:rPr>
                <w:lang w:val="en-AU"/>
              </w:rPr>
              <w:t>.</w:t>
            </w:r>
            <w:r w:rsidR="00346275">
              <w:rPr>
                <w:lang w:val="en-AU"/>
              </w:rPr>
              <w:t xml:space="preserve"> Students could consider the cultural expectations of women during the time they lived and draw links between gender roles and accepted/expected career pathways.</w:t>
            </w:r>
          </w:p>
        </w:tc>
      </w:tr>
      <w:tr w:rsidR="00FD7A7D" w:rsidRPr="008C0A84" w14:paraId="4565BCFE" w14:textId="77777777" w:rsidTr="00167D37">
        <w:tc>
          <w:tcPr>
            <w:tcW w:w="4815" w:type="dxa"/>
          </w:tcPr>
          <w:p w14:paraId="57A2F00C" w14:textId="59E31AA6" w:rsidR="00FD7A7D" w:rsidRDefault="00FD7A7D" w:rsidP="00FD7A7D">
            <w:pPr>
              <w:pStyle w:val="VCAAtablecondensed"/>
              <w:rPr>
                <w:lang w:val="en-AU"/>
              </w:rPr>
            </w:pPr>
            <w:r>
              <w:rPr>
                <w:rFonts w:eastAsia="Arial"/>
                <w:lang w:val="en-AU"/>
              </w:rPr>
              <w:t xml:space="preserve">Using student research, </w:t>
            </w:r>
            <w:r w:rsidR="00346275">
              <w:rPr>
                <w:rFonts w:eastAsia="Arial"/>
                <w:lang w:val="en-AU"/>
              </w:rPr>
              <w:t xml:space="preserve">teacher </w:t>
            </w:r>
            <w:r>
              <w:rPr>
                <w:rFonts w:eastAsia="Arial"/>
                <w:lang w:val="en-AU"/>
              </w:rPr>
              <w:t>lead</w:t>
            </w:r>
            <w:r w:rsidR="00346275">
              <w:rPr>
                <w:rFonts w:eastAsia="Arial"/>
                <w:lang w:val="en-AU"/>
              </w:rPr>
              <w:t>s</w:t>
            </w:r>
            <w:r>
              <w:rPr>
                <w:rFonts w:eastAsia="Arial"/>
                <w:lang w:val="en-AU"/>
              </w:rPr>
              <w:t xml:space="preserve"> class discussion about changing cultural context (including values and practices) over</w:t>
            </w:r>
            <w:r w:rsidR="00167D37">
              <w:rPr>
                <w:rFonts w:eastAsia="Arial"/>
                <w:lang w:val="en-AU"/>
              </w:rPr>
              <w:t xml:space="preserve"> the</w:t>
            </w:r>
            <w:r>
              <w:rPr>
                <w:rFonts w:eastAsia="Arial"/>
                <w:lang w:val="en-AU"/>
              </w:rPr>
              <w:t xml:space="preserve"> past 100 years, with emphasis on </w:t>
            </w:r>
            <w:r w:rsidR="00346275">
              <w:rPr>
                <w:rFonts w:eastAsia="Arial"/>
                <w:lang w:val="en-AU"/>
              </w:rPr>
              <w:t>the changing roles of women in the chosen area of study</w:t>
            </w:r>
            <w:r>
              <w:rPr>
                <w:rFonts w:eastAsia="Arial"/>
                <w:lang w:val="en-AU"/>
              </w:rPr>
              <w:t xml:space="preserve">. </w:t>
            </w:r>
          </w:p>
        </w:tc>
        <w:tc>
          <w:tcPr>
            <w:tcW w:w="5074" w:type="dxa"/>
          </w:tcPr>
          <w:p w14:paraId="20DFD11B" w14:textId="1E90CE9F" w:rsidR="00FD7A7D" w:rsidRDefault="00D7262B" w:rsidP="00FD7A7D">
            <w:pPr>
              <w:pStyle w:val="VCAAtablecondensed"/>
              <w:rPr>
                <w:lang w:val="en-AU"/>
              </w:rPr>
            </w:pPr>
            <w:r>
              <w:rPr>
                <w:lang w:val="en-AU"/>
              </w:rPr>
              <w:t>Students use their</w:t>
            </w:r>
            <w:r w:rsidR="00FD7A7D">
              <w:rPr>
                <w:lang w:val="en-AU"/>
              </w:rPr>
              <w:t xml:space="preserve"> research to develop questions about current career pathways in this area of study.</w:t>
            </w:r>
            <w:r w:rsidR="00346275">
              <w:rPr>
                <w:lang w:val="en-AU"/>
              </w:rPr>
              <w:t xml:space="preserve"> </w:t>
            </w:r>
          </w:p>
        </w:tc>
      </w:tr>
      <w:tr w:rsidR="00FD7A7D" w:rsidRPr="008C0A84" w14:paraId="3F7C9F0C" w14:textId="77777777" w:rsidTr="00167D37">
        <w:tc>
          <w:tcPr>
            <w:tcW w:w="4815" w:type="dxa"/>
            <w:tcBorders>
              <w:bottom w:val="single" w:sz="4" w:space="0" w:color="auto"/>
            </w:tcBorders>
          </w:tcPr>
          <w:p w14:paraId="446FB8DB" w14:textId="606934B2" w:rsidR="00FD7A7D" w:rsidRPr="008C0A84" w:rsidRDefault="00346275" w:rsidP="00FD7A7D">
            <w:pPr>
              <w:pStyle w:val="VCAAtablecondensed"/>
              <w:rPr>
                <w:lang w:val="en-AU"/>
              </w:rPr>
            </w:pPr>
            <w:r>
              <w:rPr>
                <w:lang w:val="en-AU"/>
              </w:rPr>
              <w:t xml:space="preserve">Teacher instructs </w:t>
            </w:r>
            <w:r w:rsidR="00FD7A7D">
              <w:rPr>
                <w:lang w:val="en-AU"/>
              </w:rPr>
              <w:t>students to write a short reflection on changes to this area of study, in relation to values and human activities.</w:t>
            </w:r>
          </w:p>
        </w:tc>
        <w:tc>
          <w:tcPr>
            <w:tcW w:w="5074" w:type="dxa"/>
            <w:tcBorders>
              <w:bottom w:val="single" w:sz="4" w:space="0" w:color="auto"/>
            </w:tcBorders>
          </w:tcPr>
          <w:p w14:paraId="4B5DA63E" w14:textId="13EAFB3B" w:rsidR="00912088" w:rsidRDefault="00D7262B" w:rsidP="00FD7A7D">
            <w:pPr>
              <w:pStyle w:val="VCAAtablecondensed"/>
            </w:pPr>
            <w:r>
              <w:t xml:space="preserve">Students use their </w:t>
            </w:r>
            <w:r w:rsidR="00FD7A7D">
              <w:t xml:space="preserve">questions to interview a woman </w:t>
            </w:r>
            <w:r w:rsidR="008138EB">
              <w:t xml:space="preserve">regarded as an </w:t>
            </w:r>
            <w:bookmarkStart w:id="1" w:name="_GoBack"/>
            <w:bookmarkEnd w:id="1"/>
            <w:r w:rsidR="008138EB">
              <w:t xml:space="preserve">expert </w:t>
            </w:r>
            <w:r w:rsidR="00FD7A7D">
              <w:t xml:space="preserve">working in this area of study about how </w:t>
            </w:r>
            <w:r w:rsidR="00285ABD">
              <w:t>her</w:t>
            </w:r>
            <w:r w:rsidR="00FD7A7D">
              <w:t xml:space="preserve"> work has changed in relation to cultural values and practices. </w:t>
            </w:r>
          </w:p>
          <w:p w14:paraId="0D137BAF" w14:textId="7EB76B28" w:rsidR="00FD7A7D" w:rsidRPr="00B74D78" w:rsidRDefault="00912088">
            <w:pPr>
              <w:pStyle w:val="VCAAtablecondensed"/>
              <w:rPr>
                <w:color w:val="auto"/>
                <w:lang w:val="en-AU"/>
              </w:rPr>
            </w:pPr>
            <w:r>
              <w:t xml:space="preserve">Teacher extends the existing reflection to include students’ thoughts on how new insights gained through this activity may </w:t>
            </w:r>
            <w:r>
              <w:lastRenderedPageBreak/>
              <w:t xml:space="preserve">have changed </w:t>
            </w:r>
            <w:r w:rsidR="00970188">
              <w:t xml:space="preserve">how they think about </w:t>
            </w:r>
            <w:r>
              <w:t>their own planning for the future. Students can be encouraged to link this insight to the setting of personal goals for further study or career exploration, and to add these goals to an e-portfolio.</w:t>
            </w:r>
          </w:p>
        </w:tc>
      </w:tr>
    </w:tbl>
    <w:p w14:paraId="3F52BE49" w14:textId="0D4D11B4" w:rsidR="00DB533D" w:rsidRDefault="00B51FA6" w:rsidP="004F6DE0">
      <w:pPr>
        <w:pStyle w:val="VCAAHeading4"/>
        <w:rPr>
          <w:lang w:val="en-AU"/>
        </w:rPr>
      </w:pPr>
      <w:r w:rsidRPr="008C0A84">
        <w:rPr>
          <w:lang w:val="en-AU"/>
        </w:rPr>
        <w:lastRenderedPageBreak/>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4EDD1F3E" w14:textId="03085EF9" w:rsidR="00C4773E" w:rsidRDefault="00C4773E" w:rsidP="00C4773E">
      <w:pPr>
        <w:pStyle w:val="VCAAbullet"/>
      </w:pPr>
      <w:r>
        <w:t>This activity can be</w:t>
      </w:r>
      <w:r w:rsidR="001B1389">
        <w:t xml:space="preserve"> </w:t>
      </w:r>
      <w:r>
        <w:t xml:space="preserve">adapted to </w:t>
      </w:r>
      <w:r w:rsidR="008E7EBA">
        <w:t xml:space="preserve">a variety of </w:t>
      </w:r>
      <w:r>
        <w:t xml:space="preserve">curriculum areas. For example, in the study of Science as a human </w:t>
      </w:r>
      <w:r w:rsidR="00167D37">
        <w:t>endeavour</w:t>
      </w:r>
      <w:r>
        <w:t xml:space="preserve">, students could investigate influential figures such as Lise Meitner, </w:t>
      </w:r>
      <w:r w:rsidRPr="00167D37">
        <w:rPr>
          <w:rFonts w:eastAsiaTheme="minorHAnsi"/>
        </w:rPr>
        <w:t>Jane Goodal</w:t>
      </w:r>
      <w:r w:rsidR="008E7EBA" w:rsidRPr="00167D37">
        <w:rPr>
          <w:rFonts w:eastAsiaTheme="minorHAnsi"/>
        </w:rPr>
        <w:t>l</w:t>
      </w:r>
      <w:r>
        <w:t xml:space="preserve">, or </w:t>
      </w:r>
      <w:r w:rsidR="008E7EBA">
        <w:t>Katherine Johnson</w:t>
      </w:r>
      <w:r>
        <w:t xml:space="preserve">. A similar activity in Health and Physical Education could </w:t>
      </w:r>
      <w:r w:rsidR="003629B2">
        <w:t xml:space="preserve">investigate </w:t>
      </w:r>
      <w:r>
        <w:t xml:space="preserve">changes </w:t>
      </w:r>
      <w:r w:rsidR="003629B2">
        <w:t>to women’s participation</w:t>
      </w:r>
      <w:r>
        <w:t xml:space="preserve"> in sport over the past century. </w:t>
      </w:r>
    </w:p>
    <w:p w14:paraId="17FDBC32" w14:textId="2EE489DE" w:rsidR="003935EA" w:rsidRDefault="003935EA" w:rsidP="00C4773E">
      <w:pPr>
        <w:pStyle w:val="VCAAbullet"/>
      </w:pPr>
      <w:r>
        <w:t xml:space="preserve">Research into the historical pathways available to women may need to be scaffolded via a templated worksheet that allows students to capture information such as </w:t>
      </w:r>
      <w:r w:rsidR="008138EB">
        <w:t>ethnicity</w:t>
      </w:r>
      <w:r w:rsidR="009B2ECC">
        <w:t>;</w:t>
      </w:r>
      <w:r>
        <w:t xml:space="preserve"> class; access to education (restricted legally and/or by social expectations); family structure and attitudes; attitudes of mentors and colleagues. Such a template enables students to easily identify commonalities across experiences.</w:t>
      </w:r>
    </w:p>
    <w:p w14:paraId="2E7C91FF" w14:textId="6EBAFDE5" w:rsidR="00C4773E" w:rsidRPr="00167D37" w:rsidRDefault="00DB533D" w:rsidP="00C4773E">
      <w:pPr>
        <w:pStyle w:val="VCAAHeading4"/>
      </w:pPr>
      <w:r>
        <w:t xml:space="preserve">Additional resources to help when adapting the learning </w:t>
      </w:r>
      <w:r w:rsidR="00AD2E96" w:rsidRPr="008C0A84">
        <w:rPr>
          <w:lang w:val="en-AU"/>
        </w:rPr>
        <w:t>activity</w:t>
      </w:r>
    </w:p>
    <w:p w14:paraId="5433FAE4" w14:textId="15FF0E93" w:rsidR="003C394F" w:rsidRPr="00AD2E96" w:rsidRDefault="00C4773E" w:rsidP="00C4773E">
      <w:pPr>
        <w:pStyle w:val="VCAAbullet"/>
        <w:rPr>
          <w:lang w:val="en-AU"/>
        </w:rPr>
      </w:pPr>
      <w:r>
        <w:t>Teachers can draw on their school’s broader curriculum planning when seeking experts to interview. For instance,</w:t>
      </w:r>
      <w:r w:rsidR="00BB02AA">
        <w:t xml:space="preserve"> planned</w:t>
      </w:r>
      <w:r>
        <w:t xml:space="preserve"> excursions may bring students in direct contact with women working in relevant industries. School may participate in mentoring programs such as </w:t>
      </w:r>
      <w:hyperlink r:id="rId12" w:history="1">
        <w:r w:rsidRPr="00E64CE5">
          <w:rPr>
            <w:rStyle w:val="Hyperlink"/>
            <w:i/>
          </w:rPr>
          <w:t>In2science</w:t>
        </w:r>
      </w:hyperlink>
      <w:r>
        <w:t xml:space="preserve">, which would also provide opportunities to adapt this activity </w:t>
      </w:r>
      <w:r w:rsidR="009B2ECC">
        <w:t>to</w:t>
      </w:r>
      <w:r w:rsidR="00C82429">
        <w:t xml:space="preserve"> teaching</w:t>
      </w:r>
      <w:r>
        <w:t xml:space="preserve"> Science.</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13F1B25F" w14:textId="2962B670" w:rsidR="00461B89" w:rsidRPr="00167D37" w:rsidRDefault="00167D37" w:rsidP="00461B89">
      <w:pPr>
        <w:pStyle w:val="VCAAbody"/>
      </w:pPr>
      <w:r w:rsidRPr="00167D37">
        <w:rPr>
          <w:lang w:val="en-AU"/>
        </w:rPr>
        <w:t>Know yourself – self-development:</w:t>
      </w:r>
    </w:p>
    <w:p w14:paraId="3A54A84D" w14:textId="1FDC932D" w:rsidR="00461B89" w:rsidRPr="000D5158" w:rsidRDefault="00970188" w:rsidP="00461B89">
      <w:pPr>
        <w:pStyle w:val="VCAAbullet"/>
        <w:numPr>
          <w:ilvl w:val="0"/>
          <w:numId w:val="29"/>
        </w:numPr>
        <w:ind w:left="425" w:hanging="425"/>
        <w:rPr>
          <w:lang w:val="en-AU"/>
        </w:rPr>
      </w:pPr>
      <w:r>
        <w:t xml:space="preserve">Students learn the importance of perseverance and how to develop strategies to deal with challenging contexts. </w:t>
      </w:r>
      <w:r w:rsidR="00E64CE5" w:rsidRPr="00167D37">
        <w:t>The case studies of people</w:t>
      </w:r>
      <w:r w:rsidR="00461B89" w:rsidRPr="00167D37">
        <w:t xml:space="preserve"> </w:t>
      </w:r>
      <w:r w:rsidR="00E64CE5" w:rsidRPr="00167D37">
        <w:t xml:space="preserve">who </w:t>
      </w:r>
      <w:r w:rsidR="00461B89" w:rsidRPr="00167D37">
        <w:t xml:space="preserve">have succeeded </w:t>
      </w:r>
      <w:r w:rsidR="00E64CE5" w:rsidRPr="00167D37">
        <w:t xml:space="preserve">despite facing significant </w:t>
      </w:r>
      <w:r>
        <w:t>challenges</w:t>
      </w:r>
      <w:r w:rsidR="00E64CE5" w:rsidRPr="00167D37">
        <w:t xml:space="preserve"> </w:t>
      </w:r>
      <w:r w:rsidR="00461B89" w:rsidRPr="00167D37">
        <w:t>can provide role models for students, regardless of whether this is a care</w:t>
      </w:r>
      <w:r w:rsidR="00E64CE5" w:rsidRPr="00167D37">
        <w:t>e</w:t>
      </w:r>
      <w:r w:rsidR="00461B89" w:rsidRPr="00167D37">
        <w:t xml:space="preserve">r pathway they </w:t>
      </w:r>
      <w:r>
        <w:t>are</w:t>
      </w:r>
      <w:r w:rsidR="00461B89" w:rsidRPr="00167D37">
        <w:t xml:space="preserve"> interested in. </w:t>
      </w:r>
    </w:p>
    <w:p w14:paraId="5CC957E1" w14:textId="23AAE144" w:rsidR="00461B89" w:rsidRPr="000D5158" w:rsidRDefault="00167D37" w:rsidP="00461B89">
      <w:pPr>
        <w:pStyle w:val="VCAAbody"/>
        <w:rPr>
          <w:lang w:val="en-AU"/>
        </w:rPr>
      </w:pPr>
      <w:r w:rsidRPr="00167D37">
        <w:rPr>
          <w:lang w:val="en-AU"/>
        </w:rPr>
        <w:t>Know your world – career exploration:</w:t>
      </w:r>
    </w:p>
    <w:p w14:paraId="333D3EA3" w14:textId="7AE1ED6D" w:rsidR="00461B89" w:rsidRPr="000D5158" w:rsidRDefault="00970188" w:rsidP="00461B89">
      <w:pPr>
        <w:pStyle w:val="VCAAbullet"/>
        <w:numPr>
          <w:ilvl w:val="0"/>
          <w:numId w:val="29"/>
        </w:numPr>
        <w:ind w:left="425" w:hanging="425"/>
      </w:pPr>
      <w:r>
        <w:t>Students reflect on how society and the economy benefit from increased equality of opportunity b</w:t>
      </w:r>
      <w:r w:rsidR="00461B89" w:rsidRPr="00167D37">
        <w:t xml:space="preserve">y identifying challenges that </w:t>
      </w:r>
      <w:r w:rsidR="00E64CE5" w:rsidRPr="00167D37">
        <w:t xml:space="preserve">marginalised </w:t>
      </w:r>
      <w:r w:rsidR="00461B89" w:rsidRPr="00167D37">
        <w:t>people have faced in their career pathways.</w:t>
      </w:r>
    </w:p>
    <w:p w14:paraId="4F98BC45" w14:textId="1F5862D8" w:rsidR="00461B89" w:rsidRDefault="008138EB" w:rsidP="00461B89">
      <w:pPr>
        <w:pStyle w:val="VCAAbullet"/>
        <w:numPr>
          <w:ilvl w:val="0"/>
          <w:numId w:val="29"/>
        </w:numPr>
        <w:ind w:left="425" w:hanging="425"/>
      </w:pPr>
      <w:r>
        <w:t xml:space="preserve">Through exploring </w:t>
      </w:r>
      <w:r w:rsidR="00461B89" w:rsidRPr="00167D37">
        <w:t>the pathways that influential women have taken</w:t>
      </w:r>
      <w:r w:rsidR="00970188">
        <w:t>, rather than just</w:t>
      </w:r>
      <w:r>
        <w:t xml:space="preserve"> focusing on </w:t>
      </w:r>
      <w:r w:rsidR="00970188">
        <w:t>their achievements</w:t>
      </w:r>
      <w:r>
        <w:t>, students see the value of being a lifelong learner</w:t>
      </w:r>
      <w:r w:rsidR="00970188">
        <w:t>.</w:t>
      </w:r>
    </w:p>
    <w:p w14:paraId="12F0D7D5" w14:textId="2B2B349D" w:rsidR="00912088" w:rsidRPr="000D5158" w:rsidRDefault="00970188" w:rsidP="00912088">
      <w:pPr>
        <w:pStyle w:val="VCAAbullet"/>
        <w:numPr>
          <w:ilvl w:val="0"/>
          <w:numId w:val="29"/>
        </w:numPr>
        <w:ind w:left="425" w:hanging="425"/>
      </w:pPr>
      <w:r>
        <w:t>Students ar</w:t>
      </w:r>
      <w:r w:rsidR="00EB412F">
        <w:t>e provided with a direct source for the experience of a career path through questioning</w:t>
      </w:r>
      <w:r w:rsidR="00912088" w:rsidRPr="00C9168A">
        <w:t xml:space="preserve"> a current expert about their work pathways</w:t>
      </w:r>
      <w:r w:rsidR="00EB412F">
        <w:t xml:space="preserve">, </w:t>
      </w:r>
      <w:r w:rsidR="00912088" w:rsidRPr="00C9168A">
        <w:t xml:space="preserve">including the various pathways that exist within specialisations or industries. </w:t>
      </w:r>
    </w:p>
    <w:p w14:paraId="317B80BA" w14:textId="74D891F8" w:rsidR="00461B89" w:rsidRPr="000D5158" w:rsidRDefault="000D5158" w:rsidP="00461B89">
      <w:pPr>
        <w:pStyle w:val="VCAAbody"/>
        <w:rPr>
          <w:lang w:val="en-AU"/>
        </w:rPr>
      </w:pPr>
      <w:r w:rsidRPr="000D5158">
        <w:rPr>
          <w:lang w:val="en-AU"/>
        </w:rPr>
        <w:t>Manage your future – be proactive</w:t>
      </w:r>
      <w:r w:rsidR="00461B89" w:rsidRPr="000D5158">
        <w:rPr>
          <w:lang w:val="en-AU"/>
        </w:rPr>
        <w:t xml:space="preserve">: </w:t>
      </w:r>
    </w:p>
    <w:p w14:paraId="7CAC0C55" w14:textId="0F11D386" w:rsidR="00B3376C" w:rsidRPr="008C0A84" w:rsidRDefault="00EB412F" w:rsidP="00167D37">
      <w:pPr>
        <w:pStyle w:val="VCAAbullet"/>
        <w:numPr>
          <w:ilvl w:val="0"/>
          <w:numId w:val="29"/>
        </w:numPr>
        <w:ind w:left="425" w:hanging="425"/>
      </w:pPr>
      <w:r>
        <w:rPr>
          <w:lang w:val="en-AU"/>
        </w:rPr>
        <w:t>S</w:t>
      </w:r>
      <w:r w:rsidR="00461B89">
        <w:rPr>
          <w:lang w:val="en-AU"/>
        </w:rPr>
        <w:t xml:space="preserve">tudents can reflect on how </w:t>
      </w:r>
      <w:r w:rsidR="00461B89" w:rsidRPr="00146D69">
        <w:rPr>
          <w:lang w:val="en-AU"/>
        </w:rPr>
        <w:t>t</w:t>
      </w:r>
      <w:r w:rsidR="00461B89" w:rsidRPr="00167D37">
        <w:rPr>
          <w:lang w:val="en-AU"/>
        </w:rPr>
        <w:t>hey might adapt to potential future changes</w:t>
      </w:r>
      <w:r w:rsidR="00461B89" w:rsidRPr="00146D69">
        <w:rPr>
          <w:lang w:val="en-AU"/>
        </w:rPr>
        <w:t xml:space="preserve"> in work</w:t>
      </w:r>
      <w:r>
        <w:rPr>
          <w:lang w:val="en-AU"/>
        </w:rPr>
        <w:t xml:space="preserve"> through identifying how the world of work has changed, and how the workers within it adapted.</w:t>
      </w:r>
    </w:p>
    <w:sectPr w:rsidR="00B3376C" w:rsidRPr="008C0A84" w:rsidSect="00B230DB">
      <w:headerReference w:type="default"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174337" w16cid:durableId="231599EE"/>
  <w16cid:commentId w16cid:paraId="681359F5" w16cid:durableId="23146BED"/>
  <w16cid:commentId w16cid:paraId="23E9B8C1" w16cid:durableId="231599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970188" w:rsidRDefault="00970188" w:rsidP="00304EA1">
      <w:pPr>
        <w:spacing w:after="0" w:line="240" w:lineRule="auto"/>
      </w:pPr>
      <w:r>
        <w:separator/>
      </w:r>
    </w:p>
  </w:endnote>
  <w:endnote w:type="continuationSeparator" w:id="0">
    <w:p w14:paraId="3270DF94" w14:textId="77777777" w:rsidR="00970188" w:rsidRDefault="0097018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970188" w:rsidRPr="00D06414" w14:paraId="6474FD3B" w14:textId="77777777" w:rsidTr="00BB3BAB">
      <w:trPr>
        <w:trHeight w:val="476"/>
      </w:trPr>
      <w:tc>
        <w:tcPr>
          <w:tcW w:w="1667" w:type="pct"/>
          <w:tcMar>
            <w:left w:w="0" w:type="dxa"/>
            <w:right w:w="0" w:type="dxa"/>
          </w:tcMar>
        </w:tcPr>
        <w:p w14:paraId="0EC15F2D" w14:textId="77777777" w:rsidR="00970188" w:rsidRPr="00D06414" w:rsidRDefault="00970188"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970188" w:rsidRPr="00D06414" w:rsidRDefault="0097018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EA0E0C9" w:rsidR="00970188" w:rsidRPr="00D06414" w:rsidRDefault="00970188"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138EB">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970188" w:rsidRPr="00D06414" w:rsidRDefault="0097018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970188" w:rsidRPr="00D06414" w14:paraId="36A4ADC1" w14:textId="77777777" w:rsidTr="000F5AAF">
      <w:tc>
        <w:tcPr>
          <w:tcW w:w="1459" w:type="pct"/>
          <w:tcMar>
            <w:left w:w="0" w:type="dxa"/>
            <w:right w:w="0" w:type="dxa"/>
          </w:tcMar>
        </w:tcPr>
        <w:p w14:paraId="74DB1FC2" w14:textId="77777777" w:rsidR="00970188" w:rsidRPr="00D06414" w:rsidRDefault="0097018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970188" w:rsidRPr="00D06414" w:rsidRDefault="0097018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970188" w:rsidRPr="00D06414" w:rsidRDefault="0097018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970188" w:rsidRPr="00D06414" w:rsidRDefault="0097018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970188" w:rsidRDefault="00970188" w:rsidP="00304EA1">
      <w:pPr>
        <w:spacing w:after="0" w:line="240" w:lineRule="auto"/>
      </w:pPr>
      <w:r>
        <w:separator/>
      </w:r>
    </w:p>
  </w:footnote>
  <w:footnote w:type="continuationSeparator" w:id="0">
    <w:p w14:paraId="13540A36" w14:textId="77777777" w:rsidR="00970188" w:rsidRDefault="0097018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FF4CA" w14:textId="4A682757" w:rsidR="00970188" w:rsidRDefault="00970188" w:rsidP="0038622E">
    <w:pPr>
      <w:pStyle w:val="VCAAbody"/>
    </w:pPr>
    <w:r>
      <w:t>Embedding career education in the Victorian Curriculum F–10 – Intercultural Capability, Levels 7 and 8</w:t>
    </w:r>
  </w:p>
  <w:p w14:paraId="0F4EB06A" w14:textId="77777777" w:rsidR="00970188" w:rsidRPr="0038622E" w:rsidRDefault="00970188" w:rsidP="0038622E">
    <w:pPr>
      <w:pStyle w:val="VCAAbody"/>
      <w:rPr>
        <w:color w:val="0F7EB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970188" w:rsidRPr="009370BC" w:rsidRDefault="00970188"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A23B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A889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FEB4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8E4C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BAEC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2EFF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6A1D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4008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D82C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7A7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2C316B"/>
    <w:multiLevelType w:val="hybridMultilevel"/>
    <w:tmpl w:val="314E00E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A24CC2"/>
    <w:multiLevelType w:val="hybridMultilevel"/>
    <w:tmpl w:val="ED5A5762"/>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46457FBD"/>
    <w:multiLevelType w:val="multilevel"/>
    <w:tmpl w:val="711CCC94"/>
    <w:lvl w:ilvl="0">
      <w:start w:val="1"/>
      <w:numFmt w:val="bullet"/>
      <w:lvlText w:val=""/>
      <w:lvlJc w:val="left"/>
      <w:pPr>
        <w:ind w:left="5748" w:hanging="360"/>
      </w:pPr>
      <w:rPr>
        <w:rFonts w:ascii="Symbol" w:hAnsi="Symbol" w:cs="Symbol" w:hint="default"/>
        <w:b/>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19" w15:restartNumberingAfterBreak="0">
    <w:nsid w:val="473E602B"/>
    <w:multiLevelType w:val="hybridMultilevel"/>
    <w:tmpl w:val="4F0A80C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0"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B0F05C2"/>
    <w:multiLevelType w:val="hybridMultilevel"/>
    <w:tmpl w:val="239A3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714E4A"/>
    <w:multiLevelType w:val="multilevel"/>
    <w:tmpl w:val="603E9C44"/>
    <w:lvl w:ilvl="0">
      <w:start w:val="1"/>
      <w:numFmt w:val="bullet"/>
      <w:lvlText w:val=""/>
      <w:lvlJc w:val="left"/>
      <w:pPr>
        <w:ind w:left="5748" w:hanging="360"/>
      </w:pPr>
      <w:rPr>
        <w:rFonts w:ascii="Symbol" w:hAnsi="Symbol" w:cs="Symbol" w:hint="default"/>
        <w:b/>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25"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62872B6C"/>
    <w:multiLevelType w:val="hybridMultilevel"/>
    <w:tmpl w:val="6D50FE3C"/>
    <w:lvl w:ilvl="0" w:tplc="0F523D8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8" w15:restartNumberingAfterBreak="0">
    <w:nsid w:val="78E005A7"/>
    <w:multiLevelType w:val="hybridMultilevel"/>
    <w:tmpl w:val="1E3A09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7"/>
  </w:num>
  <w:num w:numId="2">
    <w:abstractNumId w:val="21"/>
  </w:num>
  <w:num w:numId="3">
    <w:abstractNumId w:val="17"/>
  </w:num>
  <w:num w:numId="4">
    <w:abstractNumId w:val="12"/>
  </w:num>
  <w:num w:numId="5">
    <w:abstractNumId w:val="26"/>
  </w:num>
  <w:num w:numId="6">
    <w:abstractNumId w:val="15"/>
  </w:num>
  <w:num w:numId="7">
    <w:abstractNumId w:val="13"/>
  </w:num>
  <w:num w:numId="8">
    <w:abstractNumId w:val="2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14"/>
  </w:num>
  <w:num w:numId="21">
    <w:abstractNumId w:val="22"/>
  </w:num>
  <w:num w:numId="22">
    <w:abstractNumId w:val="11"/>
  </w:num>
  <w:num w:numId="23">
    <w:abstractNumId w:val="16"/>
  </w:num>
  <w:num w:numId="24">
    <w:abstractNumId w:val="23"/>
  </w:num>
  <w:num w:numId="25">
    <w:abstractNumId w:val="10"/>
  </w:num>
  <w:num w:numId="26">
    <w:abstractNumId w:val="28"/>
  </w:num>
  <w:num w:numId="27">
    <w:abstractNumId w:val="19"/>
  </w:num>
  <w:num w:numId="28">
    <w:abstractNumId w:val="1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076B1"/>
    <w:rsid w:val="00033048"/>
    <w:rsid w:val="00043171"/>
    <w:rsid w:val="0005780E"/>
    <w:rsid w:val="00065CC6"/>
    <w:rsid w:val="00072AF1"/>
    <w:rsid w:val="00085FFA"/>
    <w:rsid w:val="00086CFC"/>
    <w:rsid w:val="00097F58"/>
    <w:rsid w:val="000A71F7"/>
    <w:rsid w:val="000B152F"/>
    <w:rsid w:val="000C3988"/>
    <w:rsid w:val="000C5DD1"/>
    <w:rsid w:val="000C5EBC"/>
    <w:rsid w:val="000D5158"/>
    <w:rsid w:val="000E3DA1"/>
    <w:rsid w:val="000E4FBA"/>
    <w:rsid w:val="000F09E4"/>
    <w:rsid w:val="000F16FD"/>
    <w:rsid w:val="000F5AAF"/>
    <w:rsid w:val="00121FF7"/>
    <w:rsid w:val="0012374D"/>
    <w:rsid w:val="00125CCC"/>
    <w:rsid w:val="00143520"/>
    <w:rsid w:val="00143AEA"/>
    <w:rsid w:val="00146D69"/>
    <w:rsid w:val="00151AB6"/>
    <w:rsid w:val="00153AD2"/>
    <w:rsid w:val="00165D1E"/>
    <w:rsid w:val="00167D37"/>
    <w:rsid w:val="001779EA"/>
    <w:rsid w:val="00184DA8"/>
    <w:rsid w:val="001926FE"/>
    <w:rsid w:val="001A39A9"/>
    <w:rsid w:val="001B1389"/>
    <w:rsid w:val="001C4CA0"/>
    <w:rsid w:val="001C60F1"/>
    <w:rsid w:val="001D2D56"/>
    <w:rsid w:val="001D3246"/>
    <w:rsid w:val="001D6523"/>
    <w:rsid w:val="001E4737"/>
    <w:rsid w:val="001E4822"/>
    <w:rsid w:val="001F5D88"/>
    <w:rsid w:val="002279BA"/>
    <w:rsid w:val="002329F3"/>
    <w:rsid w:val="00236895"/>
    <w:rsid w:val="002411E9"/>
    <w:rsid w:val="00243F0D"/>
    <w:rsid w:val="0024683E"/>
    <w:rsid w:val="00254888"/>
    <w:rsid w:val="00255852"/>
    <w:rsid w:val="00260767"/>
    <w:rsid w:val="002647BB"/>
    <w:rsid w:val="002754C1"/>
    <w:rsid w:val="0028206E"/>
    <w:rsid w:val="002841C8"/>
    <w:rsid w:val="0028516B"/>
    <w:rsid w:val="00285208"/>
    <w:rsid w:val="00285ABD"/>
    <w:rsid w:val="002B103A"/>
    <w:rsid w:val="002C3128"/>
    <w:rsid w:val="002C6F90"/>
    <w:rsid w:val="002D1CEC"/>
    <w:rsid w:val="002E4FB5"/>
    <w:rsid w:val="00302FB8"/>
    <w:rsid w:val="00304EA1"/>
    <w:rsid w:val="00314D81"/>
    <w:rsid w:val="00322FC6"/>
    <w:rsid w:val="0034133D"/>
    <w:rsid w:val="00346275"/>
    <w:rsid w:val="0035293F"/>
    <w:rsid w:val="003629B2"/>
    <w:rsid w:val="0036349B"/>
    <w:rsid w:val="00366E2E"/>
    <w:rsid w:val="0038622E"/>
    <w:rsid w:val="00391986"/>
    <w:rsid w:val="00392864"/>
    <w:rsid w:val="003935EA"/>
    <w:rsid w:val="003A00B4"/>
    <w:rsid w:val="003A5678"/>
    <w:rsid w:val="003C394F"/>
    <w:rsid w:val="003C5E71"/>
    <w:rsid w:val="003F62CD"/>
    <w:rsid w:val="00411D26"/>
    <w:rsid w:val="00417AA3"/>
    <w:rsid w:val="00421DB1"/>
    <w:rsid w:val="00425DFE"/>
    <w:rsid w:val="00425FD1"/>
    <w:rsid w:val="00434EDB"/>
    <w:rsid w:val="00440B32"/>
    <w:rsid w:val="00457521"/>
    <w:rsid w:val="0046078D"/>
    <w:rsid w:val="00461B89"/>
    <w:rsid w:val="004751BE"/>
    <w:rsid w:val="0048438A"/>
    <w:rsid w:val="00495592"/>
    <w:rsid w:val="00495C80"/>
    <w:rsid w:val="004A2ED8"/>
    <w:rsid w:val="004D70CD"/>
    <w:rsid w:val="004E794A"/>
    <w:rsid w:val="004F5BDA"/>
    <w:rsid w:val="004F6DE0"/>
    <w:rsid w:val="005049EF"/>
    <w:rsid w:val="0051631E"/>
    <w:rsid w:val="00537A1F"/>
    <w:rsid w:val="00563E1D"/>
    <w:rsid w:val="00564B8C"/>
    <w:rsid w:val="00566029"/>
    <w:rsid w:val="00567FD3"/>
    <w:rsid w:val="005923CB"/>
    <w:rsid w:val="00593566"/>
    <w:rsid w:val="005B391B"/>
    <w:rsid w:val="005C1119"/>
    <w:rsid w:val="005D2A5B"/>
    <w:rsid w:val="005D3D78"/>
    <w:rsid w:val="005D7236"/>
    <w:rsid w:val="005E0805"/>
    <w:rsid w:val="005E2EF0"/>
    <w:rsid w:val="005F4092"/>
    <w:rsid w:val="00606F1D"/>
    <w:rsid w:val="00610518"/>
    <w:rsid w:val="006169F0"/>
    <w:rsid w:val="0066575C"/>
    <w:rsid w:val="00667D41"/>
    <w:rsid w:val="00683D37"/>
    <w:rsid w:val="0068471E"/>
    <w:rsid w:val="00684F98"/>
    <w:rsid w:val="00693FFD"/>
    <w:rsid w:val="006A0426"/>
    <w:rsid w:val="006A6353"/>
    <w:rsid w:val="006B0A54"/>
    <w:rsid w:val="006B15D4"/>
    <w:rsid w:val="006C5FD6"/>
    <w:rsid w:val="006D2159"/>
    <w:rsid w:val="006F58F8"/>
    <w:rsid w:val="006F787C"/>
    <w:rsid w:val="00702636"/>
    <w:rsid w:val="0071274F"/>
    <w:rsid w:val="00724507"/>
    <w:rsid w:val="0073694B"/>
    <w:rsid w:val="007421B7"/>
    <w:rsid w:val="007623B9"/>
    <w:rsid w:val="00773E6C"/>
    <w:rsid w:val="00781FB1"/>
    <w:rsid w:val="00796C3B"/>
    <w:rsid w:val="007A0E4B"/>
    <w:rsid w:val="007D1B6D"/>
    <w:rsid w:val="007D2819"/>
    <w:rsid w:val="007D6335"/>
    <w:rsid w:val="007E7D1F"/>
    <w:rsid w:val="007F7198"/>
    <w:rsid w:val="008017F0"/>
    <w:rsid w:val="008138EB"/>
    <w:rsid w:val="00813C37"/>
    <w:rsid w:val="008154B5"/>
    <w:rsid w:val="00823962"/>
    <w:rsid w:val="00847A73"/>
    <w:rsid w:val="00852719"/>
    <w:rsid w:val="0085296D"/>
    <w:rsid w:val="008534BB"/>
    <w:rsid w:val="008554F3"/>
    <w:rsid w:val="00860115"/>
    <w:rsid w:val="00862F22"/>
    <w:rsid w:val="0087201E"/>
    <w:rsid w:val="0088783C"/>
    <w:rsid w:val="008B1278"/>
    <w:rsid w:val="008C0A84"/>
    <w:rsid w:val="008D0ABF"/>
    <w:rsid w:val="008D57CA"/>
    <w:rsid w:val="008E7EBA"/>
    <w:rsid w:val="00905484"/>
    <w:rsid w:val="00912088"/>
    <w:rsid w:val="009370BC"/>
    <w:rsid w:val="00942618"/>
    <w:rsid w:val="009453A6"/>
    <w:rsid w:val="00964C8A"/>
    <w:rsid w:val="00970188"/>
    <w:rsid w:val="00970580"/>
    <w:rsid w:val="009840A7"/>
    <w:rsid w:val="00986B17"/>
    <w:rsid w:val="0098739B"/>
    <w:rsid w:val="009B2ECC"/>
    <w:rsid w:val="009B61E5"/>
    <w:rsid w:val="009C2AE5"/>
    <w:rsid w:val="009D1E89"/>
    <w:rsid w:val="009E0CB8"/>
    <w:rsid w:val="009E15CD"/>
    <w:rsid w:val="009E5707"/>
    <w:rsid w:val="009F4074"/>
    <w:rsid w:val="00A053AC"/>
    <w:rsid w:val="00A13223"/>
    <w:rsid w:val="00A17661"/>
    <w:rsid w:val="00A24B2D"/>
    <w:rsid w:val="00A27DCD"/>
    <w:rsid w:val="00A32C1A"/>
    <w:rsid w:val="00A40966"/>
    <w:rsid w:val="00A50E81"/>
    <w:rsid w:val="00A90208"/>
    <w:rsid w:val="00A921E0"/>
    <w:rsid w:val="00A922F4"/>
    <w:rsid w:val="00AD2E96"/>
    <w:rsid w:val="00AD59D5"/>
    <w:rsid w:val="00AE5526"/>
    <w:rsid w:val="00AF051B"/>
    <w:rsid w:val="00AF0838"/>
    <w:rsid w:val="00B01578"/>
    <w:rsid w:val="00B0738F"/>
    <w:rsid w:val="00B13D3B"/>
    <w:rsid w:val="00B230DB"/>
    <w:rsid w:val="00B26601"/>
    <w:rsid w:val="00B30E01"/>
    <w:rsid w:val="00B3376C"/>
    <w:rsid w:val="00B41951"/>
    <w:rsid w:val="00B51FA6"/>
    <w:rsid w:val="00B53229"/>
    <w:rsid w:val="00B550F0"/>
    <w:rsid w:val="00B62480"/>
    <w:rsid w:val="00B74D78"/>
    <w:rsid w:val="00B81A3A"/>
    <w:rsid w:val="00B81B70"/>
    <w:rsid w:val="00B86F35"/>
    <w:rsid w:val="00BB02AA"/>
    <w:rsid w:val="00BB3BAB"/>
    <w:rsid w:val="00BD0724"/>
    <w:rsid w:val="00BD2B91"/>
    <w:rsid w:val="00BE15D2"/>
    <w:rsid w:val="00BE5521"/>
    <w:rsid w:val="00BF240E"/>
    <w:rsid w:val="00BF6C23"/>
    <w:rsid w:val="00C0092C"/>
    <w:rsid w:val="00C1678F"/>
    <w:rsid w:val="00C2005D"/>
    <w:rsid w:val="00C4773E"/>
    <w:rsid w:val="00C53263"/>
    <w:rsid w:val="00C6415E"/>
    <w:rsid w:val="00C75F1D"/>
    <w:rsid w:val="00C82429"/>
    <w:rsid w:val="00C95156"/>
    <w:rsid w:val="00CA0A19"/>
    <w:rsid w:val="00CA0DC2"/>
    <w:rsid w:val="00CA7F19"/>
    <w:rsid w:val="00CB19B7"/>
    <w:rsid w:val="00CB68E8"/>
    <w:rsid w:val="00CC1450"/>
    <w:rsid w:val="00CD219C"/>
    <w:rsid w:val="00CD3D23"/>
    <w:rsid w:val="00D04F01"/>
    <w:rsid w:val="00D06414"/>
    <w:rsid w:val="00D24E5A"/>
    <w:rsid w:val="00D338E4"/>
    <w:rsid w:val="00D35D07"/>
    <w:rsid w:val="00D36FA7"/>
    <w:rsid w:val="00D4304F"/>
    <w:rsid w:val="00D51947"/>
    <w:rsid w:val="00D532F0"/>
    <w:rsid w:val="00D615A1"/>
    <w:rsid w:val="00D7262B"/>
    <w:rsid w:val="00D75F5B"/>
    <w:rsid w:val="00D77413"/>
    <w:rsid w:val="00D82759"/>
    <w:rsid w:val="00D86DE4"/>
    <w:rsid w:val="00DA285D"/>
    <w:rsid w:val="00DB533D"/>
    <w:rsid w:val="00DE0735"/>
    <w:rsid w:val="00DE1909"/>
    <w:rsid w:val="00DE3D50"/>
    <w:rsid w:val="00DE51DB"/>
    <w:rsid w:val="00E12D48"/>
    <w:rsid w:val="00E23F1D"/>
    <w:rsid w:val="00E243ED"/>
    <w:rsid w:val="00E30E05"/>
    <w:rsid w:val="00E36361"/>
    <w:rsid w:val="00E37F58"/>
    <w:rsid w:val="00E44D95"/>
    <w:rsid w:val="00E55AE9"/>
    <w:rsid w:val="00E56D1D"/>
    <w:rsid w:val="00E64780"/>
    <w:rsid w:val="00E64CE5"/>
    <w:rsid w:val="00E9592C"/>
    <w:rsid w:val="00EA2830"/>
    <w:rsid w:val="00EA5FCD"/>
    <w:rsid w:val="00EB0C84"/>
    <w:rsid w:val="00EB412F"/>
    <w:rsid w:val="00EF1E25"/>
    <w:rsid w:val="00F01253"/>
    <w:rsid w:val="00F03AFA"/>
    <w:rsid w:val="00F17FDE"/>
    <w:rsid w:val="00F358DD"/>
    <w:rsid w:val="00F40D53"/>
    <w:rsid w:val="00F4525C"/>
    <w:rsid w:val="00F50D86"/>
    <w:rsid w:val="00F6610F"/>
    <w:rsid w:val="00F87BA0"/>
    <w:rsid w:val="00FB0871"/>
    <w:rsid w:val="00FB23F1"/>
    <w:rsid w:val="00FD29D3"/>
    <w:rsid w:val="00FD57C0"/>
    <w:rsid w:val="00FD7A7D"/>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43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F6610F"/>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paragraph" w:styleId="FootnoteText">
    <w:name w:val="footnote text"/>
    <w:basedOn w:val="Normal"/>
    <w:link w:val="FootnoteTextChar"/>
    <w:uiPriority w:val="99"/>
    <w:semiHidden/>
    <w:unhideWhenUsed/>
    <w:rsid w:val="009C2A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2AE5"/>
    <w:rPr>
      <w:sz w:val="20"/>
      <w:szCs w:val="20"/>
    </w:rPr>
  </w:style>
  <w:style w:type="character" w:styleId="FootnoteReference">
    <w:name w:val="footnote reference"/>
    <w:basedOn w:val="DefaultParagraphFont"/>
    <w:uiPriority w:val="99"/>
    <w:semiHidden/>
    <w:unhideWhenUsed/>
    <w:rsid w:val="009C2AE5"/>
    <w:rPr>
      <w:vertAlign w:val="superscript"/>
    </w:rPr>
  </w:style>
  <w:style w:type="paragraph" w:customStyle="1" w:styleId="Heading">
    <w:name w:val="Heading"/>
    <w:basedOn w:val="Normal"/>
    <w:next w:val="BodyText"/>
    <w:qFormat/>
    <w:rsid w:val="00FD7A7D"/>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semiHidden/>
    <w:unhideWhenUsed/>
    <w:rsid w:val="00FD7A7D"/>
    <w:pPr>
      <w:spacing w:after="120"/>
    </w:pPr>
  </w:style>
  <w:style w:type="character" w:customStyle="1" w:styleId="BodyTextChar">
    <w:name w:val="Body Text Char"/>
    <w:basedOn w:val="DefaultParagraphFont"/>
    <w:link w:val="BodyText"/>
    <w:uiPriority w:val="99"/>
    <w:semiHidden/>
    <w:rsid w:val="00FD7A7D"/>
  </w:style>
  <w:style w:type="character" w:customStyle="1" w:styleId="InternetLink">
    <w:name w:val="Internet Link"/>
    <w:basedOn w:val="DefaultParagraphFont"/>
    <w:uiPriority w:val="99"/>
    <w:unhideWhenUsed/>
    <w:rsid w:val="00C4773E"/>
    <w:rPr>
      <w:color w:val="0000FF" w:themeColor="hyperlink"/>
      <w:u w:val="single"/>
    </w:rPr>
  </w:style>
  <w:style w:type="paragraph" w:styleId="List">
    <w:name w:val="List"/>
    <w:basedOn w:val="BodyText"/>
    <w:rsid w:val="00C4773E"/>
    <w:pPr>
      <w:spacing w:after="140"/>
    </w:pPr>
    <w:rPr>
      <w:rFonts w:cs="Arial"/>
    </w:rPr>
  </w:style>
  <w:style w:type="character" w:customStyle="1" w:styleId="UnresolvedMention1">
    <w:name w:val="Unresolved Mention1"/>
    <w:basedOn w:val="DefaultParagraphFont"/>
    <w:uiPriority w:val="99"/>
    <w:semiHidden/>
    <w:unhideWhenUsed/>
    <w:rsid w:val="00E64CE5"/>
    <w:rPr>
      <w:color w:val="605E5C"/>
      <w:shd w:val="clear" w:color="auto" w:fill="E1DFDD"/>
    </w:rPr>
  </w:style>
  <w:style w:type="character" w:styleId="FollowedHyperlink">
    <w:name w:val="FollowedHyperlink"/>
    <w:basedOn w:val="DefaultParagraphFont"/>
    <w:uiPriority w:val="99"/>
    <w:semiHidden/>
    <w:unhideWhenUsed/>
    <w:rsid w:val="00167D37"/>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1644">
      <w:bodyDiv w:val="1"/>
      <w:marLeft w:val="0"/>
      <w:marRight w:val="0"/>
      <w:marTop w:val="0"/>
      <w:marBottom w:val="0"/>
      <w:divBdr>
        <w:top w:val="none" w:sz="0" w:space="0" w:color="auto"/>
        <w:left w:val="none" w:sz="0" w:space="0" w:color="auto"/>
        <w:bottom w:val="none" w:sz="0" w:space="0" w:color="auto"/>
        <w:right w:val="none" w:sz="0" w:space="0" w:color="auto"/>
      </w:divBdr>
    </w:div>
    <w:div w:id="917400957">
      <w:bodyDiv w:val="1"/>
      <w:marLeft w:val="0"/>
      <w:marRight w:val="0"/>
      <w:marTop w:val="0"/>
      <w:marBottom w:val="0"/>
      <w:divBdr>
        <w:top w:val="none" w:sz="0" w:space="0" w:color="auto"/>
        <w:left w:val="none" w:sz="0" w:space="0" w:color="auto"/>
        <w:bottom w:val="none" w:sz="0" w:space="0" w:color="auto"/>
        <w:right w:val="none" w:sz="0" w:space="0" w:color="auto"/>
      </w:divBdr>
    </w:div>
    <w:div w:id="154764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n2science.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ICCB013"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BABC007-EAD5-4DFD-A203-07E42D19FAFA}"/>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4E6A64D1-71E8-4D66-83E3-A7D037DCE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Intercultural Capability</cp:keywords>
  <cp:lastModifiedBy>Witt, Kylie I</cp:lastModifiedBy>
  <cp:revision>2</cp:revision>
  <cp:lastPrinted>2020-03-04T04:43:00Z</cp:lastPrinted>
  <dcterms:created xsi:type="dcterms:W3CDTF">2020-09-30T05:23:00Z</dcterms:created>
  <dcterms:modified xsi:type="dcterms:W3CDTF">2020-09-30T05:23:00Z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