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5293B39" w:rsidR="00F4525C" w:rsidRPr="008A74D0" w:rsidRDefault="00024018" w:rsidP="009B61E5">
      <w:pPr>
        <w:pStyle w:val="VCAADocumenttitle"/>
        <w:rPr>
          <w:noProof w:val="0"/>
        </w:rPr>
      </w:pPr>
      <w:r w:rsidRPr="008A74D0">
        <w:rPr>
          <w:noProof w:val="0"/>
        </w:rPr>
        <w:t>202</w:t>
      </w:r>
      <w:r w:rsidR="008D1BB3" w:rsidRPr="008A74D0">
        <w:rPr>
          <w:noProof w:val="0"/>
        </w:rPr>
        <w:t>2</w:t>
      </w:r>
      <w:r w:rsidRPr="008A74D0">
        <w:rPr>
          <w:noProof w:val="0"/>
        </w:rPr>
        <w:t xml:space="preserve"> </w:t>
      </w:r>
      <w:r w:rsidR="00E479CA" w:rsidRPr="008A74D0">
        <w:rPr>
          <w:noProof w:val="0"/>
        </w:rPr>
        <w:t xml:space="preserve">VCE </w:t>
      </w:r>
      <w:r w:rsidR="00C57FB5" w:rsidRPr="008A74D0">
        <w:rPr>
          <w:noProof w:val="0"/>
        </w:rPr>
        <w:t>Art</w:t>
      </w:r>
      <w:r w:rsidRPr="008A74D0">
        <w:rPr>
          <w:noProof w:val="0"/>
        </w:rPr>
        <w:t xml:space="preserve"> </w:t>
      </w:r>
      <w:r w:rsidR="00706805" w:rsidRPr="008A74D0">
        <w:rPr>
          <w:noProof w:val="0"/>
        </w:rPr>
        <w:t>external assessment</w:t>
      </w:r>
      <w:r w:rsidRPr="008A74D0">
        <w:rPr>
          <w:noProof w:val="0"/>
        </w:rPr>
        <w:t xml:space="preserve"> report</w:t>
      </w:r>
    </w:p>
    <w:p w14:paraId="1F902DD4" w14:textId="77777777" w:rsidR="006663C6" w:rsidRPr="008A74D0" w:rsidRDefault="00024018" w:rsidP="00C35203">
      <w:pPr>
        <w:pStyle w:val="VCAAHeading1"/>
        <w:rPr>
          <w:lang w:val="en-AU"/>
        </w:rPr>
      </w:pPr>
      <w:bookmarkStart w:id="0" w:name="TemplateOverview"/>
      <w:bookmarkEnd w:id="0"/>
      <w:r w:rsidRPr="008A74D0">
        <w:rPr>
          <w:lang w:val="en-AU"/>
        </w:rPr>
        <w:t>General comments</w:t>
      </w:r>
    </w:p>
    <w:p w14:paraId="7C998C4E" w14:textId="72004F74" w:rsidR="003E12FA" w:rsidRPr="008A74D0" w:rsidRDefault="003E12FA" w:rsidP="00053457">
      <w:pPr>
        <w:pStyle w:val="VCAAbody"/>
        <w:rPr>
          <w:lang w:val="en-AU"/>
        </w:rPr>
      </w:pPr>
      <w:r w:rsidRPr="008A74D0">
        <w:rPr>
          <w:lang w:val="en-AU"/>
        </w:rPr>
        <w:t xml:space="preserve">The 2022 Art examination provided opportunities for students to demonstrate their knowledge and skills that referenced many aspects of the </w:t>
      </w:r>
      <w:r w:rsidR="00221D31" w:rsidRPr="008A74D0">
        <w:rPr>
          <w:rStyle w:val="VCAAitalics"/>
          <w:lang w:val="en-AU"/>
        </w:rPr>
        <w:t>VCE Art Study Design 2017–2022</w:t>
      </w:r>
      <w:r w:rsidRPr="008A74D0">
        <w:rPr>
          <w:lang w:val="en-AU"/>
        </w:rPr>
        <w:t xml:space="preserve">. In section A, students were required to analyse the use of art elements and principles, interpret the meaning and messages in artworks, and discuss the art process. In section B, students needed to apply the personal and cultural </w:t>
      </w:r>
      <w:r w:rsidR="00221D31" w:rsidRPr="008A74D0">
        <w:rPr>
          <w:lang w:val="en-AU"/>
        </w:rPr>
        <w:t>i</w:t>
      </w:r>
      <w:r w:rsidRPr="008A74D0">
        <w:rPr>
          <w:lang w:val="en-AU"/>
        </w:rPr>
        <w:t xml:space="preserve">nterpretive </w:t>
      </w:r>
      <w:r w:rsidR="00221D31" w:rsidRPr="008A74D0">
        <w:rPr>
          <w:lang w:val="en-AU"/>
        </w:rPr>
        <w:t>f</w:t>
      </w:r>
      <w:r w:rsidRPr="008A74D0">
        <w:rPr>
          <w:lang w:val="en-AU"/>
        </w:rPr>
        <w:t xml:space="preserve">rameworks to unseen and unstudied artworks and analyse art ideas and related issues drawn from one artist’s practice. Finally, in section C, students were required to apply the structural and cultural </w:t>
      </w:r>
      <w:r w:rsidR="00221D31" w:rsidRPr="008A74D0">
        <w:rPr>
          <w:lang w:val="en-AU"/>
        </w:rPr>
        <w:t>i</w:t>
      </w:r>
      <w:r w:rsidRPr="008A74D0">
        <w:rPr>
          <w:lang w:val="en-AU"/>
        </w:rPr>
        <w:t xml:space="preserve">nterpretive </w:t>
      </w:r>
      <w:r w:rsidR="00221D31" w:rsidRPr="008A74D0">
        <w:rPr>
          <w:lang w:val="en-AU"/>
        </w:rPr>
        <w:t>f</w:t>
      </w:r>
      <w:r w:rsidRPr="008A74D0">
        <w:rPr>
          <w:lang w:val="en-AU"/>
        </w:rPr>
        <w:t xml:space="preserve">rameworks to one artwork </w:t>
      </w:r>
      <w:r w:rsidR="00A94417" w:rsidRPr="008A74D0">
        <w:rPr>
          <w:lang w:val="en-AU"/>
        </w:rPr>
        <w:t>produced</w:t>
      </w:r>
      <w:r w:rsidRPr="008A74D0">
        <w:rPr>
          <w:lang w:val="en-AU"/>
        </w:rPr>
        <w:t xml:space="preserve"> before 1990 and explain how attributed commentaries supported or challenged their ideas regarding an art idea or issue.</w:t>
      </w:r>
    </w:p>
    <w:p w14:paraId="413E663A" w14:textId="040DF926" w:rsidR="003E12FA" w:rsidRPr="008A74D0" w:rsidRDefault="003E12FA" w:rsidP="00053457">
      <w:pPr>
        <w:pStyle w:val="VCAAbody"/>
        <w:rPr>
          <w:lang w:val="en-AU"/>
        </w:rPr>
      </w:pPr>
      <w:r w:rsidRPr="008A74D0">
        <w:rPr>
          <w:lang w:val="en-AU"/>
        </w:rPr>
        <w:t xml:space="preserve">Students </w:t>
      </w:r>
      <w:r w:rsidR="006F5723" w:rsidRPr="008A74D0">
        <w:rPr>
          <w:lang w:val="en-AU"/>
        </w:rPr>
        <w:t xml:space="preserve">are strongly advised to </w:t>
      </w:r>
      <w:r w:rsidRPr="008A74D0">
        <w:rPr>
          <w:lang w:val="en-AU"/>
        </w:rPr>
        <w:t xml:space="preserve">remove the colour insert from the </w:t>
      </w:r>
      <w:r w:rsidR="006F5723" w:rsidRPr="008A74D0">
        <w:rPr>
          <w:lang w:val="en-AU"/>
        </w:rPr>
        <w:t xml:space="preserve">question and answer </w:t>
      </w:r>
      <w:r w:rsidRPr="008A74D0">
        <w:rPr>
          <w:lang w:val="en-AU"/>
        </w:rPr>
        <w:t xml:space="preserve">booklet during reading time. </w:t>
      </w:r>
      <w:r w:rsidR="006F5723" w:rsidRPr="008A74D0">
        <w:rPr>
          <w:lang w:val="en-AU"/>
        </w:rPr>
        <w:t>This</w:t>
      </w:r>
      <w:r w:rsidRPr="008A74D0">
        <w:rPr>
          <w:lang w:val="en-AU"/>
        </w:rPr>
        <w:t xml:space="preserve"> minimises the risk of inadvertently missing a question or selecting artworks to answer questions not allocated to the question they are responding to.</w:t>
      </w:r>
      <w:r w:rsidR="006F5723" w:rsidRPr="008A74D0">
        <w:rPr>
          <w:lang w:val="en-AU"/>
        </w:rPr>
        <w:t xml:space="preserve"> S</w:t>
      </w:r>
      <w:r w:rsidRPr="008A74D0">
        <w:rPr>
          <w:lang w:val="en-AU"/>
        </w:rPr>
        <w:t xml:space="preserve">tudents </w:t>
      </w:r>
      <w:r w:rsidR="006F5723" w:rsidRPr="008A74D0">
        <w:rPr>
          <w:lang w:val="en-AU"/>
        </w:rPr>
        <w:t xml:space="preserve">also </w:t>
      </w:r>
      <w:r w:rsidRPr="008A74D0">
        <w:rPr>
          <w:lang w:val="en-AU"/>
        </w:rPr>
        <w:t>need to read the instructions in the question</w:t>
      </w:r>
      <w:r w:rsidR="006F5723" w:rsidRPr="008A74D0">
        <w:rPr>
          <w:lang w:val="en-AU"/>
        </w:rPr>
        <w:t xml:space="preserve"> more carefully</w:t>
      </w:r>
      <w:r w:rsidRPr="008A74D0">
        <w:rPr>
          <w:lang w:val="en-AU"/>
        </w:rPr>
        <w:t xml:space="preserve">, </w:t>
      </w:r>
      <w:r w:rsidR="006F5723" w:rsidRPr="008A74D0">
        <w:rPr>
          <w:lang w:val="en-AU"/>
        </w:rPr>
        <w:t xml:space="preserve">as some students </w:t>
      </w:r>
      <w:r w:rsidRPr="008A74D0">
        <w:rPr>
          <w:lang w:val="en-AU"/>
        </w:rPr>
        <w:t xml:space="preserve">failed to answer all parts of the question. </w:t>
      </w:r>
      <w:r w:rsidR="006F5723" w:rsidRPr="008A74D0">
        <w:rPr>
          <w:lang w:val="en-AU"/>
        </w:rPr>
        <w:t xml:space="preserve">Question 4 identified, at least twice, that Brett Whiteley’s gender is male, yet a </w:t>
      </w:r>
      <w:r w:rsidRPr="008A74D0">
        <w:rPr>
          <w:lang w:val="en-AU"/>
        </w:rPr>
        <w:t>number of students identifi</w:t>
      </w:r>
      <w:r w:rsidR="006F5723" w:rsidRPr="008A74D0">
        <w:rPr>
          <w:lang w:val="en-AU"/>
        </w:rPr>
        <w:t>ed</w:t>
      </w:r>
      <w:r w:rsidRPr="008A74D0">
        <w:rPr>
          <w:lang w:val="en-AU"/>
        </w:rPr>
        <w:t xml:space="preserve"> </w:t>
      </w:r>
      <w:r w:rsidR="006F5723" w:rsidRPr="008A74D0">
        <w:rPr>
          <w:lang w:val="en-AU"/>
        </w:rPr>
        <w:t xml:space="preserve">him </w:t>
      </w:r>
      <w:r w:rsidRPr="008A74D0">
        <w:rPr>
          <w:lang w:val="en-AU"/>
        </w:rPr>
        <w:t xml:space="preserve">as female. </w:t>
      </w:r>
      <w:r w:rsidR="006F5723" w:rsidRPr="008A74D0">
        <w:rPr>
          <w:lang w:val="en-AU"/>
        </w:rPr>
        <w:t>However, n</w:t>
      </w:r>
      <w:r w:rsidRPr="008A74D0">
        <w:rPr>
          <w:lang w:val="en-AU"/>
        </w:rPr>
        <w:t xml:space="preserve">o marks were deducted for this error. Another concern was the number of students who did not correctly identify the art principles in </w:t>
      </w:r>
      <w:r w:rsidR="001B4D0E" w:rsidRPr="008A74D0">
        <w:rPr>
          <w:lang w:val="en-AU"/>
        </w:rPr>
        <w:t>Q</w:t>
      </w:r>
      <w:r w:rsidRPr="008A74D0">
        <w:rPr>
          <w:lang w:val="en-AU"/>
        </w:rPr>
        <w:t xml:space="preserve">uestion </w:t>
      </w:r>
      <w:r w:rsidR="001B4D0E" w:rsidRPr="008A74D0">
        <w:rPr>
          <w:lang w:val="en-AU"/>
        </w:rPr>
        <w:t>2</w:t>
      </w:r>
      <w:r w:rsidRPr="008A74D0">
        <w:rPr>
          <w:lang w:val="en-AU"/>
        </w:rPr>
        <w:t xml:space="preserve">. These terms are clearly stated in the study design, and students must ensure they can correctly identify and describe them when analysing unseen and unstudied artworks.  </w:t>
      </w:r>
    </w:p>
    <w:p w14:paraId="3DA2C8EA" w14:textId="3CD68F54" w:rsidR="009D0E9E" w:rsidRPr="008A74D0" w:rsidRDefault="003E12FA" w:rsidP="00053457">
      <w:pPr>
        <w:pStyle w:val="VCAAbody"/>
        <w:rPr>
          <w:lang w:val="en-AU"/>
        </w:rPr>
      </w:pPr>
      <w:r w:rsidRPr="008A74D0">
        <w:rPr>
          <w:lang w:val="en-AU"/>
        </w:rPr>
        <w:t>Where practical, students should also use the white space below the line space in the exam booklet to continue writing their answers rather than re</w:t>
      </w:r>
      <w:r w:rsidR="006F5723" w:rsidRPr="008A74D0">
        <w:rPr>
          <w:lang w:val="en-AU"/>
        </w:rPr>
        <w:t>sorting</w:t>
      </w:r>
      <w:r w:rsidRPr="008A74D0">
        <w:rPr>
          <w:lang w:val="en-AU"/>
        </w:rPr>
        <w:t xml:space="preserve"> to the extra space at the back</w:t>
      </w:r>
      <w:r w:rsidR="006F5723" w:rsidRPr="008A74D0">
        <w:rPr>
          <w:lang w:val="en-AU"/>
        </w:rPr>
        <w:t xml:space="preserve"> of the booklet</w:t>
      </w:r>
      <w:r w:rsidRPr="008A74D0">
        <w:rPr>
          <w:lang w:val="en-AU"/>
        </w:rPr>
        <w:t xml:space="preserve">. Doing so minimises the risk </w:t>
      </w:r>
      <w:r w:rsidR="008A74D0">
        <w:rPr>
          <w:lang w:val="en-AU"/>
        </w:rPr>
        <w:t>of</w:t>
      </w:r>
      <w:r w:rsidR="008A74D0" w:rsidRPr="008A74D0">
        <w:rPr>
          <w:lang w:val="en-AU"/>
        </w:rPr>
        <w:t xml:space="preserve"> </w:t>
      </w:r>
      <w:r w:rsidRPr="008A74D0">
        <w:rPr>
          <w:lang w:val="en-AU"/>
        </w:rPr>
        <w:t>assessors miss</w:t>
      </w:r>
      <w:r w:rsidR="008A74D0">
        <w:rPr>
          <w:lang w:val="en-AU"/>
        </w:rPr>
        <w:t>ing</w:t>
      </w:r>
      <w:r w:rsidRPr="008A74D0">
        <w:rPr>
          <w:lang w:val="en-AU"/>
        </w:rPr>
        <w:t xml:space="preserve"> significant parts of the student’s answer if it </w:t>
      </w:r>
      <w:r w:rsidR="008A74D0">
        <w:rPr>
          <w:lang w:val="en-AU"/>
        </w:rPr>
        <w:t>is</w:t>
      </w:r>
      <w:r w:rsidR="008A74D0" w:rsidRPr="008A74D0">
        <w:rPr>
          <w:lang w:val="en-AU"/>
        </w:rPr>
        <w:t xml:space="preserve"> </w:t>
      </w:r>
      <w:r w:rsidRPr="008A74D0">
        <w:rPr>
          <w:lang w:val="en-AU"/>
        </w:rPr>
        <w:t xml:space="preserve">continued in the additional writing space </w:t>
      </w:r>
      <w:r w:rsidR="006F5723" w:rsidRPr="008A74D0">
        <w:rPr>
          <w:lang w:val="en-AU"/>
        </w:rPr>
        <w:t>without a note from the student.</w:t>
      </w:r>
    </w:p>
    <w:p w14:paraId="29027E3E" w14:textId="2708DF1E" w:rsidR="00B62480" w:rsidRPr="008A74D0" w:rsidRDefault="00024018" w:rsidP="00350651">
      <w:pPr>
        <w:pStyle w:val="VCAAHeading1"/>
        <w:rPr>
          <w:lang w:val="en-AU"/>
        </w:rPr>
      </w:pPr>
      <w:r w:rsidRPr="008A74D0">
        <w:rPr>
          <w:lang w:val="en-AU"/>
        </w:rPr>
        <w:t>Specific information</w:t>
      </w:r>
    </w:p>
    <w:p w14:paraId="61B758FC" w14:textId="77777777" w:rsidR="005F0826" w:rsidRPr="008A74D0" w:rsidRDefault="005F0826" w:rsidP="00053457">
      <w:pPr>
        <w:pStyle w:val="VCAAbody"/>
        <w:rPr>
          <w:lang w:val="en-AU"/>
        </w:rPr>
      </w:pPr>
      <w:r w:rsidRPr="008A74D0">
        <w:rPr>
          <w:lang w:val="en-AU"/>
        </w:rPr>
        <w:t>Note: Student responses reproduced in this report have not been corrected for grammar, spelling or factual information.</w:t>
      </w:r>
    </w:p>
    <w:p w14:paraId="20F1BB77" w14:textId="77777777" w:rsidR="005F0826" w:rsidRPr="008A74D0" w:rsidRDefault="005F0826" w:rsidP="001B4D0E">
      <w:pPr>
        <w:pStyle w:val="VCAAbody"/>
        <w:rPr>
          <w:lang w:val="en-AU"/>
        </w:rPr>
      </w:pPr>
      <w:r w:rsidRPr="008A74D0">
        <w:rPr>
          <w:lang w:val="en-AU"/>
        </w:rPr>
        <w:t>This report provides sample answers, or an indication of what answers may have been included. Unless otherwise stated, these are not intended to be exemplary or complete responses.</w:t>
      </w:r>
    </w:p>
    <w:p w14:paraId="3591BBE3" w14:textId="3A9F7935" w:rsidR="009311D4" w:rsidRPr="008A74D0" w:rsidRDefault="001B4D0E" w:rsidP="00857B6F">
      <w:pPr>
        <w:pStyle w:val="VCAAbody"/>
        <w:rPr>
          <w:lang w:val="en-AU"/>
        </w:rPr>
      </w:pPr>
      <w:r w:rsidRPr="008A74D0">
        <w:rPr>
          <w:lang w:val="en-AU"/>
        </w:rPr>
        <w:t>The statistics in this report may be subject to rounding</w:t>
      </w:r>
      <w:r w:rsidR="008A74D0">
        <w:rPr>
          <w:lang w:val="en-AU"/>
        </w:rPr>
        <w:t>,</w:t>
      </w:r>
      <w:r w:rsidRPr="008A74D0">
        <w:rPr>
          <w:lang w:val="en-AU"/>
        </w:rPr>
        <w:t xml:space="preserve"> resulting in a total </w:t>
      </w:r>
      <w:r w:rsidR="008A74D0">
        <w:rPr>
          <w:lang w:val="en-AU"/>
        </w:rPr>
        <w:t xml:space="preserve">of </w:t>
      </w:r>
      <w:r w:rsidRPr="008A74D0">
        <w:rPr>
          <w:lang w:val="en-AU"/>
        </w:rPr>
        <w:t>more or less than 100 per cent.</w:t>
      </w:r>
    </w:p>
    <w:p w14:paraId="28DBD7BC" w14:textId="77777777" w:rsidR="009311D4" w:rsidRPr="008A74D0" w:rsidRDefault="009311D4">
      <w:pPr>
        <w:rPr>
          <w:rFonts w:ascii="Arial" w:hAnsi="Arial" w:cs="Arial"/>
          <w:color w:val="000000" w:themeColor="text1"/>
          <w:sz w:val="20"/>
          <w:lang w:val="en-AU"/>
        </w:rPr>
      </w:pPr>
      <w:r w:rsidRPr="008A74D0">
        <w:rPr>
          <w:lang w:val="en-AU"/>
        </w:rPr>
        <w:br w:type="page"/>
      </w:r>
    </w:p>
    <w:p w14:paraId="2DFA64DC" w14:textId="1E449527" w:rsidR="00AF51D7" w:rsidRPr="008A74D0" w:rsidRDefault="00A8133A" w:rsidP="00053457">
      <w:pPr>
        <w:pStyle w:val="VCAAHeading2"/>
        <w:rPr>
          <w:lang w:val="en-AU"/>
        </w:rPr>
      </w:pPr>
      <w:r w:rsidRPr="008A74D0">
        <w:rPr>
          <w:lang w:val="en-AU"/>
        </w:rPr>
        <w:lastRenderedPageBreak/>
        <w:t>Question 1</w:t>
      </w:r>
    </w:p>
    <w:tbl>
      <w:tblPr>
        <w:tblStyle w:val="VCAATableClosed"/>
        <w:tblW w:w="4176" w:type="dxa"/>
        <w:tblInd w:w="113" w:type="dxa"/>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6F5723" w:rsidRPr="008A74D0" w14:paraId="136B90A2" w14:textId="77777777" w:rsidTr="009311D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72129E5E" w14:textId="77777777" w:rsidR="00B10493" w:rsidRPr="008A74D0" w:rsidRDefault="00B10493" w:rsidP="004D2407">
            <w:pPr>
              <w:pStyle w:val="VCAAtablecondensedheading"/>
              <w:rPr>
                <w:lang w:val="en-AU"/>
              </w:rPr>
            </w:pPr>
            <w:r w:rsidRPr="008A74D0">
              <w:rPr>
                <w:lang w:val="en-AU"/>
              </w:rPr>
              <w:t xml:space="preserve">Marks </w:t>
            </w:r>
          </w:p>
        </w:tc>
        <w:tc>
          <w:tcPr>
            <w:tcW w:w="576" w:type="dxa"/>
            <w:tcBorders>
              <w:top w:val="single" w:sz="4" w:space="0" w:color="000000" w:themeColor="text1"/>
              <w:bottom w:val="single" w:sz="4" w:space="0" w:color="000000" w:themeColor="text1"/>
            </w:tcBorders>
            <w:hideMark/>
          </w:tcPr>
          <w:p w14:paraId="4F527F7F" w14:textId="77777777" w:rsidR="00B10493" w:rsidRPr="008A74D0" w:rsidRDefault="00B10493" w:rsidP="00221D31">
            <w:pPr>
              <w:pStyle w:val="VCAAtablecondensedheading"/>
              <w:rPr>
                <w:lang w:val="en-AU"/>
              </w:rPr>
            </w:pPr>
            <w:r w:rsidRPr="008A74D0">
              <w:rPr>
                <w:lang w:val="en-AU"/>
              </w:rPr>
              <w:t>0</w:t>
            </w:r>
          </w:p>
        </w:tc>
        <w:tc>
          <w:tcPr>
            <w:tcW w:w="576" w:type="dxa"/>
            <w:tcBorders>
              <w:top w:val="single" w:sz="4" w:space="0" w:color="000000" w:themeColor="text1"/>
              <w:bottom w:val="single" w:sz="4" w:space="0" w:color="000000" w:themeColor="text1"/>
            </w:tcBorders>
            <w:hideMark/>
          </w:tcPr>
          <w:p w14:paraId="2AF21503" w14:textId="77777777" w:rsidR="00B10493" w:rsidRPr="008A74D0" w:rsidRDefault="00B10493" w:rsidP="00221D31">
            <w:pPr>
              <w:pStyle w:val="VCAAtablecondensedheading"/>
              <w:rPr>
                <w:lang w:val="en-AU"/>
              </w:rPr>
            </w:pPr>
            <w:r w:rsidRPr="008A74D0">
              <w:rPr>
                <w:lang w:val="en-AU"/>
              </w:rPr>
              <w:t>1</w:t>
            </w:r>
          </w:p>
        </w:tc>
        <w:tc>
          <w:tcPr>
            <w:tcW w:w="576" w:type="dxa"/>
            <w:tcBorders>
              <w:top w:val="single" w:sz="4" w:space="0" w:color="000000" w:themeColor="text1"/>
              <w:bottom w:val="single" w:sz="4" w:space="0" w:color="000000" w:themeColor="text1"/>
            </w:tcBorders>
            <w:hideMark/>
          </w:tcPr>
          <w:p w14:paraId="241CE0D2" w14:textId="77777777" w:rsidR="00B10493" w:rsidRPr="008A74D0" w:rsidRDefault="00B10493" w:rsidP="00221D31">
            <w:pPr>
              <w:pStyle w:val="VCAAtablecondensedheading"/>
              <w:rPr>
                <w:lang w:val="en-AU"/>
              </w:rPr>
            </w:pPr>
            <w:r w:rsidRPr="008A74D0">
              <w:rPr>
                <w:lang w:val="en-AU"/>
              </w:rPr>
              <w:t>2</w:t>
            </w:r>
          </w:p>
        </w:tc>
        <w:tc>
          <w:tcPr>
            <w:tcW w:w="576" w:type="dxa"/>
            <w:tcBorders>
              <w:top w:val="single" w:sz="4" w:space="0" w:color="000000" w:themeColor="text1"/>
              <w:bottom w:val="single" w:sz="4" w:space="0" w:color="000000" w:themeColor="text1"/>
            </w:tcBorders>
            <w:hideMark/>
          </w:tcPr>
          <w:p w14:paraId="02E98BC5" w14:textId="77777777" w:rsidR="00B10493" w:rsidRPr="008A74D0" w:rsidRDefault="00B10493" w:rsidP="00221D31">
            <w:pPr>
              <w:pStyle w:val="VCAAtablecondensedheading"/>
              <w:rPr>
                <w:lang w:val="en-AU"/>
              </w:rPr>
            </w:pPr>
            <w:r w:rsidRPr="008A74D0">
              <w:rPr>
                <w:lang w:val="en-AU"/>
              </w:rP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54A3AFE0" w14:textId="77777777" w:rsidR="00B10493" w:rsidRPr="008A74D0" w:rsidRDefault="00B10493" w:rsidP="00221D31">
            <w:pPr>
              <w:pStyle w:val="VCAAtablecondensedheading"/>
              <w:rPr>
                <w:lang w:val="en-AU"/>
              </w:rPr>
            </w:pPr>
            <w:r w:rsidRPr="008A74D0">
              <w:rPr>
                <w:lang w:val="en-AU"/>
              </w:rPr>
              <w:t>Average</w:t>
            </w:r>
          </w:p>
        </w:tc>
      </w:tr>
      <w:tr w:rsidR="006F5723" w:rsidRPr="008A74D0" w14:paraId="3FD94577" w14:textId="77777777" w:rsidTr="009311D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A2D6F" w14:textId="77777777" w:rsidR="00B10493" w:rsidRPr="008A74D0" w:rsidRDefault="00B10493">
            <w:pPr>
              <w:pStyle w:val="VCAAtablecondensed"/>
              <w:rPr>
                <w:lang w:val="en-AU"/>
              </w:rPr>
            </w:pPr>
            <w:r w:rsidRPr="008A74D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BE03" w14:textId="7FF90F87" w:rsidR="00B10493" w:rsidRPr="008A74D0" w:rsidRDefault="001B4D0E">
            <w:pPr>
              <w:pStyle w:val="VCAAtablecondensed"/>
              <w:rPr>
                <w:lang w:val="en-AU"/>
              </w:rPr>
            </w:pPr>
            <w:r w:rsidRPr="008A74D0">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F45E5" w14:textId="5E9A50FB" w:rsidR="00B10493" w:rsidRPr="008A74D0" w:rsidRDefault="001B4D0E">
            <w:pPr>
              <w:pStyle w:val="VCAAtablecondensed"/>
              <w:rPr>
                <w:lang w:val="en-AU"/>
              </w:rPr>
            </w:pPr>
            <w:r w:rsidRPr="008A74D0">
              <w:rPr>
                <w:lang w:val="en-AU"/>
              </w:rPr>
              <w:t>29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91CA2" w14:textId="14E167ED" w:rsidR="00B10493" w:rsidRPr="008A74D0" w:rsidRDefault="001B4D0E">
            <w:pPr>
              <w:pStyle w:val="VCAAtablecondensed"/>
              <w:rPr>
                <w:lang w:val="en-AU"/>
              </w:rPr>
            </w:pPr>
            <w:r w:rsidRPr="008A74D0">
              <w:rPr>
                <w:lang w:val="en-AU"/>
              </w:rP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C66C4" w14:textId="348657ED" w:rsidR="00B10493" w:rsidRPr="008A74D0" w:rsidRDefault="001B4D0E">
            <w:pPr>
              <w:pStyle w:val="VCAAtablecondensed"/>
              <w:rPr>
                <w:lang w:val="en-AU"/>
              </w:rPr>
            </w:pPr>
            <w:r w:rsidRPr="008A74D0">
              <w:rPr>
                <w:lang w:val="en-AU"/>
              </w:rPr>
              <w:t>22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F470A" w14:textId="240C037A" w:rsidR="00B10493" w:rsidRPr="008A74D0" w:rsidRDefault="001B4D0E">
            <w:pPr>
              <w:pStyle w:val="VCAAtablecondensed"/>
              <w:rPr>
                <w:lang w:val="en-AU"/>
              </w:rPr>
            </w:pPr>
            <w:r w:rsidRPr="008A74D0">
              <w:rPr>
                <w:lang w:val="en-AU"/>
              </w:rPr>
              <w:t>1.</w:t>
            </w:r>
            <w:r w:rsidR="00DE28AB" w:rsidRPr="008A74D0">
              <w:rPr>
                <w:lang w:val="en-AU"/>
              </w:rPr>
              <w:t>75</w:t>
            </w:r>
          </w:p>
        </w:tc>
      </w:tr>
    </w:tbl>
    <w:p w14:paraId="30D59975" w14:textId="0E456F0C" w:rsidR="001B4D0E" w:rsidRPr="008A74D0" w:rsidRDefault="003E12FA" w:rsidP="00706805">
      <w:pPr>
        <w:pStyle w:val="VCAAbody"/>
        <w:rPr>
          <w:lang w:val="en-AU"/>
        </w:rPr>
      </w:pPr>
      <w:r w:rsidRPr="008A74D0">
        <w:rPr>
          <w:lang w:val="en-AU"/>
        </w:rPr>
        <w:t>The two main art elements students wrote about were form and texture. Some students identified shapes as their answer but then reverted to discussing form, which led to an unfocused answer that needed more detail to achieve full marks. Numerous students were confused by the sculpture, interpreted it as a photograph, and discussed the ‘black background’.</w:t>
      </w:r>
    </w:p>
    <w:p w14:paraId="762DBC97" w14:textId="0A229E79" w:rsidR="003E12FA" w:rsidRPr="008A74D0" w:rsidRDefault="003E12FA" w:rsidP="00053457">
      <w:pPr>
        <w:pStyle w:val="VCAAbody"/>
        <w:rPr>
          <w:lang w:val="en-AU"/>
        </w:rPr>
      </w:pPr>
      <w:r w:rsidRPr="008A74D0">
        <w:rPr>
          <w:lang w:val="en-AU"/>
        </w:rPr>
        <w:t>Before writing their answer, students must check the information below the image to confirm the exact art form</w:t>
      </w:r>
      <w:r w:rsidR="00A656CC" w:rsidRPr="008A74D0">
        <w:rPr>
          <w:lang w:val="en-AU"/>
        </w:rPr>
        <w:t xml:space="preserve"> to which</w:t>
      </w:r>
      <w:r w:rsidRPr="008A74D0">
        <w:rPr>
          <w:lang w:val="en-AU"/>
        </w:rPr>
        <w:t xml:space="preserve"> they are responding</w:t>
      </w:r>
      <w:r w:rsidR="001B4D0E" w:rsidRPr="008A74D0">
        <w:rPr>
          <w:lang w:val="en-AU"/>
        </w:rPr>
        <w:t>.</w:t>
      </w:r>
      <w:r w:rsidRPr="008A74D0">
        <w:rPr>
          <w:lang w:val="en-AU"/>
        </w:rPr>
        <w:t xml:space="preserve"> </w:t>
      </w:r>
      <w:r w:rsidR="001B4D0E" w:rsidRPr="008A74D0">
        <w:rPr>
          <w:lang w:val="en-AU"/>
        </w:rPr>
        <w:t xml:space="preserve">This will </w:t>
      </w:r>
      <w:r w:rsidRPr="008A74D0">
        <w:rPr>
          <w:lang w:val="en-AU"/>
        </w:rPr>
        <w:t>ensure their selection of the art element is accurate and aligns with the art form depicted in the artwork.</w:t>
      </w:r>
      <w:r w:rsidR="00674901" w:rsidRPr="008A74D0">
        <w:rPr>
          <w:lang w:val="en-AU"/>
        </w:rPr>
        <w:t xml:space="preserve"> For example, if the artwork is a sculpture, then texture and form will be art elements that might be selected by students to respond to.</w:t>
      </w:r>
    </w:p>
    <w:p w14:paraId="0E6AFA83" w14:textId="1A0E6606" w:rsidR="003E12FA" w:rsidRPr="008A74D0" w:rsidRDefault="00706805" w:rsidP="00053457">
      <w:pPr>
        <w:pStyle w:val="VCAAbody"/>
        <w:rPr>
          <w:lang w:val="en-AU"/>
        </w:rPr>
      </w:pPr>
      <w:r w:rsidRPr="008A74D0">
        <w:rPr>
          <w:lang w:val="en-AU"/>
        </w:rPr>
        <w:t>The following is an example of a high-scoring response.</w:t>
      </w:r>
    </w:p>
    <w:p w14:paraId="17668D0C" w14:textId="77777777" w:rsidR="003E12FA" w:rsidRPr="008A74D0" w:rsidRDefault="003E12FA" w:rsidP="00053457">
      <w:pPr>
        <w:pStyle w:val="VCAAstudentresponse"/>
        <w:rPr>
          <w:lang w:val="en-AU"/>
        </w:rPr>
      </w:pPr>
      <w:r w:rsidRPr="008A74D0">
        <w:rPr>
          <w:lang w:val="en-AU"/>
        </w:rPr>
        <w:t>Texture</w:t>
      </w:r>
    </w:p>
    <w:p w14:paraId="4ED23F86" w14:textId="356CC3FB" w:rsidR="006401B2" w:rsidRPr="008A74D0" w:rsidRDefault="003E12FA" w:rsidP="00053457">
      <w:pPr>
        <w:pStyle w:val="VCAAstudentresponse"/>
        <w:rPr>
          <w:lang w:val="en-AU"/>
        </w:rPr>
      </w:pPr>
      <w:r w:rsidRPr="008A74D0">
        <w:rPr>
          <w:lang w:val="en-AU"/>
        </w:rPr>
        <w:t xml:space="preserve">The inherent and objective texture of the marble is smooth and cold to the touch, a coldness that is reinforced by the pallid ash-grey colour. However, through the fluid lines creating various folds and drapes, there is an implied texture of soft and flowing cloth. This contrasts against the form of the face and arms, where the smoothness and realistic dips mimic the textural quality of soft, warm skin, thus creating an implied skin-like texture. </w:t>
      </w:r>
    </w:p>
    <w:p w14:paraId="7FFE5D85" w14:textId="0563BFB9" w:rsidR="006401B2" w:rsidRPr="008A74D0" w:rsidRDefault="006401B2" w:rsidP="00053457">
      <w:pPr>
        <w:pStyle w:val="VCAAHeading2"/>
        <w:rPr>
          <w:lang w:val="en-AU"/>
        </w:rPr>
      </w:pPr>
      <w:r w:rsidRPr="008A74D0">
        <w:rPr>
          <w:lang w:val="en-AU"/>
        </w:rPr>
        <w:t>Question 2</w:t>
      </w:r>
    </w:p>
    <w:tbl>
      <w:tblPr>
        <w:tblStyle w:val="VCAATableClosed"/>
        <w:tblW w:w="4176" w:type="dxa"/>
        <w:tblInd w:w="113" w:type="dxa"/>
        <w:tblLook w:val="04A0" w:firstRow="1" w:lastRow="0" w:firstColumn="1" w:lastColumn="0" w:noHBand="0" w:noVBand="1"/>
        <w:tblCaption w:val="Table one"/>
        <w:tblDescription w:val="VCAA closed table style"/>
      </w:tblPr>
      <w:tblGrid>
        <w:gridCol w:w="864"/>
        <w:gridCol w:w="576"/>
        <w:gridCol w:w="576"/>
        <w:gridCol w:w="576"/>
        <w:gridCol w:w="576"/>
        <w:gridCol w:w="1008"/>
      </w:tblGrid>
      <w:tr w:rsidR="006F5723" w:rsidRPr="008A74D0" w14:paraId="5AB44AB8" w14:textId="77777777" w:rsidTr="009311D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EEB3D36" w14:textId="77777777" w:rsidR="00B10493" w:rsidRPr="008A74D0" w:rsidRDefault="00B10493" w:rsidP="004D2407">
            <w:pPr>
              <w:pStyle w:val="VCAAtablecondensedheading"/>
              <w:rPr>
                <w:lang w:val="en-AU"/>
              </w:rPr>
            </w:pPr>
            <w:r w:rsidRPr="008A74D0">
              <w:rPr>
                <w:lang w:val="en-AU"/>
              </w:rPr>
              <w:t xml:space="preserve">Marks </w:t>
            </w:r>
          </w:p>
        </w:tc>
        <w:tc>
          <w:tcPr>
            <w:tcW w:w="576" w:type="dxa"/>
            <w:tcBorders>
              <w:top w:val="single" w:sz="4" w:space="0" w:color="000000" w:themeColor="text1"/>
              <w:bottom w:val="single" w:sz="4" w:space="0" w:color="000000" w:themeColor="text1"/>
            </w:tcBorders>
            <w:hideMark/>
          </w:tcPr>
          <w:p w14:paraId="41981476" w14:textId="77777777" w:rsidR="00B10493" w:rsidRPr="008A74D0" w:rsidRDefault="00B10493" w:rsidP="00221D31">
            <w:pPr>
              <w:pStyle w:val="VCAAtablecondensedheading"/>
              <w:rPr>
                <w:lang w:val="en-AU"/>
              </w:rPr>
            </w:pPr>
            <w:r w:rsidRPr="008A74D0">
              <w:rPr>
                <w:lang w:val="en-AU"/>
              </w:rPr>
              <w:t>0</w:t>
            </w:r>
          </w:p>
        </w:tc>
        <w:tc>
          <w:tcPr>
            <w:tcW w:w="576" w:type="dxa"/>
            <w:tcBorders>
              <w:top w:val="single" w:sz="4" w:space="0" w:color="000000" w:themeColor="text1"/>
              <w:bottom w:val="single" w:sz="4" w:space="0" w:color="000000" w:themeColor="text1"/>
            </w:tcBorders>
            <w:hideMark/>
          </w:tcPr>
          <w:p w14:paraId="0255D687" w14:textId="77777777" w:rsidR="00B10493" w:rsidRPr="008A74D0" w:rsidRDefault="00B10493" w:rsidP="00221D31">
            <w:pPr>
              <w:pStyle w:val="VCAAtablecondensedheading"/>
              <w:rPr>
                <w:lang w:val="en-AU"/>
              </w:rPr>
            </w:pPr>
            <w:r w:rsidRPr="008A74D0">
              <w:rPr>
                <w:lang w:val="en-AU"/>
              </w:rPr>
              <w:t>1</w:t>
            </w:r>
          </w:p>
        </w:tc>
        <w:tc>
          <w:tcPr>
            <w:tcW w:w="576" w:type="dxa"/>
            <w:tcBorders>
              <w:top w:val="single" w:sz="4" w:space="0" w:color="000000" w:themeColor="text1"/>
              <w:bottom w:val="single" w:sz="4" w:space="0" w:color="000000" w:themeColor="text1"/>
            </w:tcBorders>
            <w:hideMark/>
          </w:tcPr>
          <w:p w14:paraId="32139C7C" w14:textId="77777777" w:rsidR="00B10493" w:rsidRPr="008A74D0" w:rsidRDefault="00B10493" w:rsidP="00221D31">
            <w:pPr>
              <w:pStyle w:val="VCAAtablecondensedheading"/>
              <w:rPr>
                <w:lang w:val="en-AU"/>
              </w:rPr>
            </w:pPr>
            <w:r w:rsidRPr="008A74D0">
              <w:rPr>
                <w:lang w:val="en-AU"/>
              </w:rPr>
              <w:t>2</w:t>
            </w:r>
          </w:p>
        </w:tc>
        <w:tc>
          <w:tcPr>
            <w:tcW w:w="576" w:type="dxa"/>
            <w:tcBorders>
              <w:top w:val="single" w:sz="4" w:space="0" w:color="000000" w:themeColor="text1"/>
              <w:bottom w:val="single" w:sz="4" w:space="0" w:color="000000" w:themeColor="text1"/>
            </w:tcBorders>
            <w:hideMark/>
          </w:tcPr>
          <w:p w14:paraId="356717AB" w14:textId="77777777" w:rsidR="00B10493" w:rsidRPr="008A74D0" w:rsidRDefault="00B10493" w:rsidP="00221D31">
            <w:pPr>
              <w:pStyle w:val="VCAAtablecondensedheading"/>
              <w:rPr>
                <w:lang w:val="en-AU"/>
              </w:rPr>
            </w:pPr>
            <w:r w:rsidRPr="008A74D0">
              <w:rPr>
                <w:lang w:val="en-AU"/>
              </w:rP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4F03C4B3" w14:textId="77777777" w:rsidR="00B10493" w:rsidRPr="008A74D0" w:rsidRDefault="00B10493" w:rsidP="00221D31">
            <w:pPr>
              <w:pStyle w:val="VCAAtablecondensedheading"/>
              <w:rPr>
                <w:lang w:val="en-AU"/>
              </w:rPr>
            </w:pPr>
            <w:r w:rsidRPr="008A74D0">
              <w:rPr>
                <w:lang w:val="en-AU"/>
              </w:rPr>
              <w:t>Average</w:t>
            </w:r>
          </w:p>
        </w:tc>
      </w:tr>
      <w:tr w:rsidR="006F5723" w:rsidRPr="008A74D0" w14:paraId="288988D0" w14:textId="77777777" w:rsidTr="009311D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A9DBF" w14:textId="77777777" w:rsidR="00B10493" w:rsidRPr="008A74D0" w:rsidRDefault="00B10493">
            <w:pPr>
              <w:pStyle w:val="VCAAtablecondensed"/>
              <w:rPr>
                <w:lang w:val="en-AU"/>
              </w:rPr>
            </w:pPr>
            <w:r w:rsidRPr="008A74D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29868" w14:textId="69BEE90F" w:rsidR="00B10493" w:rsidRPr="008A74D0" w:rsidRDefault="001B4D0E">
            <w:pPr>
              <w:pStyle w:val="VCAAtablecondensed"/>
              <w:rPr>
                <w:lang w:val="en-AU"/>
              </w:rPr>
            </w:pPr>
            <w:r w:rsidRPr="008A74D0">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D968A" w14:textId="44B098FE" w:rsidR="00B10493" w:rsidRPr="008A74D0" w:rsidRDefault="001B4D0E">
            <w:pPr>
              <w:pStyle w:val="VCAAtablecondensed"/>
              <w:rPr>
                <w:lang w:val="en-AU"/>
              </w:rPr>
            </w:pPr>
            <w:r w:rsidRPr="008A74D0">
              <w:rPr>
                <w:lang w:val="en-AU"/>
              </w:rP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4EDEC" w14:textId="384EFA94" w:rsidR="00B10493" w:rsidRPr="008A74D0" w:rsidRDefault="001B4D0E">
            <w:pPr>
              <w:pStyle w:val="VCAAtablecondensed"/>
              <w:rPr>
                <w:lang w:val="en-AU"/>
              </w:rPr>
            </w:pPr>
            <w:r w:rsidRPr="008A74D0">
              <w:rPr>
                <w:lang w:val="en-AU"/>
              </w:rPr>
              <w:t>45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83CA4" w14:textId="40381337" w:rsidR="00B10493" w:rsidRPr="008A74D0" w:rsidRDefault="001B4D0E">
            <w:pPr>
              <w:pStyle w:val="VCAAtablecondensed"/>
              <w:rPr>
                <w:lang w:val="en-AU"/>
              </w:rPr>
            </w:pPr>
            <w:r w:rsidRPr="008A74D0">
              <w:rPr>
                <w:lang w:val="en-AU"/>
              </w:rPr>
              <w:t>24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B4B7A" w14:textId="6DCFBC6D" w:rsidR="00B10493" w:rsidRPr="008A74D0" w:rsidRDefault="001B4D0E">
            <w:pPr>
              <w:pStyle w:val="VCAAtablecondensed"/>
              <w:rPr>
                <w:lang w:val="en-AU"/>
              </w:rPr>
            </w:pPr>
            <w:r w:rsidRPr="008A74D0">
              <w:rPr>
                <w:lang w:val="en-AU"/>
              </w:rPr>
              <w:t>1.8</w:t>
            </w:r>
          </w:p>
        </w:tc>
      </w:tr>
    </w:tbl>
    <w:p w14:paraId="47D44C79" w14:textId="5F774544" w:rsidR="001B4D0E" w:rsidRPr="008A74D0" w:rsidRDefault="003E12FA" w:rsidP="004E4FFF">
      <w:pPr>
        <w:pStyle w:val="VCAAbody"/>
        <w:rPr>
          <w:lang w:val="en-AU"/>
        </w:rPr>
      </w:pPr>
      <w:r w:rsidRPr="008A74D0">
        <w:rPr>
          <w:lang w:val="en-AU"/>
        </w:rPr>
        <w:t xml:space="preserve">For the most part, students correctly identified </w:t>
      </w:r>
      <w:r w:rsidR="00A656CC" w:rsidRPr="008A74D0">
        <w:rPr>
          <w:lang w:val="en-AU"/>
        </w:rPr>
        <w:t xml:space="preserve">one </w:t>
      </w:r>
      <w:r w:rsidRPr="008A74D0">
        <w:rPr>
          <w:lang w:val="en-AU"/>
        </w:rPr>
        <w:t>art principle. Contrast (</w:t>
      </w:r>
      <w:r w:rsidR="00D66A06" w:rsidRPr="008A74D0">
        <w:rPr>
          <w:lang w:val="en-AU"/>
        </w:rPr>
        <w:t xml:space="preserve">referring to </w:t>
      </w:r>
      <w:r w:rsidRPr="008A74D0">
        <w:rPr>
          <w:lang w:val="en-AU"/>
        </w:rPr>
        <w:t>colour), balance, repetition (</w:t>
      </w:r>
      <w:r w:rsidR="00D66A06" w:rsidRPr="008A74D0">
        <w:rPr>
          <w:lang w:val="en-AU"/>
        </w:rPr>
        <w:t xml:space="preserve">referring to </w:t>
      </w:r>
      <w:r w:rsidRPr="008A74D0">
        <w:rPr>
          <w:lang w:val="en-AU"/>
        </w:rPr>
        <w:t xml:space="preserve">line) and unity were most frequently selected. Generally, </w:t>
      </w:r>
      <w:r w:rsidR="001B4D0E" w:rsidRPr="008A74D0">
        <w:rPr>
          <w:lang w:val="en-AU"/>
        </w:rPr>
        <w:t>students responded to Q</w:t>
      </w:r>
      <w:r w:rsidRPr="008A74D0">
        <w:rPr>
          <w:lang w:val="en-AU"/>
        </w:rPr>
        <w:t xml:space="preserve">uestion </w:t>
      </w:r>
      <w:r w:rsidR="001B4D0E" w:rsidRPr="008A74D0">
        <w:rPr>
          <w:lang w:val="en-AU"/>
        </w:rPr>
        <w:t>2</w:t>
      </w:r>
      <w:r w:rsidRPr="008A74D0">
        <w:rPr>
          <w:lang w:val="en-AU"/>
        </w:rPr>
        <w:t xml:space="preserve"> more confidently than </w:t>
      </w:r>
      <w:r w:rsidR="001B4D0E" w:rsidRPr="008A74D0">
        <w:rPr>
          <w:lang w:val="en-AU"/>
        </w:rPr>
        <w:t>to Q</w:t>
      </w:r>
      <w:r w:rsidRPr="008A74D0">
        <w:rPr>
          <w:lang w:val="en-AU"/>
        </w:rPr>
        <w:t xml:space="preserve">uestion </w:t>
      </w:r>
      <w:r w:rsidR="001B4D0E" w:rsidRPr="008A74D0">
        <w:rPr>
          <w:lang w:val="en-AU"/>
        </w:rPr>
        <w:t>1</w:t>
      </w:r>
      <w:r w:rsidRPr="008A74D0">
        <w:rPr>
          <w:lang w:val="en-AU"/>
        </w:rPr>
        <w:t>. Students who scored high</w:t>
      </w:r>
      <w:r w:rsidR="001B4D0E" w:rsidRPr="008A74D0">
        <w:rPr>
          <w:lang w:val="en-AU"/>
        </w:rPr>
        <w:t>ly</w:t>
      </w:r>
      <w:r w:rsidRPr="008A74D0">
        <w:rPr>
          <w:lang w:val="en-AU"/>
        </w:rPr>
        <w:t xml:space="preserve"> connected their analysis to the artwork</w:t>
      </w:r>
      <w:r w:rsidR="008A74D0">
        <w:rPr>
          <w:lang w:val="en-AU"/>
        </w:rPr>
        <w:t>’</w:t>
      </w:r>
      <w:r w:rsidRPr="008A74D0">
        <w:rPr>
          <w:lang w:val="en-AU"/>
        </w:rPr>
        <w:t>s physical attributes, made direct reference to the artwork</w:t>
      </w:r>
      <w:r w:rsidR="008A74D0">
        <w:rPr>
          <w:lang w:val="en-AU"/>
        </w:rPr>
        <w:t>’</w:t>
      </w:r>
      <w:r w:rsidRPr="008A74D0">
        <w:rPr>
          <w:lang w:val="en-AU"/>
        </w:rPr>
        <w:t xml:space="preserve">s subject matter, and related this to the use of the art principle. </w:t>
      </w:r>
    </w:p>
    <w:p w14:paraId="7C80F4AB" w14:textId="5CD7468D" w:rsidR="003E12FA" w:rsidRPr="008A74D0" w:rsidRDefault="003E12FA" w:rsidP="00053457">
      <w:pPr>
        <w:pStyle w:val="VCAAbody"/>
        <w:rPr>
          <w:lang w:val="en-AU"/>
        </w:rPr>
      </w:pPr>
      <w:r w:rsidRPr="008A74D0">
        <w:rPr>
          <w:lang w:val="en-AU"/>
        </w:rPr>
        <w:t xml:space="preserve">Where possible, students should </w:t>
      </w:r>
      <w:r w:rsidR="00087CDB" w:rsidRPr="008A74D0">
        <w:rPr>
          <w:lang w:val="en-AU"/>
        </w:rPr>
        <w:t xml:space="preserve">use precise adjectives that apply the vocabulary associated with the art principle to receive a higher mark allocation. They should </w:t>
      </w:r>
      <w:r w:rsidRPr="008A74D0">
        <w:rPr>
          <w:lang w:val="en-AU"/>
        </w:rPr>
        <w:t>avoid using</w:t>
      </w:r>
      <w:r w:rsidR="00087CDB" w:rsidRPr="008A74D0">
        <w:rPr>
          <w:lang w:val="en-AU"/>
        </w:rPr>
        <w:t xml:space="preserve"> generic</w:t>
      </w:r>
      <w:r w:rsidRPr="008A74D0">
        <w:rPr>
          <w:lang w:val="en-AU"/>
        </w:rPr>
        <w:t xml:space="preserve"> phrases like </w:t>
      </w:r>
      <w:r w:rsidR="001B4D0E" w:rsidRPr="008A74D0">
        <w:rPr>
          <w:lang w:val="en-AU"/>
        </w:rPr>
        <w:t>‘</w:t>
      </w:r>
      <w:r w:rsidRPr="008A74D0">
        <w:rPr>
          <w:lang w:val="en-AU"/>
        </w:rPr>
        <w:t>eye-catching</w:t>
      </w:r>
      <w:r w:rsidR="001B4D0E" w:rsidRPr="008A74D0">
        <w:rPr>
          <w:lang w:val="en-AU"/>
        </w:rPr>
        <w:t>’</w:t>
      </w:r>
      <w:r w:rsidRPr="008A74D0">
        <w:rPr>
          <w:lang w:val="en-AU"/>
        </w:rPr>
        <w:t xml:space="preserve">, which is an imprecise analysis of the art principle. Occasionally, students did not accurately identify one art principle or chose to write about </w:t>
      </w:r>
      <w:r w:rsidR="001E1343">
        <w:rPr>
          <w:lang w:val="en-AU"/>
        </w:rPr>
        <w:t>an</w:t>
      </w:r>
      <w:r w:rsidR="001E1343" w:rsidRPr="008A74D0">
        <w:rPr>
          <w:lang w:val="en-AU"/>
        </w:rPr>
        <w:t xml:space="preserve"> </w:t>
      </w:r>
      <w:r w:rsidRPr="008A74D0">
        <w:rPr>
          <w:lang w:val="en-AU"/>
        </w:rPr>
        <w:t>art element, which compromised their answers</w:t>
      </w:r>
      <w:r w:rsidR="008A74D0">
        <w:rPr>
          <w:lang w:val="en-AU"/>
        </w:rPr>
        <w:t>’</w:t>
      </w:r>
      <w:r w:rsidRPr="008A74D0">
        <w:rPr>
          <w:lang w:val="en-AU"/>
        </w:rPr>
        <w:t xml:space="preserve"> accuracy. It was concerning that some students wrote about the wrong image from the insert</w:t>
      </w:r>
      <w:r w:rsidR="000A0F80">
        <w:rPr>
          <w:lang w:val="en-AU"/>
        </w:rPr>
        <w:t>,</w:t>
      </w:r>
      <w:r w:rsidRPr="008A74D0">
        <w:rPr>
          <w:lang w:val="en-AU"/>
        </w:rPr>
        <w:t xml:space="preserve"> or chose to write about an image or multiple images allocated to </w:t>
      </w:r>
      <w:r w:rsidR="001B4D0E" w:rsidRPr="008A74D0">
        <w:rPr>
          <w:lang w:val="en-AU"/>
        </w:rPr>
        <w:t>Question 4</w:t>
      </w:r>
      <w:r w:rsidRPr="008A74D0">
        <w:rPr>
          <w:lang w:val="en-AU"/>
        </w:rPr>
        <w:t xml:space="preserve">, </w:t>
      </w:r>
      <w:r w:rsidR="001B4D0E" w:rsidRPr="008A74D0">
        <w:rPr>
          <w:lang w:val="en-AU"/>
        </w:rPr>
        <w:t xml:space="preserve">reinforcing the importance of </w:t>
      </w:r>
      <w:r w:rsidRPr="008A74D0">
        <w:rPr>
          <w:lang w:val="en-AU"/>
        </w:rPr>
        <w:t>remov</w:t>
      </w:r>
      <w:r w:rsidR="001B4D0E" w:rsidRPr="008A74D0">
        <w:rPr>
          <w:lang w:val="en-AU"/>
        </w:rPr>
        <w:t>ing</w:t>
      </w:r>
      <w:r w:rsidRPr="008A74D0">
        <w:rPr>
          <w:lang w:val="en-AU"/>
        </w:rPr>
        <w:t xml:space="preserve"> the insert from the question booklet during reading time.</w:t>
      </w:r>
    </w:p>
    <w:p w14:paraId="04164A48" w14:textId="77777777" w:rsidR="004E4FFF" w:rsidRPr="008A74D0" w:rsidRDefault="004E4FFF" w:rsidP="004E4FFF">
      <w:pPr>
        <w:pStyle w:val="VCAAbody"/>
        <w:rPr>
          <w:lang w:val="en-AU"/>
        </w:rPr>
      </w:pPr>
      <w:r w:rsidRPr="008A74D0">
        <w:rPr>
          <w:lang w:val="en-AU"/>
        </w:rPr>
        <w:t>The following is an example of a high-scoring response.</w:t>
      </w:r>
    </w:p>
    <w:p w14:paraId="16818914" w14:textId="77777777" w:rsidR="003E12FA" w:rsidRPr="008A74D0" w:rsidRDefault="003E12FA" w:rsidP="00053457">
      <w:pPr>
        <w:pStyle w:val="VCAAstudentresponse"/>
        <w:rPr>
          <w:lang w:val="en-AU"/>
        </w:rPr>
      </w:pPr>
      <w:r w:rsidRPr="008A74D0">
        <w:rPr>
          <w:lang w:val="en-AU"/>
        </w:rPr>
        <w:t>Contrast</w:t>
      </w:r>
    </w:p>
    <w:p w14:paraId="02746F34" w14:textId="68DBCDB1" w:rsidR="003E12FA" w:rsidRPr="008A74D0" w:rsidRDefault="003E12FA">
      <w:pPr>
        <w:pStyle w:val="VCAAstudentresponse"/>
        <w:rPr>
          <w:lang w:val="en-AU"/>
        </w:rPr>
      </w:pPr>
      <w:r w:rsidRPr="008A74D0">
        <w:rPr>
          <w:lang w:val="en-AU"/>
        </w:rPr>
        <w:t>The smooth, empty space in the flower contrasts against the comb-like greyish brown lines fluctuating in size on the hair of the figure on the left, thus highlighting and pushing the flower to the foreground. The hair of the figure on the right is established through contrasting curving black undulating lines with a coral colour to create an implied texture of straight bustling hair. The uniformed black lines of similar lengths on the neck of the figure on the right contrast against the smooth block colour beige on the rest of her neck; here, contrast is used to establish tone and, thus, form.</w:t>
      </w:r>
    </w:p>
    <w:p w14:paraId="0DAC3969" w14:textId="4266CADA" w:rsidR="006826C4" w:rsidRPr="008A74D0" w:rsidRDefault="006826C4" w:rsidP="00053457">
      <w:pPr>
        <w:pStyle w:val="VCAAstudentresponse"/>
        <w:rPr>
          <w:lang w:val="en-AU"/>
        </w:rPr>
      </w:pPr>
    </w:p>
    <w:p w14:paraId="3BF53046" w14:textId="77777777" w:rsidR="006271DA" w:rsidRPr="008A74D0" w:rsidRDefault="006826C4" w:rsidP="00053457">
      <w:pPr>
        <w:pStyle w:val="VCAAHeading2"/>
        <w:rPr>
          <w:lang w:val="en-AU"/>
        </w:rPr>
      </w:pPr>
      <w:r w:rsidRPr="008A74D0">
        <w:rPr>
          <w:lang w:val="en-AU"/>
        </w:rPr>
        <w:t>Question 3</w:t>
      </w:r>
    </w:p>
    <w:tbl>
      <w:tblPr>
        <w:tblStyle w:val="VCAATableClosed"/>
        <w:tblW w:w="7632" w:type="dxa"/>
        <w:tblInd w:w="113"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1008"/>
      </w:tblGrid>
      <w:tr w:rsidR="006F5723" w:rsidRPr="008A74D0" w14:paraId="596DFDDE" w14:textId="77777777" w:rsidTr="009311D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FC30C80" w14:textId="77777777" w:rsidR="00B10493" w:rsidRPr="008A74D0" w:rsidRDefault="00B10493" w:rsidP="004D2407">
            <w:pPr>
              <w:pStyle w:val="VCAAtablecondensedheading"/>
              <w:rPr>
                <w:lang w:val="en-AU"/>
              </w:rPr>
            </w:pPr>
            <w:r w:rsidRPr="008A74D0">
              <w:rPr>
                <w:lang w:val="en-AU"/>
              </w:rPr>
              <w:t xml:space="preserve">Marks </w:t>
            </w:r>
          </w:p>
        </w:tc>
        <w:tc>
          <w:tcPr>
            <w:tcW w:w="576" w:type="dxa"/>
            <w:tcBorders>
              <w:top w:val="single" w:sz="4" w:space="0" w:color="000000" w:themeColor="text1"/>
              <w:bottom w:val="single" w:sz="4" w:space="0" w:color="000000" w:themeColor="text1"/>
            </w:tcBorders>
            <w:hideMark/>
          </w:tcPr>
          <w:p w14:paraId="18C34D7D" w14:textId="77777777" w:rsidR="00B10493" w:rsidRPr="008A74D0" w:rsidRDefault="00B10493" w:rsidP="00221D31">
            <w:pPr>
              <w:pStyle w:val="VCAAtablecondensedheading"/>
              <w:rPr>
                <w:lang w:val="en-AU"/>
              </w:rPr>
            </w:pPr>
            <w:r w:rsidRPr="008A74D0">
              <w:rPr>
                <w:lang w:val="en-AU"/>
              </w:rPr>
              <w:t>0</w:t>
            </w:r>
          </w:p>
        </w:tc>
        <w:tc>
          <w:tcPr>
            <w:tcW w:w="576" w:type="dxa"/>
            <w:tcBorders>
              <w:top w:val="single" w:sz="4" w:space="0" w:color="000000" w:themeColor="text1"/>
              <w:bottom w:val="single" w:sz="4" w:space="0" w:color="000000" w:themeColor="text1"/>
            </w:tcBorders>
            <w:hideMark/>
          </w:tcPr>
          <w:p w14:paraId="178076B9" w14:textId="77777777" w:rsidR="00B10493" w:rsidRPr="008A74D0" w:rsidRDefault="00B10493" w:rsidP="00221D31">
            <w:pPr>
              <w:pStyle w:val="VCAAtablecondensedheading"/>
              <w:rPr>
                <w:lang w:val="en-AU"/>
              </w:rPr>
            </w:pPr>
            <w:r w:rsidRPr="008A74D0">
              <w:rPr>
                <w:lang w:val="en-AU"/>
              </w:rPr>
              <w:t>1</w:t>
            </w:r>
          </w:p>
        </w:tc>
        <w:tc>
          <w:tcPr>
            <w:tcW w:w="576" w:type="dxa"/>
            <w:tcBorders>
              <w:top w:val="single" w:sz="4" w:space="0" w:color="000000" w:themeColor="text1"/>
              <w:bottom w:val="single" w:sz="4" w:space="0" w:color="000000" w:themeColor="text1"/>
            </w:tcBorders>
            <w:hideMark/>
          </w:tcPr>
          <w:p w14:paraId="36576788" w14:textId="77777777" w:rsidR="00B10493" w:rsidRPr="008A74D0" w:rsidRDefault="00B10493" w:rsidP="00221D31">
            <w:pPr>
              <w:pStyle w:val="VCAAtablecondensedheading"/>
              <w:rPr>
                <w:lang w:val="en-AU"/>
              </w:rPr>
            </w:pPr>
            <w:r w:rsidRPr="008A74D0">
              <w:rPr>
                <w:lang w:val="en-AU"/>
              </w:rPr>
              <w:t>2</w:t>
            </w:r>
          </w:p>
        </w:tc>
        <w:tc>
          <w:tcPr>
            <w:tcW w:w="576" w:type="dxa"/>
            <w:tcBorders>
              <w:top w:val="single" w:sz="4" w:space="0" w:color="000000" w:themeColor="text1"/>
              <w:bottom w:val="single" w:sz="4" w:space="0" w:color="000000" w:themeColor="text1"/>
            </w:tcBorders>
            <w:hideMark/>
          </w:tcPr>
          <w:p w14:paraId="522B9B74" w14:textId="77777777" w:rsidR="00B10493" w:rsidRPr="008A74D0" w:rsidRDefault="00B10493" w:rsidP="00221D31">
            <w:pPr>
              <w:pStyle w:val="VCAAtablecondensedheading"/>
              <w:rPr>
                <w:lang w:val="en-AU"/>
              </w:rPr>
            </w:pPr>
            <w:r w:rsidRPr="008A74D0">
              <w:rPr>
                <w:lang w:val="en-AU"/>
              </w:rPr>
              <w:t>3</w:t>
            </w:r>
          </w:p>
        </w:tc>
        <w:tc>
          <w:tcPr>
            <w:tcW w:w="576" w:type="dxa"/>
            <w:tcBorders>
              <w:top w:val="single" w:sz="4" w:space="0" w:color="000000" w:themeColor="text1"/>
              <w:bottom w:val="single" w:sz="4" w:space="0" w:color="000000" w:themeColor="text1"/>
            </w:tcBorders>
            <w:hideMark/>
          </w:tcPr>
          <w:p w14:paraId="6DF7A32E" w14:textId="77777777" w:rsidR="00B10493" w:rsidRPr="008A74D0" w:rsidRDefault="00B10493" w:rsidP="00221D31">
            <w:pPr>
              <w:pStyle w:val="VCAAtablecondensedheading"/>
              <w:rPr>
                <w:lang w:val="en-AU"/>
              </w:rPr>
            </w:pPr>
            <w:r w:rsidRPr="008A74D0">
              <w:rPr>
                <w:lang w:val="en-AU"/>
              </w:rPr>
              <w:t>4</w:t>
            </w:r>
          </w:p>
        </w:tc>
        <w:tc>
          <w:tcPr>
            <w:tcW w:w="576" w:type="dxa"/>
            <w:tcBorders>
              <w:top w:val="single" w:sz="4" w:space="0" w:color="000000" w:themeColor="text1"/>
              <w:bottom w:val="single" w:sz="4" w:space="0" w:color="000000" w:themeColor="text1"/>
            </w:tcBorders>
            <w:hideMark/>
          </w:tcPr>
          <w:p w14:paraId="503C0715" w14:textId="77777777" w:rsidR="00B10493" w:rsidRPr="008A74D0" w:rsidRDefault="00B10493" w:rsidP="00221D31">
            <w:pPr>
              <w:pStyle w:val="VCAAtablecondensedheading"/>
              <w:rPr>
                <w:lang w:val="en-AU"/>
              </w:rPr>
            </w:pPr>
            <w:r w:rsidRPr="008A74D0">
              <w:rPr>
                <w:lang w:val="en-AU"/>
              </w:rPr>
              <w:t>5</w:t>
            </w:r>
          </w:p>
        </w:tc>
        <w:tc>
          <w:tcPr>
            <w:tcW w:w="576" w:type="dxa"/>
            <w:tcBorders>
              <w:top w:val="single" w:sz="4" w:space="0" w:color="000000" w:themeColor="text1"/>
              <w:bottom w:val="single" w:sz="4" w:space="0" w:color="000000" w:themeColor="text1"/>
            </w:tcBorders>
            <w:hideMark/>
          </w:tcPr>
          <w:p w14:paraId="29E895B5" w14:textId="77777777" w:rsidR="00B10493" w:rsidRPr="008A74D0" w:rsidRDefault="00B10493" w:rsidP="00221D31">
            <w:pPr>
              <w:pStyle w:val="VCAAtablecondensedheading"/>
              <w:rPr>
                <w:lang w:val="en-AU"/>
              </w:rPr>
            </w:pPr>
            <w:r w:rsidRPr="008A74D0">
              <w:rPr>
                <w:lang w:val="en-AU"/>
              </w:rPr>
              <w:t>6</w:t>
            </w:r>
          </w:p>
        </w:tc>
        <w:tc>
          <w:tcPr>
            <w:tcW w:w="576" w:type="dxa"/>
            <w:tcBorders>
              <w:top w:val="single" w:sz="4" w:space="0" w:color="000000" w:themeColor="text1"/>
              <w:bottom w:val="single" w:sz="4" w:space="0" w:color="000000" w:themeColor="text1"/>
            </w:tcBorders>
            <w:hideMark/>
          </w:tcPr>
          <w:p w14:paraId="5AC41BDE" w14:textId="77777777" w:rsidR="00B10493" w:rsidRPr="008A74D0" w:rsidRDefault="00B10493" w:rsidP="00221D31">
            <w:pPr>
              <w:pStyle w:val="VCAAtablecondensedheading"/>
              <w:rPr>
                <w:lang w:val="en-AU"/>
              </w:rPr>
            </w:pPr>
            <w:r w:rsidRPr="008A74D0">
              <w:rPr>
                <w:lang w:val="en-AU"/>
              </w:rPr>
              <w:t>7</w:t>
            </w:r>
          </w:p>
        </w:tc>
        <w:tc>
          <w:tcPr>
            <w:tcW w:w="576" w:type="dxa"/>
            <w:tcBorders>
              <w:top w:val="single" w:sz="4" w:space="0" w:color="000000" w:themeColor="text1"/>
              <w:bottom w:val="single" w:sz="4" w:space="0" w:color="000000" w:themeColor="text1"/>
            </w:tcBorders>
            <w:hideMark/>
          </w:tcPr>
          <w:p w14:paraId="306DE8B1" w14:textId="77777777" w:rsidR="00B10493" w:rsidRPr="008A74D0" w:rsidRDefault="00B10493" w:rsidP="00221D31">
            <w:pPr>
              <w:pStyle w:val="VCAAtablecondensedheading"/>
              <w:rPr>
                <w:lang w:val="en-AU"/>
              </w:rPr>
            </w:pPr>
            <w:r w:rsidRPr="008A74D0">
              <w:rPr>
                <w:lang w:val="en-AU"/>
              </w:rPr>
              <w:t>8</w:t>
            </w:r>
          </w:p>
        </w:tc>
        <w:tc>
          <w:tcPr>
            <w:tcW w:w="576" w:type="dxa"/>
            <w:tcBorders>
              <w:top w:val="single" w:sz="4" w:space="0" w:color="000000" w:themeColor="text1"/>
              <w:bottom w:val="single" w:sz="4" w:space="0" w:color="000000" w:themeColor="text1"/>
            </w:tcBorders>
            <w:hideMark/>
          </w:tcPr>
          <w:p w14:paraId="0384AE5D" w14:textId="77777777" w:rsidR="00B10493" w:rsidRPr="008A74D0" w:rsidRDefault="00B10493" w:rsidP="00221D31">
            <w:pPr>
              <w:pStyle w:val="VCAAtablecondensedheading"/>
              <w:rPr>
                <w:lang w:val="en-AU"/>
              </w:rPr>
            </w:pPr>
            <w:r w:rsidRPr="008A74D0">
              <w:rPr>
                <w:lang w:val="en-AU"/>
              </w:rPr>
              <w:t>9</w:t>
            </w:r>
          </w:p>
        </w:tc>
        <w:tc>
          <w:tcPr>
            <w:tcW w:w="1008" w:type="dxa"/>
            <w:tcBorders>
              <w:top w:val="single" w:sz="4" w:space="0" w:color="000000" w:themeColor="text1"/>
              <w:bottom w:val="single" w:sz="4" w:space="0" w:color="000000" w:themeColor="text1"/>
              <w:right w:val="single" w:sz="4" w:space="0" w:color="000000" w:themeColor="text1"/>
            </w:tcBorders>
            <w:hideMark/>
          </w:tcPr>
          <w:p w14:paraId="1421D405" w14:textId="77777777" w:rsidR="00B10493" w:rsidRPr="008A74D0" w:rsidRDefault="00B10493" w:rsidP="00221D31">
            <w:pPr>
              <w:pStyle w:val="VCAAtablecondensedheading"/>
              <w:rPr>
                <w:lang w:val="en-AU"/>
              </w:rPr>
            </w:pPr>
            <w:r w:rsidRPr="008A74D0">
              <w:rPr>
                <w:lang w:val="en-AU"/>
              </w:rPr>
              <w:t>Average</w:t>
            </w:r>
          </w:p>
        </w:tc>
      </w:tr>
      <w:tr w:rsidR="006F5723" w:rsidRPr="008A74D0" w14:paraId="56D1DA35" w14:textId="77777777" w:rsidTr="009311D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AA522" w14:textId="77777777" w:rsidR="00B10493" w:rsidRPr="008A74D0" w:rsidRDefault="00B10493">
            <w:pPr>
              <w:pStyle w:val="VCAAtablecondensed"/>
              <w:rPr>
                <w:lang w:val="en-AU"/>
              </w:rPr>
            </w:pPr>
            <w:r w:rsidRPr="008A74D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E3C9" w14:textId="45C6A3EA" w:rsidR="00B10493" w:rsidRPr="008A74D0" w:rsidRDefault="00662E0F">
            <w:pPr>
              <w:pStyle w:val="VCAAtablecondensed"/>
              <w:rPr>
                <w:lang w:val="en-AU"/>
              </w:rPr>
            </w:pPr>
            <w:r w:rsidRPr="008A74D0">
              <w:rPr>
                <w:lang w:val="en-AU"/>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89F6F" w14:textId="5FF51B47" w:rsidR="00B10493" w:rsidRPr="008A74D0" w:rsidRDefault="00662E0F">
            <w:pPr>
              <w:pStyle w:val="VCAAtablecondensed"/>
              <w:rPr>
                <w:lang w:val="en-AU"/>
              </w:rPr>
            </w:pPr>
            <w:r w:rsidRPr="008A74D0">
              <w:rPr>
                <w:lang w:val="en-AU"/>
              </w:rPr>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96AA0" w14:textId="627C562E" w:rsidR="00B10493" w:rsidRPr="008A74D0" w:rsidRDefault="00662E0F">
            <w:pPr>
              <w:pStyle w:val="VCAAtablecondensed"/>
              <w:rPr>
                <w:lang w:val="en-AU"/>
              </w:rPr>
            </w:pPr>
            <w:r w:rsidRPr="008A74D0">
              <w:rPr>
                <w:lang w:val="en-AU"/>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C34FF" w14:textId="4E9D0148" w:rsidR="00B10493" w:rsidRPr="008A74D0" w:rsidRDefault="00662E0F">
            <w:pPr>
              <w:pStyle w:val="VCAAtablecondensed"/>
              <w:rPr>
                <w:lang w:val="en-AU"/>
              </w:rPr>
            </w:pPr>
            <w:r w:rsidRPr="008A74D0">
              <w:rPr>
                <w:lang w:val="en-AU"/>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9EF4F" w14:textId="6C5088B8" w:rsidR="00B10493" w:rsidRPr="008A74D0" w:rsidRDefault="00662E0F">
            <w:pPr>
              <w:pStyle w:val="VCAAtablecondensed"/>
              <w:rPr>
                <w:lang w:val="en-AU"/>
              </w:rPr>
            </w:pPr>
            <w:r w:rsidRPr="008A74D0">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E66EA" w14:textId="67CD37B1" w:rsidR="00B10493" w:rsidRPr="008A74D0" w:rsidRDefault="00662E0F">
            <w:pPr>
              <w:pStyle w:val="VCAAtablecondensed"/>
              <w:rPr>
                <w:lang w:val="en-AU"/>
              </w:rPr>
            </w:pPr>
            <w:r w:rsidRPr="008A74D0">
              <w:rPr>
                <w:lang w:val="en-AU"/>
              </w:rPr>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F0836" w14:textId="1790865E" w:rsidR="00B10493" w:rsidRPr="008A74D0" w:rsidRDefault="00662E0F">
            <w:pPr>
              <w:pStyle w:val="VCAAtablecondensed"/>
              <w:rPr>
                <w:lang w:val="en-AU"/>
              </w:rPr>
            </w:pPr>
            <w:r w:rsidRPr="008A74D0">
              <w:rPr>
                <w:lang w:val="en-AU"/>
              </w:rP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AB3FE" w14:textId="78953579" w:rsidR="00B10493" w:rsidRPr="008A74D0" w:rsidRDefault="00662E0F">
            <w:pPr>
              <w:pStyle w:val="VCAAtablecondensed"/>
              <w:rPr>
                <w:lang w:val="en-AU"/>
              </w:rPr>
            </w:pPr>
            <w:r w:rsidRPr="008A74D0">
              <w:rPr>
                <w:lang w:val="en-AU"/>
              </w:rP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7EFD8" w14:textId="1251DB19" w:rsidR="00B10493" w:rsidRPr="008A74D0" w:rsidRDefault="00662E0F">
            <w:pPr>
              <w:pStyle w:val="VCAAtablecondensed"/>
              <w:rPr>
                <w:lang w:val="en-AU"/>
              </w:rPr>
            </w:pPr>
            <w:r w:rsidRPr="008A74D0">
              <w:rPr>
                <w:lang w:val="en-AU"/>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8D968" w14:textId="187FC688" w:rsidR="00B10493" w:rsidRPr="008A74D0" w:rsidRDefault="00662E0F">
            <w:pPr>
              <w:pStyle w:val="VCAAtablecondensed"/>
              <w:rPr>
                <w:lang w:val="en-AU"/>
              </w:rPr>
            </w:pPr>
            <w:r w:rsidRPr="008A74D0">
              <w:rPr>
                <w:lang w:val="en-AU"/>
              </w:rPr>
              <w:t>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3D82" w14:textId="02FBF8B8" w:rsidR="00B10493" w:rsidRPr="008A74D0" w:rsidRDefault="00662E0F">
            <w:pPr>
              <w:pStyle w:val="VCAAtablecondensed"/>
              <w:rPr>
                <w:lang w:val="en-AU"/>
              </w:rPr>
            </w:pPr>
            <w:r w:rsidRPr="008A74D0">
              <w:rPr>
                <w:lang w:val="en-AU"/>
              </w:rPr>
              <w:t>6.3</w:t>
            </w:r>
          </w:p>
        </w:tc>
      </w:tr>
    </w:tbl>
    <w:p w14:paraId="490D88A4" w14:textId="1442A41A" w:rsidR="003E12FA" w:rsidRPr="008A74D0" w:rsidRDefault="00674901" w:rsidP="00053457">
      <w:pPr>
        <w:pStyle w:val="VCAAbody"/>
        <w:rPr>
          <w:lang w:val="en-AU"/>
        </w:rPr>
      </w:pPr>
      <w:r w:rsidRPr="008A74D0">
        <w:rPr>
          <w:lang w:val="en-AU"/>
        </w:rPr>
        <w:t xml:space="preserve">Question 3 required students to compare the meanings and messages of two artworks. </w:t>
      </w:r>
      <w:r w:rsidR="003E12FA" w:rsidRPr="008A74D0">
        <w:rPr>
          <w:lang w:val="en-AU"/>
        </w:rPr>
        <w:t xml:space="preserve">Both artworks show human nature </w:t>
      </w:r>
      <w:r w:rsidR="004F2E4C" w:rsidRPr="008A74D0">
        <w:rPr>
          <w:lang w:val="en-AU"/>
        </w:rPr>
        <w:t xml:space="preserve">within the context of </w:t>
      </w:r>
      <w:r w:rsidR="003E12FA" w:rsidRPr="008A74D0">
        <w:rPr>
          <w:lang w:val="en-AU"/>
        </w:rPr>
        <w:t xml:space="preserve">socialisation and togetherness, illustrating a bond over a shared musical interest. Most students described the two artworks accurately, and most could link the two artworks to the </w:t>
      </w:r>
      <w:r w:rsidRPr="008A74D0">
        <w:rPr>
          <w:lang w:val="en-AU"/>
        </w:rPr>
        <w:t xml:space="preserve">subject matter </w:t>
      </w:r>
      <w:r w:rsidR="003E12FA" w:rsidRPr="008A74D0">
        <w:rPr>
          <w:lang w:val="en-AU"/>
        </w:rPr>
        <w:t>of music</w:t>
      </w:r>
      <w:r w:rsidRPr="008A74D0">
        <w:rPr>
          <w:lang w:val="en-AU"/>
        </w:rPr>
        <w:t xml:space="preserve"> represented in each artwork through the use of musical instruments</w:t>
      </w:r>
      <w:r w:rsidR="003E12FA" w:rsidRPr="008A74D0">
        <w:rPr>
          <w:lang w:val="en-AU"/>
        </w:rPr>
        <w:t xml:space="preserve">. Many students </w:t>
      </w:r>
      <w:r w:rsidR="00E05505" w:rsidRPr="008A74D0">
        <w:rPr>
          <w:lang w:val="en-AU"/>
        </w:rPr>
        <w:t xml:space="preserve">compared </w:t>
      </w:r>
      <w:r w:rsidR="003E12FA" w:rsidRPr="008A74D0">
        <w:rPr>
          <w:lang w:val="en-AU"/>
        </w:rPr>
        <w:t>each artwork</w:t>
      </w:r>
      <w:r w:rsidR="000A0F80">
        <w:rPr>
          <w:lang w:val="en-AU"/>
        </w:rPr>
        <w:t>’</w:t>
      </w:r>
      <w:r w:rsidR="003E12FA" w:rsidRPr="008A74D0">
        <w:rPr>
          <w:lang w:val="en-AU"/>
        </w:rPr>
        <w:t>s meaning and messages through the use of colours, the subjects</w:t>
      </w:r>
      <w:r w:rsidR="000A0F80">
        <w:rPr>
          <w:lang w:val="en-AU"/>
        </w:rPr>
        <w:t>’</w:t>
      </w:r>
      <w:r w:rsidR="003E12FA" w:rsidRPr="008A74D0">
        <w:rPr>
          <w:lang w:val="en-AU"/>
        </w:rPr>
        <w:t xml:space="preserve"> expressions, and the difference between the formalness of Fontana’s artwork</w:t>
      </w:r>
      <w:r w:rsidRPr="008A74D0">
        <w:rPr>
          <w:lang w:val="en-AU"/>
        </w:rPr>
        <w:t xml:space="preserve"> by</w:t>
      </w:r>
      <w:r w:rsidR="003E12FA" w:rsidRPr="008A74D0">
        <w:rPr>
          <w:lang w:val="en-AU"/>
        </w:rPr>
        <w:t xml:space="preserve"> referring to the sombre and serious-looking nature of the subject matter. The highest-scoring </w:t>
      </w:r>
      <w:r w:rsidR="00A554F9" w:rsidRPr="008A74D0">
        <w:rPr>
          <w:lang w:val="en-AU"/>
        </w:rPr>
        <w:t xml:space="preserve">responses </w:t>
      </w:r>
      <w:r w:rsidR="003E12FA" w:rsidRPr="008A74D0">
        <w:rPr>
          <w:lang w:val="en-AU"/>
        </w:rPr>
        <w:t xml:space="preserve">wrote about the meaning and messages by </w:t>
      </w:r>
      <w:r w:rsidR="00A554F9" w:rsidRPr="008A74D0">
        <w:rPr>
          <w:lang w:val="en-AU"/>
        </w:rPr>
        <w:t xml:space="preserve">comparing </w:t>
      </w:r>
      <w:r w:rsidR="003E12FA" w:rsidRPr="008A74D0">
        <w:rPr>
          <w:lang w:val="en-AU"/>
        </w:rPr>
        <w:t>the different styles of the artworks, the techniques each artist used to depict the subject matter and what was happening in society at the time</w:t>
      </w:r>
      <w:r w:rsidR="00573E44" w:rsidRPr="008A74D0">
        <w:rPr>
          <w:lang w:val="en-AU"/>
        </w:rPr>
        <w:t xml:space="preserve"> the artwork was made</w:t>
      </w:r>
      <w:r w:rsidR="003E12FA" w:rsidRPr="008A74D0">
        <w:rPr>
          <w:lang w:val="en-AU"/>
        </w:rPr>
        <w:t>. Sometimes class was also mentioned in relation to the meaning and messages. Some students talked about the difference in relationships between the different characters in the artworks.</w:t>
      </w:r>
    </w:p>
    <w:p w14:paraId="25158C17" w14:textId="77777777" w:rsidR="004E4FFF" w:rsidRPr="008A74D0" w:rsidRDefault="004E4FFF" w:rsidP="004E4FFF">
      <w:pPr>
        <w:pStyle w:val="VCAAbody"/>
        <w:rPr>
          <w:lang w:val="en-AU"/>
        </w:rPr>
      </w:pPr>
      <w:r w:rsidRPr="008A74D0">
        <w:rPr>
          <w:lang w:val="en-AU"/>
        </w:rPr>
        <w:t>The following is an example of a high-scoring response.</w:t>
      </w:r>
    </w:p>
    <w:p w14:paraId="309014E9" w14:textId="4C8CEB51" w:rsidR="00502DE8" w:rsidRPr="008A74D0" w:rsidRDefault="003E12FA" w:rsidP="00053457">
      <w:pPr>
        <w:pStyle w:val="VCAAstudentresponse"/>
        <w:rPr>
          <w:lang w:val="en-AU"/>
        </w:rPr>
      </w:pPr>
      <w:r w:rsidRPr="008A74D0">
        <w:rPr>
          <w:lang w:val="en-AU"/>
        </w:rPr>
        <w:t xml:space="preserve">Both Fontana and Wood explore the role of music; however, whereas Fontana portrays music as nurturing, Wood expands on its ability to invigorate and revitalise. Both the artworks reflect their respective eras, as Fontana’s almost chiaroscuro style and desaturated colours of pallid yellow and muted red mirror a classical upholding of restraint and dignity, whereas Wood’s block colours, primarily carmine red, gold and green, convey the boldness and invigoration of pop art in the 2000s. These differences in style also convey the respective roles of music. Fontana’s use of realistic form and tone conveys a sense of sensibility in the subject’s piano playing, thereby connoting music as a source of learning and self-betterment. Conversely, the lack of line-art tracing the figures in Wood’s artwork literally blends them in with the background, thus suggesting an immersive experience in the band. Indeed, this contrast is further emphasised by how Fontana’s subject breaks the fourth wall, staring into the viewer’s eyes as if imploring them to join her in her musical studies, whereas Wood’s three musicians primarily look at their </w:t>
      </w:r>
      <w:r w:rsidR="004F2E4C" w:rsidRPr="008A74D0">
        <w:rPr>
          <w:lang w:val="en-AU"/>
        </w:rPr>
        <w:t>o</w:t>
      </w:r>
      <w:r w:rsidRPr="008A74D0">
        <w:rPr>
          <w:lang w:val="en-AU"/>
        </w:rPr>
        <w:t>wn instruments, thereby creating a self-contained composition which viewers are invited to see, but not join. Ultimately, both artworks portray the varying roles of music in their respective eras, as Fontana demonstrates the ability of music to be nurturing and sensible, while conversely, Wood upholds the immersive and invigorating experience of contemporary pop.</w:t>
      </w:r>
    </w:p>
    <w:p w14:paraId="75CE2533" w14:textId="7CB7C2C3" w:rsidR="00502DE8" w:rsidRPr="008A74D0" w:rsidRDefault="00502DE8" w:rsidP="00053457">
      <w:pPr>
        <w:pStyle w:val="VCAAHeading2"/>
        <w:rPr>
          <w:lang w:val="en-AU"/>
        </w:rPr>
      </w:pPr>
      <w:r w:rsidRPr="008A74D0">
        <w:rPr>
          <w:lang w:val="en-AU"/>
        </w:rPr>
        <w:t>Question 4</w:t>
      </w:r>
    </w:p>
    <w:tbl>
      <w:tblPr>
        <w:tblStyle w:val="VCAATableClosed1"/>
        <w:tblW w:w="4266" w:type="pct"/>
        <w:tblInd w:w="113" w:type="dxa"/>
        <w:tblLook w:val="04A0" w:firstRow="1" w:lastRow="0" w:firstColumn="1" w:lastColumn="0" w:noHBand="0" w:noVBand="1"/>
        <w:tblCaption w:val="Table one"/>
        <w:tblDescription w:val="VCAA closed table style"/>
      </w:tblPr>
      <w:tblGrid>
        <w:gridCol w:w="862"/>
        <w:gridCol w:w="576"/>
        <w:gridCol w:w="577"/>
        <w:gridCol w:w="577"/>
        <w:gridCol w:w="577"/>
        <w:gridCol w:w="577"/>
        <w:gridCol w:w="577"/>
        <w:gridCol w:w="577"/>
        <w:gridCol w:w="577"/>
        <w:gridCol w:w="577"/>
        <w:gridCol w:w="577"/>
        <w:gridCol w:w="577"/>
        <w:gridCol w:w="1007"/>
      </w:tblGrid>
      <w:tr w:rsidR="009311D4" w:rsidRPr="008A74D0" w14:paraId="5EE8B26B" w14:textId="77777777" w:rsidTr="009311D4">
        <w:trPr>
          <w:cnfStyle w:val="100000000000" w:firstRow="1" w:lastRow="0" w:firstColumn="0" w:lastColumn="0" w:oddVBand="0" w:evenVBand="0" w:oddHBand="0" w:evenHBand="0" w:firstRowFirstColumn="0" w:firstRowLastColumn="0" w:lastRowFirstColumn="0" w:lastRowLastColumn="0"/>
          <w:tblHeader/>
        </w:trPr>
        <w:tc>
          <w:tcPr>
            <w:tcW w:w="525" w:type="pct"/>
            <w:tcBorders>
              <w:top w:val="single" w:sz="4" w:space="0" w:color="000000" w:themeColor="text1"/>
              <w:left w:val="single" w:sz="4" w:space="0" w:color="000000" w:themeColor="text1"/>
              <w:bottom w:val="single" w:sz="4" w:space="0" w:color="000000" w:themeColor="text1"/>
            </w:tcBorders>
            <w:hideMark/>
          </w:tcPr>
          <w:p w14:paraId="202C5EBF" w14:textId="77777777" w:rsidR="00B10493" w:rsidRPr="008A74D0" w:rsidRDefault="00B10493" w:rsidP="004D2407">
            <w:pPr>
              <w:pStyle w:val="VCAAtablecondensedheading"/>
              <w:rPr>
                <w:lang w:val="en-AU"/>
              </w:rPr>
            </w:pPr>
            <w:r w:rsidRPr="008A74D0">
              <w:rPr>
                <w:lang w:val="en-AU"/>
              </w:rPr>
              <w:t xml:space="preserve">Marks </w:t>
            </w:r>
          </w:p>
        </w:tc>
        <w:tc>
          <w:tcPr>
            <w:tcW w:w="351" w:type="pct"/>
            <w:tcBorders>
              <w:top w:val="single" w:sz="4" w:space="0" w:color="000000" w:themeColor="text1"/>
              <w:bottom w:val="single" w:sz="4" w:space="0" w:color="000000" w:themeColor="text1"/>
            </w:tcBorders>
            <w:hideMark/>
          </w:tcPr>
          <w:p w14:paraId="613B76EA" w14:textId="77777777" w:rsidR="00B10493" w:rsidRPr="008A74D0" w:rsidRDefault="00B10493" w:rsidP="00221D31">
            <w:pPr>
              <w:pStyle w:val="VCAAtablecondensedheading"/>
              <w:rPr>
                <w:lang w:val="en-AU"/>
              </w:rPr>
            </w:pPr>
            <w:r w:rsidRPr="008A74D0">
              <w:rPr>
                <w:lang w:val="en-AU"/>
              </w:rPr>
              <w:t>0</w:t>
            </w:r>
          </w:p>
        </w:tc>
        <w:tc>
          <w:tcPr>
            <w:tcW w:w="351" w:type="pct"/>
            <w:tcBorders>
              <w:top w:val="single" w:sz="4" w:space="0" w:color="000000" w:themeColor="text1"/>
              <w:bottom w:val="single" w:sz="4" w:space="0" w:color="000000" w:themeColor="text1"/>
            </w:tcBorders>
            <w:hideMark/>
          </w:tcPr>
          <w:p w14:paraId="414DCB52" w14:textId="77777777" w:rsidR="00B10493" w:rsidRPr="008A74D0" w:rsidRDefault="00B10493" w:rsidP="00221D31">
            <w:pPr>
              <w:pStyle w:val="VCAAtablecondensedheading"/>
              <w:rPr>
                <w:lang w:val="en-AU"/>
              </w:rPr>
            </w:pPr>
            <w:r w:rsidRPr="008A74D0">
              <w:rPr>
                <w:lang w:val="en-AU"/>
              </w:rPr>
              <w:t>1</w:t>
            </w:r>
          </w:p>
        </w:tc>
        <w:tc>
          <w:tcPr>
            <w:tcW w:w="351" w:type="pct"/>
            <w:tcBorders>
              <w:top w:val="single" w:sz="4" w:space="0" w:color="000000" w:themeColor="text1"/>
              <w:bottom w:val="single" w:sz="4" w:space="0" w:color="000000" w:themeColor="text1"/>
            </w:tcBorders>
            <w:hideMark/>
          </w:tcPr>
          <w:p w14:paraId="607DDA3C" w14:textId="77777777" w:rsidR="00B10493" w:rsidRPr="008A74D0" w:rsidRDefault="00B10493" w:rsidP="00221D31">
            <w:pPr>
              <w:pStyle w:val="VCAAtablecondensedheading"/>
              <w:rPr>
                <w:lang w:val="en-AU"/>
              </w:rPr>
            </w:pPr>
            <w:r w:rsidRPr="008A74D0">
              <w:rPr>
                <w:lang w:val="en-AU"/>
              </w:rPr>
              <w:t>2</w:t>
            </w:r>
          </w:p>
        </w:tc>
        <w:tc>
          <w:tcPr>
            <w:tcW w:w="351" w:type="pct"/>
            <w:tcBorders>
              <w:top w:val="single" w:sz="4" w:space="0" w:color="000000" w:themeColor="text1"/>
              <w:bottom w:val="single" w:sz="4" w:space="0" w:color="000000" w:themeColor="text1"/>
            </w:tcBorders>
            <w:hideMark/>
          </w:tcPr>
          <w:p w14:paraId="572A1AA5" w14:textId="77777777" w:rsidR="00B10493" w:rsidRPr="008A74D0" w:rsidRDefault="00B10493" w:rsidP="00221D31">
            <w:pPr>
              <w:pStyle w:val="VCAAtablecondensedheading"/>
              <w:rPr>
                <w:lang w:val="en-AU"/>
              </w:rPr>
            </w:pPr>
            <w:r w:rsidRPr="008A74D0">
              <w:rPr>
                <w:lang w:val="en-AU"/>
              </w:rPr>
              <w:t>3</w:t>
            </w:r>
          </w:p>
        </w:tc>
        <w:tc>
          <w:tcPr>
            <w:tcW w:w="351" w:type="pct"/>
            <w:tcBorders>
              <w:top w:val="single" w:sz="4" w:space="0" w:color="000000" w:themeColor="text1"/>
              <w:bottom w:val="single" w:sz="4" w:space="0" w:color="000000" w:themeColor="text1"/>
            </w:tcBorders>
            <w:hideMark/>
          </w:tcPr>
          <w:p w14:paraId="054D0689" w14:textId="77777777" w:rsidR="00B10493" w:rsidRPr="008A74D0" w:rsidRDefault="00B10493" w:rsidP="00221D31">
            <w:pPr>
              <w:pStyle w:val="VCAAtablecondensedheading"/>
              <w:rPr>
                <w:lang w:val="en-AU"/>
              </w:rPr>
            </w:pPr>
            <w:r w:rsidRPr="008A74D0">
              <w:rPr>
                <w:lang w:val="en-AU"/>
              </w:rPr>
              <w:t>4</w:t>
            </w:r>
          </w:p>
        </w:tc>
        <w:tc>
          <w:tcPr>
            <w:tcW w:w="351" w:type="pct"/>
            <w:tcBorders>
              <w:top w:val="single" w:sz="4" w:space="0" w:color="000000" w:themeColor="text1"/>
              <w:bottom w:val="single" w:sz="4" w:space="0" w:color="000000" w:themeColor="text1"/>
            </w:tcBorders>
            <w:hideMark/>
          </w:tcPr>
          <w:p w14:paraId="77005A08" w14:textId="77777777" w:rsidR="00B10493" w:rsidRPr="008A74D0" w:rsidRDefault="00B10493" w:rsidP="00221D31">
            <w:pPr>
              <w:pStyle w:val="VCAAtablecondensedheading"/>
              <w:rPr>
                <w:lang w:val="en-AU"/>
              </w:rPr>
            </w:pPr>
            <w:r w:rsidRPr="008A74D0">
              <w:rPr>
                <w:lang w:val="en-AU"/>
              </w:rPr>
              <w:t>5</w:t>
            </w:r>
          </w:p>
        </w:tc>
        <w:tc>
          <w:tcPr>
            <w:tcW w:w="351" w:type="pct"/>
            <w:tcBorders>
              <w:top w:val="single" w:sz="4" w:space="0" w:color="000000" w:themeColor="text1"/>
              <w:bottom w:val="single" w:sz="4" w:space="0" w:color="000000" w:themeColor="text1"/>
            </w:tcBorders>
            <w:hideMark/>
          </w:tcPr>
          <w:p w14:paraId="638AE1CF" w14:textId="77777777" w:rsidR="00B10493" w:rsidRPr="008A74D0" w:rsidRDefault="00B10493" w:rsidP="00221D31">
            <w:pPr>
              <w:pStyle w:val="VCAAtablecondensedheading"/>
              <w:rPr>
                <w:lang w:val="en-AU"/>
              </w:rPr>
            </w:pPr>
            <w:r w:rsidRPr="008A74D0">
              <w:rPr>
                <w:lang w:val="en-AU"/>
              </w:rPr>
              <w:t>6</w:t>
            </w:r>
          </w:p>
        </w:tc>
        <w:tc>
          <w:tcPr>
            <w:tcW w:w="351" w:type="pct"/>
            <w:tcBorders>
              <w:top w:val="single" w:sz="4" w:space="0" w:color="000000" w:themeColor="text1"/>
              <w:bottom w:val="single" w:sz="4" w:space="0" w:color="000000" w:themeColor="text1"/>
            </w:tcBorders>
            <w:hideMark/>
          </w:tcPr>
          <w:p w14:paraId="6205BA9B" w14:textId="77777777" w:rsidR="00B10493" w:rsidRPr="008A74D0" w:rsidRDefault="00B10493" w:rsidP="00221D31">
            <w:pPr>
              <w:pStyle w:val="VCAAtablecondensedheading"/>
              <w:rPr>
                <w:lang w:val="en-AU"/>
              </w:rPr>
            </w:pPr>
            <w:r w:rsidRPr="008A74D0">
              <w:rPr>
                <w:lang w:val="en-AU"/>
              </w:rPr>
              <w:t>7</w:t>
            </w:r>
          </w:p>
        </w:tc>
        <w:tc>
          <w:tcPr>
            <w:tcW w:w="351" w:type="pct"/>
            <w:tcBorders>
              <w:top w:val="single" w:sz="4" w:space="0" w:color="000000" w:themeColor="text1"/>
              <w:bottom w:val="single" w:sz="4" w:space="0" w:color="000000" w:themeColor="text1"/>
            </w:tcBorders>
            <w:hideMark/>
          </w:tcPr>
          <w:p w14:paraId="10D4C88B" w14:textId="77777777" w:rsidR="00B10493" w:rsidRPr="008A74D0" w:rsidRDefault="00B10493" w:rsidP="00221D31">
            <w:pPr>
              <w:pStyle w:val="VCAAtablecondensedheading"/>
              <w:rPr>
                <w:lang w:val="en-AU"/>
              </w:rPr>
            </w:pPr>
            <w:r w:rsidRPr="008A74D0">
              <w:rPr>
                <w:lang w:val="en-AU"/>
              </w:rPr>
              <w:t>8</w:t>
            </w:r>
          </w:p>
        </w:tc>
        <w:tc>
          <w:tcPr>
            <w:tcW w:w="351" w:type="pct"/>
            <w:tcBorders>
              <w:top w:val="single" w:sz="4" w:space="0" w:color="000000" w:themeColor="text1"/>
              <w:bottom w:val="single" w:sz="4" w:space="0" w:color="000000" w:themeColor="text1"/>
            </w:tcBorders>
            <w:hideMark/>
          </w:tcPr>
          <w:p w14:paraId="4E1E361E" w14:textId="77777777" w:rsidR="00B10493" w:rsidRPr="008A74D0" w:rsidRDefault="00B10493" w:rsidP="00221D31">
            <w:pPr>
              <w:pStyle w:val="VCAAtablecondensedheading"/>
              <w:rPr>
                <w:lang w:val="en-AU"/>
              </w:rPr>
            </w:pPr>
            <w:r w:rsidRPr="008A74D0">
              <w:rPr>
                <w:lang w:val="en-AU"/>
              </w:rPr>
              <w:t>9</w:t>
            </w:r>
          </w:p>
        </w:tc>
        <w:tc>
          <w:tcPr>
            <w:tcW w:w="351" w:type="pct"/>
            <w:tcBorders>
              <w:top w:val="single" w:sz="4" w:space="0" w:color="000000" w:themeColor="text1"/>
              <w:bottom w:val="single" w:sz="4" w:space="0" w:color="000000" w:themeColor="text1"/>
            </w:tcBorders>
            <w:hideMark/>
          </w:tcPr>
          <w:p w14:paraId="780EEA85" w14:textId="77777777" w:rsidR="00B10493" w:rsidRPr="008A74D0" w:rsidRDefault="00B10493" w:rsidP="00221D31">
            <w:pPr>
              <w:pStyle w:val="VCAAtablecondensedheading"/>
              <w:rPr>
                <w:lang w:val="en-AU"/>
              </w:rPr>
            </w:pPr>
            <w:r w:rsidRPr="008A74D0">
              <w:rPr>
                <w:lang w:val="en-AU"/>
              </w:rPr>
              <w:t>10</w:t>
            </w:r>
          </w:p>
        </w:tc>
        <w:tc>
          <w:tcPr>
            <w:tcW w:w="613" w:type="pct"/>
            <w:tcBorders>
              <w:top w:val="single" w:sz="4" w:space="0" w:color="000000" w:themeColor="text1"/>
              <w:bottom w:val="single" w:sz="4" w:space="0" w:color="000000" w:themeColor="text1"/>
              <w:right w:val="single" w:sz="4" w:space="0" w:color="000000" w:themeColor="text1"/>
            </w:tcBorders>
            <w:hideMark/>
          </w:tcPr>
          <w:p w14:paraId="6F47F769" w14:textId="77777777" w:rsidR="00B10493" w:rsidRPr="008A74D0" w:rsidRDefault="00B10493" w:rsidP="00221D31">
            <w:pPr>
              <w:pStyle w:val="VCAAtablecondensedheading"/>
              <w:rPr>
                <w:lang w:val="en-AU"/>
              </w:rPr>
            </w:pPr>
            <w:r w:rsidRPr="008A74D0">
              <w:rPr>
                <w:lang w:val="en-AU"/>
              </w:rPr>
              <w:t>Average</w:t>
            </w:r>
          </w:p>
        </w:tc>
      </w:tr>
      <w:tr w:rsidR="009311D4" w:rsidRPr="008A74D0" w14:paraId="45825EE4" w14:textId="77777777" w:rsidTr="009311D4">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E842F" w14:textId="77777777" w:rsidR="00B10493" w:rsidRPr="008A74D0" w:rsidRDefault="00B10493">
            <w:pPr>
              <w:pStyle w:val="VCAAtablecondensed"/>
              <w:rPr>
                <w:lang w:val="en-AU"/>
              </w:rPr>
            </w:pPr>
            <w:r w:rsidRPr="008A74D0">
              <w:rPr>
                <w:lang w:val="en-AU"/>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F29D" w14:textId="5578F492" w:rsidR="00B10493" w:rsidRPr="008A74D0" w:rsidRDefault="004F2E4C">
            <w:pPr>
              <w:pStyle w:val="VCAAtablecondensed"/>
              <w:rPr>
                <w:lang w:val="en-AU"/>
              </w:rPr>
            </w:pPr>
            <w:r w:rsidRPr="008A74D0">
              <w:rPr>
                <w:lang w:val="en-AU"/>
              </w:rPr>
              <w:t>3</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54E79" w14:textId="2F638730" w:rsidR="00B10493" w:rsidRPr="008A74D0" w:rsidRDefault="004F2E4C">
            <w:pPr>
              <w:pStyle w:val="VCAAtablecondensed"/>
              <w:rPr>
                <w:lang w:val="en-AU"/>
              </w:rPr>
            </w:pPr>
            <w:r w:rsidRPr="008A74D0">
              <w:rPr>
                <w:lang w:val="en-AU"/>
              </w:rPr>
              <w:t>0.5</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3ED8" w14:textId="169AED6B" w:rsidR="00B10493" w:rsidRPr="008A74D0" w:rsidRDefault="004F2E4C">
            <w:pPr>
              <w:pStyle w:val="VCAAtablecondensed"/>
              <w:rPr>
                <w:lang w:val="en-AU"/>
              </w:rPr>
            </w:pPr>
            <w:r w:rsidRPr="008A74D0">
              <w:rPr>
                <w:lang w:val="en-AU"/>
              </w:rPr>
              <w:t>2</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79180" w14:textId="74A45532" w:rsidR="00B10493" w:rsidRPr="008A74D0" w:rsidRDefault="004F2E4C">
            <w:pPr>
              <w:pStyle w:val="VCAAtablecondensed"/>
              <w:rPr>
                <w:lang w:val="en-AU"/>
              </w:rPr>
            </w:pPr>
            <w:r w:rsidRPr="008A74D0">
              <w:rPr>
                <w:lang w:val="en-AU"/>
              </w:rPr>
              <w:t>3</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5BBB6" w14:textId="26DB2460" w:rsidR="00B10493" w:rsidRPr="008A74D0" w:rsidRDefault="004F2E4C">
            <w:pPr>
              <w:pStyle w:val="VCAAtablecondensed"/>
              <w:rPr>
                <w:lang w:val="en-AU"/>
              </w:rPr>
            </w:pPr>
            <w:r w:rsidRPr="008A74D0">
              <w:rPr>
                <w:lang w:val="en-AU"/>
              </w:rPr>
              <w:t>10</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F148" w14:textId="3D5DFB2F" w:rsidR="00B10493" w:rsidRPr="008A74D0" w:rsidRDefault="004F2E4C">
            <w:pPr>
              <w:pStyle w:val="VCAAtablecondensed"/>
              <w:rPr>
                <w:lang w:val="en-AU"/>
              </w:rPr>
            </w:pPr>
            <w:r w:rsidRPr="008A74D0">
              <w:rPr>
                <w:lang w:val="en-AU"/>
              </w:rPr>
              <w:t>15</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B51E3" w14:textId="070E7039" w:rsidR="00B10493" w:rsidRPr="008A74D0" w:rsidRDefault="004F2E4C">
            <w:pPr>
              <w:pStyle w:val="VCAAtablecondensed"/>
              <w:rPr>
                <w:lang w:val="en-AU"/>
              </w:rPr>
            </w:pPr>
            <w:r w:rsidRPr="008A74D0">
              <w:rPr>
                <w:lang w:val="en-AU"/>
              </w:rPr>
              <w:t>16</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16B12" w14:textId="67D37B72" w:rsidR="00B10493" w:rsidRPr="008A74D0" w:rsidRDefault="004F2E4C">
            <w:pPr>
              <w:pStyle w:val="VCAAtablecondensed"/>
              <w:rPr>
                <w:lang w:val="en-AU"/>
              </w:rPr>
            </w:pPr>
            <w:r w:rsidRPr="008A74D0">
              <w:rPr>
                <w:lang w:val="en-AU"/>
              </w:rPr>
              <w:t>18</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58A2C" w14:textId="0D6FB7F2" w:rsidR="00B10493" w:rsidRPr="008A74D0" w:rsidRDefault="004F2E4C">
            <w:pPr>
              <w:pStyle w:val="VCAAtablecondensed"/>
              <w:rPr>
                <w:lang w:val="en-AU"/>
              </w:rPr>
            </w:pPr>
            <w:r w:rsidRPr="008A74D0">
              <w:rPr>
                <w:lang w:val="en-AU"/>
              </w:rPr>
              <w:t>14</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2A4E7" w14:textId="4EA0BD8E" w:rsidR="00B10493" w:rsidRPr="008A74D0" w:rsidRDefault="004F2E4C">
            <w:pPr>
              <w:pStyle w:val="VCAAtablecondensed"/>
              <w:rPr>
                <w:lang w:val="en-AU"/>
              </w:rPr>
            </w:pPr>
            <w:r w:rsidRPr="008A74D0">
              <w:rPr>
                <w:lang w:val="en-AU"/>
              </w:rPr>
              <w:t>12</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39D6" w14:textId="380660CF" w:rsidR="00B10493" w:rsidRPr="008A74D0" w:rsidRDefault="004F2E4C">
            <w:pPr>
              <w:pStyle w:val="VCAAtablecondensed"/>
              <w:rPr>
                <w:lang w:val="en-AU"/>
              </w:rPr>
            </w:pPr>
            <w:r w:rsidRPr="008A74D0">
              <w:rPr>
                <w:lang w:val="en-AU"/>
              </w:rPr>
              <w:t>8</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B3C3" w14:textId="7BEE150A" w:rsidR="00B10493" w:rsidRPr="008A74D0" w:rsidRDefault="004F2E4C">
            <w:pPr>
              <w:pStyle w:val="VCAAtablecondensed"/>
              <w:rPr>
                <w:lang w:val="en-AU"/>
              </w:rPr>
            </w:pPr>
            <w:r w:rsidRPr="008A74D0">
              <w:rPr>
                <w:lang w:val="en-AU"/>
              </w:rPr>
              <w:t>6.</w:t>
            </w:r>
            <w:r w:rsidR="00DE28AB" w:rsidRPr="008A74D0">
              <w:rPr>
                <w:lang w:val="en-AU"/>
              </w:rPr>
              <w:t>4</w:t>
            </w:r>
            <w:r w:rsidRPr="008A74D0">
              <w:rPr>
                <w:lang w:val="en-AU"/>
              </w:rPr>
              <w:t>5</w:t>
            </w:r>
          </w:p>
        </w:tc>
      </w:tr>
    </w:tbl>
    <w:p w14:paraId="6DDAB08B" w14:textId="5F0E6151" w:rsidR="004F2E4C" w:rsidRPr="008A74D0" w:rsidRDefault="003E12FA" w:rsidP="004E4FFF">
      <w:pPr>
        <w:pStyle w:val="VCAAbody"/>
        <w:rPr>
          <w:lang w:val="en-AU"/>
        </w:rPr>
      </w:pPr>
      <w:r w:rsidRPr="008A74D0">
        <w:rPr>
          <w:lang w:val="en-AU"/>
        </w:rPr>
        <w:t xml:space="preserve">Question </w:t>
      </w:r>
      <w:r w:rsidR="004F2E4C" w:rsidRPr="008A74D0">
        <w:rPr>
          <w:lang w:val="en-AU"/>
        </w:rPr>
        <w:t>4</w:t>
      </w:r>
      <w:r w:rsidRPr="008A74D0">
        <w:rPr>
          <w:lang w:val="en-AU"/>
        </w:rPr>
        <w:t xml:space="preserve"> ask</w:t>
      </w:r>
      <w:r w:rsidR="004F2E4C" w:rsidRPr="008A74D0">
        <w:rPr>
          <w:lang w:val="en-AU"/>
        </w:rPr>
        <w:t>ed</w:t>
      </w:r>
      <w:r w:rsidRPr="008A74D0">
        <w:rPr>
          <w:lang w:val="en-AU"/>
        </w:rPr>
        <w:t xml:space="preserve"> students to discuss </w:t>
      </w:r>
      <w:r w:rsidR="001020AC" w:rsidRPr="008A74D0">
        <w:rPr>
          <w:lang w:val="en-AU"/>
        </w:rPr>
        <w:t xml:space="preserve">the art process that </w:t>
      </w:r>
      <w:r w:rsidRPr="008A74D0">
        <w:rPr>
          <w:lang w:val="en-AU"/>
        </w:rPr>
        <w:t>Australian artist Brett Whiteley</w:t>
      </w:r>
      <w:r w:rsidR="001020AC" w:rsidRPr="008A74D0">
        <w:rPr>
          <w:lang w:val="en-AU"/>
        </w:rPr>
        <w:t xml:space="preserve"> </w:t>
      </w:r>
      <w:r w:rsidR="008110B0" w:rsidRPr="008A74D0">
        <w:rPr>
          <w:lang w:val="en-AU"/>
        </w:rPr>
        <w:t>used</w:t>
      </w:r>
      <w:r w:rsidR="001020AC" w:rsidRPr="008A74D0">
        <w:rPr>
          <w:lang w:val="en-AU"/>
        </w:rPr>
        <w:t xml:space="preserve"> to resolve ideas, directions and concepts for the artwork </w:t>
      </w:r>
      <w:r w:rsidR="001020AC" w:rsidRPr="008A74D0">
        <w:rPr>
          <w:i/>
          <w:iCs/>
          <w:lang w:val="en-AU"/>
        </w:rPr>
        <w:t>Self portrait in the studio</w:t>
      </w:r>
      <w:r w:rsidR="000A0F80">
        <w:rPr>
          <w:i/>
          <w:iCs/>
          <w:lang w:val="en-AU"/>
        </w:rPr>
        <w:t>,</w:t>
      </w:r>
      <w:r w:rsidRPr="008A74D0">
        <w:rPr>
          <w:lang w:val="en-AU"/>
        </w:rPr>
        <w:t xml:space="preserve"> and use the illustrated images to support their discussion. Four images were provided: one ink drawing, a self-portrait using his hair (</w:t>
      </w:r>
      <w:r w:rsidRPr="008A74D0">
        <w:rPr>
          <w:rStyle w:val="VCAAitalics"/>
          <w:lang w:val="en-AU"/>
        </w:rPr>
        <w:t>Self portrait after a haircut at 36</w:t>
      </w:r>
      <w:r w:rsidRPr="008A74D0">
        <w:rPr>
          <w:lang w:val="en-AU"/>
        </w:rPr>
        <w:t>, 1976), a photograph of Brett Whiteley working in the studio (by Robert Walker), and his Archibald prize-winning self-portrait (</w:t>
      </w:r>
      <w:r w:rsidRPr="008A74D0">
        <w:rPr>
          <w:rStyle w:val="VCAAitalics"/>
          <w:lang w:val="en-AU"/>
        </w:rPr>
        <w:t>Self portrait in the studio</w:t>
      </w:r>
      <w:r w:rsidRPr="008A74D0">
        <w:rPr>
          <w:lang w:val="en-AU"/>
        </w:rPr>
        <w:t xml:space="preserve">, 1976). </w:t>
      </w:r>
    </w:p>
    <w:p w14:paraId="7D8181B6" w14:textId="09B3B758" w:rsidR="003E12FA" w:rsidRPr="008A74D0" w:rsidRDefault="003E12FA" w:rsidP="00053457">
      <w:pPr>
        <w:pStyle w:val="VCAAbody"/>
        <w:rPr>
          <w:lang w:val="en-AU"/>
        </w:rPr>
      </w:pPr>
      <w:r w:rsidRPr="008A74D0">
        <w:rPr>
          <w:lang w:val="en-AU"/>
        </w:rPr>
        <w:t xml:space="preserve">Most students could list visual information from the images, such as Whiteley's use of lines, the mirror, the figure and the room's interior. </w:t>
      </w:r>
      <w:r w:rsidR="00126319" w:rsidRPr="008A74D0">
        <w:rPr>
          <w:lang w:val="en-AU"/>
        </w:rPr>
        <w:t>Higher-</w:t>
      </w:r>
      <w:r w:rsidRPr="008A74D0">
        <w:rPr>
          <w:lang w:val="en-AU"/>
        </w:rPr>
        <w:t>scor</w:t>
      </w:r>
      <w:r w:rsidR="00126319" w:rsidRPr="008A74D0">
        <w:rPr>
          <w:lang w:val="en-AU"/>
        </w:rPr>
        <w:t>ing</w:t>
      </w:r>
      <w:r w:rsidRPr="008A74D0">
        <w:rPr>
          <w:lang w:val="en-AU"/>
        </w:rPr>
        <w:t xml:space="preserve"> </w:t>
      </w:r>
      <w:r w:rsidR="00126319" w:rsidRPr="008A74D0">
        <w:rPr>
          <w:lang w:val="en-AU"/>
        </w:rPr>
        <w:t xml:space="preserve">responses </w:t>
      </w:r>
      <w:r w:rsidRPr="008A74D0">
        <w:rPr>
          <w:lang w:val="en-AU"/>
        </w:rPr>
        <w:t xml:space="preserve">needed to connect this description with specific vocabulary associated with the art process documented in the study design. </w:t>
      </w:r>
      <w:r w:rsidR="004F2E4C" w:rsidRPr="008A74D0">
        <w:rPr>
          <w:lang w:val="en-AU"/>
        </w:rPr>
        <w:t xml:space="preserve">Students who scored highly </w:t>
      </w:r>
      <w:r w:rsidR="004F2E4C" w:rsidRPr="008A74D0">
        <w:rPr>
          <w:lang w:val="en-AU"/>
        </w:rPr>
        <w:lastRenderedPageBreak/>
        <w:t xml:space="preserve">presented a </w:t>
      </w:r>
      <w:r w:rsidRPr="008A74D0">
        <w:rPr>
          <w:lang w:val="en-AU"/>
        </w:rPr>
        <w:t>more direct and specific discussion about the resolution of ideas</w:t>
      </w:r>
      <w:r w:rsidR="00702CA0" w:rsidRPr="008A74D0">
        <w:rPr>
          <w:lang w:val="en-AU"/>
        </w:rPr>
        <w:t xml:space="preserve">, </w:t>
      </w:r>
      <w:r w:rsidRPr="008A74D0">
        <w:rPr>
          <w:lang w:val="en-AU"/>
        </w:rPr>
        <w:t>directions</w:t>
      </w:r>
      <w:r w:rsidR="00702CA0" w:rsidRPr="008A74D0">
        <w:rPr>
          <w:lang w:val="en-AU"/>
        </w:rPr>
        <w:t xml:space="preserve"> and concepts</w:t>
      </w:r>
      <w:r w:rsidRPr="008A74D0">
        <w:rPr>
          <w:lang w:val="en-AU"/>
        </w:rPr>
        <w:t xml:space="preserve"> that referenced the visual material presented in the paper. Several insightful answers made reference to details in the images that included comments on place (the Sydney harbour seen </w:t>
      </w:r>
      <w:r w:rsidR="000A0F80">
        <w:rPr>
          <w:lang w:val="en-AU"/>
        </w:rPr>
        <w:t>in</w:t>
      </w:r>
      <w:r w:rsidR="000A0F80" w:rsidRPr="008A74D0">
        <w:rPr>
          <w:lang w:val="en-AU"/>
        </w:rPr>
        <w:t xml:space="preserve"> </w:t>
      </w:r>
      <w:r w:rsidRPr="008A74D0">
        <w:rPr>
          <w:lang w:val="en-AU"/>
        </w:rPr>
        <w:t xml:space="preserve">the view </w:t>
      </w:r>
      <w:r w:rsidR="000A0F80">
        <w:rPr>
          <w:lang w:val="en-AU"/>
        </w:rPr>
        <w:t>through</w:t>
      </w:r>
      <w:r w:rsidR="000A0F80" w:rsidRPr="008A74D0">
        <w:rPr>
          <w:lang w:val="en-AU"/>
        </w:rPr>
        <w:t xml:space="preserve"> </w:t>
      </w:r>
      <w:r w:rsidRPr="008A74D0">
        <w:rPr>
          <w:lang w:val="en-AU"/>
        </w:rPr>
        <w:t xml:space="preserve">the window evident in images one and three), discussion of Whiteley’s use of his hair in his </w:t>
      </w:r>
      <w:r w:rsidR="004F2E4C" w:rsidRPr="008A74D0">
        <w:rPr>
          <w:lang w:val="en-AU"/>
        </w:rPr>
        <w:t xml:space="preserve">portrait </w:t>
      </w:r>
      <w:r w:rsidRPr="008A74D0">
        <w:rPr>
          <w:lang w:val="en-AU"/>
        </w:rPr>
        <w:t>as a mixed media artwork, his self-portrait shown as a reflection in the mirror</w:t>
      </w:r>
      <w:r w:rsidR="000A0F80">
        <w:rPr>
          <w:lang w:val="en-AU"/>
        </w:rPr>
        <w:t>,</w:t>
      </w:r>
      <w:r w:rsidRPr="008A74D0">
        <w:rPr>
          <w:lang w:val="en-AU"/>
        </w:rPr>
        <w:t xml:space="preserve"> and the inclusion of his own hands in the act of painting within the artwork itself.</w:t>
      </w:r>
    </w:p>
    <w:p w14:paraId="37329CC0" w14:textId="77777777" w:rsidR="004E4FFF" w:rsidRPr="008A74D0" w:rsidRDefault="004E4FFF" w:rsidP="004E4FFF">
      <w:pPr>
        <w:pStyle w:val="VCAAbody"/>
        <w:rPr>
          <w:lang w:val="en-AU"/>
        </w:rPr>
      </w:pPr>
      <w:r w:rsidRPr="008A74D0">
        <w:rPr>
          <w:lang w:val="en-AU"/>
        </w:rPr>
        <w:t>The following is an example of a high-scoring response.</w:t>
      </w:r>
    </w:p>
    <w:p w14:paraId="13ED6EAE" w14:textId="77777777" w:rsidR="003E12FA" w:rsidRPr="008A74D0" w:rsidRDefault="003E12FA" w:rsidP="00053457">
      <w:pPr>
        <w:pStyle w:val="VCAAstudentresponse"/>
        <w:rPr>
          <w:lang w:val="en-AU"/>
        </w:rPr>
      </w:pPr>
      <w:r w:rsidRPr="008A74D0">
        <w:rPr>
          <w:lang w:val="en-AU"/>
        </w:rPr>
        <w:t xml:space="preserve">Whiteley would have went through all the stages of the art process before resolving his final artwork ‘Self portrait in the studio’. Image 1 appears to be of the early experimental or exploration stage, as the monochromatism and simple undulating lines contrast against the bold blue and detailed forms in the resolution to suggest this is a preliminary sketch for Whiteley’s practical and conceptual investigation. However, when comparing Whiteley’s resolution in image 4 to the primary stage of exploration in image 1, it appears that his final artwork is somewhat dependent on this initial sketch, as they share a similar composition yet different in the details such as the scale of his objects and positioning of various things such as the nude statue. This would suggest that Whiteley went through more extensive development after image 1 and before his resolution in image 4. Image 2 appears to be in development as Whiteley practises his self-portrait abilities and develops visual language. This self-portrait is present in image 4 but seems to not exist in image 1, thereby suggesting a change or development in his artistic ideas. Image 3 shows Whiteley’s resolution stage and indicates previous trials at a self-portrait, such as the one in image 2, which made him so familiar with depicting himself that references were not needed. In the self-portrait in image 4, a clear connection can be seen between the orange and yellow warm colour scheme and the brunette tones in image 2, suggesting his resolution did not change much after image 2. However, it is interesting to note the bold and confident saturated colours of primarily cobalt blue used in the final, suggesting more trials before his resolution that we did not see; ultimately, his final was a good resolution of art styles, concepts and ideas previously explored. </w:t>
      </w:r>
    </w:p>
    <w:p w14:paraId="53BD9E95" w14:textId="7A28AA06" w:rsidR="000424CE" w:rsidRPr="008A74D0" w:rsidRDefault="000424CE" w:rsidP="00053457">
      <w:pPr>
        <w:pStyle w:val="VCAAHeading2"/>
        <w:rPr>
          <w:lang w:val="en-AU"/>
        </w:rPr>
      </w:pPr>
      <w:r w:rsidRPr="008A74D0">
        <w:rPr>
          <w:lang w:val="en-AU"/>
        </w:rPr>
        <w:t>Question 5</w:t>
      </w:r>
    </w:p>
    <w:tbl>
      <w:tblPr>
        <w:tblStyle w:val="VCAATableClosed"/>
        <w:tblW w:w="6480" w:type="dxa"/>
        <w:tblInd w:w="113"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1008"/>
      </w:tblGrid>
      <w:tr w:rsidR="00C2236C" w:rsidRPr="008A74D0" w14:paraId="3F6EE526" w14:textId="77777777" w:rsidTr="009311D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16E87EC6" w14:textId="500009FB" w:rsidR="00C2236C" w:rsidRPr="008A74D0" w:rsidRDefault="00C2236C" w:rsidP="004D2407">
            <w:pPr>
              <w:pStyle w:val="VCAAtablecondensedheading"/>
              <w:rPr>
                <w:lang w:val="en-AU"/>
              </w:rPr>
            </w:pPr>
            <w:r w:rsidRPr="008A74D0">
              <w:rPr>
                <w:lang w:val="en-AU"/>
              </w:rPr>
              <w:t>Marks</w:t>
            </w:r>
          </w:p>
        </w:tc>
        <w:tc>
          <w:tcPr>
            <w:tcW w:w="576" w:type="dxa"/>
            <w:tcBorders>
              <w:top w:val="single" w:sz="4" w:space="0" w:color="000000" w:themeColor="text1"/>
              <w:bottom w:val="single" w:sz="4" w:space="0" w:color="000000" w:themeColor="text1"/>
            </w:tcBorders>
            <w:hideMark/>
          </w:tcPr>
          <w:p w14:paraId="70541DC3" w14:textId="77777777" w:rsidR="00C2236C" w:rsidRPr="008A74D0" w:rsidRDefault="00C2236C" w:rsidP="00221D31">
            <w:pPr>
              <w:pStyle w:val="VCAAtablecondensedheading"/>
              <w:rPr>
                <w:lang w:val="en-AU"/>
              </w:rPr>
            </w:pPr>
            <w:r w:rsidRPr="008A74D0">
              <w:rPr>
                <w:lang w:val="en-AU"/>
              </w:rPr>
              <w:t>0</w:t>
            </w:r>
          </w:p>
        </w:tc>
        <w:tc>
          <w:tcPr>
            <w:tcW w:w="576" w:type="dxa"/>
            <w:tcBorders>
              <w:top w:val="single" w:sz="4" w:space="0" w:color="000000" w:themeColor="text1"/>
              <w:bottom w:val="single" w:sz="4" w:space="0" w:color="000000" w:themeColor="text1"/>
            </w:tcBorders>
            <w:hideMark/>
          </w:tcPr>
          <w:p w14:paraId="6606A5A4" w14:textId="77777777" w:rsidR="00C2236C" w:rsidRPr="008A74D0" w:rsidRDefault="00C2236C" w:rsidP="00221D31">
            <w:pPr>
              <w:pStyle w:val="VCAAtablecondensedheading"/>
              <w:rPr>
                <w:lang w:val="en-AU"/>
              </w:rPr>
            </w:pPr>
            <w:r w:rsidRPr="008A74D0">
              <w:rPr>
                <w:lang w:val="en-AU"/>
              </w:rPr>
              <w:t>1</w:t>
            </w:r>
          </w:p>
        </w:tc>
        <w:tc>
          <w:tcPr>
            <w:tcW w:w="576" w:type="dxa"/>
            <w:tcBorders>
              <w:top w:val="single" w:sz="4" w:space="0" w:color="000000" w:themeColor="text1"/>
              <w:bottom w:val="single" w:sz="4" w:space="0" w:color="000000" w:themeColor="text1"/>
            </w:tcBorders>
            <w:hideMark/>
          </w:tcPr>
          <w:p w14:paraId="280D82AF" w14:textId="77777777" w:rsidR="00C2236C" w:rsidRPr="008A74D0" w:rsidRDefault="00C2236C" w:rsidP="00221D31">
            <w:pPr>
              <w:pStyle w:val="VCAAtablecondensedheading"/>
              <w:rPr>
                <w:lang w:val="en-AU"/>
              </w:rPr>
            </w:pPr>
            <w:r w:rsidRPr="008A74D0">
              <w:rPr>
                <w:lang w:val="en-AU"/>
              </w:rPr>
              <w:t>2</w:t>
            </w:r>
          </w:p>
        </w:tc>
        <w:tc>
          <w:tcPr>
            <w:tcW w:w="576" w:type="dxa"/>
            <w:tcBorders>
              <w:top w:val="single" w:sz="4" w:space="0" w:color="000000" w:themeColor="text1"/>
              <w:bottom w:val="single" w:sz="4" w:space="0" w:color="000000" w:themeColor="text1"/>
            </w:tcBorders>
            <w:hideMark/>
          </w:tcPr>
          <w:p w14:paraId="295B41F3" w14:textId="77777777" w:rsidR="00C2236C" w:rsidRPr="008A74D0" w:rsidRDefault="00C2236C" w:rsidP="00221D31">
            <w:pPr>
              <w:pStyle w:val="VCAAtablecondensedheading"/>
              <w:rPr>
                <w:lang w:val="en-AU"/>
              </w:rPr>
            </w:pPr>
            <w:r w:rsidRPr="008A74D0">
              <w:rPr>
                <w:lang w:val="en-AU"/>
              </w:rPr>
              <w:t>3</w:t>
            </w:r>
          </w:p>
        </w:tc>
        <w:tc>
          <w:tcPr>
            <w:tcW w:w="576" w:type="dxa"/>
            <w:tcBorders>
              <w:top w:val="single" w:sz="4" w:space="0" w:color="000000" w:themeColor="text1"/>
              <w:bottom w:val="single" w:sz="4" w:space="0" w:color="000000" w:themeColor="text1"/>
            </w:tcBorders>
            <w:hideMark/>
          </w:tcPr>
          <w:p w14:paraId="2CFDE0F8" w14:textId="77777777" w:rsidR="00C2236C" w:rsidRPr="008A74D0" w:rsidRDefault="00C2236C" w:rsidP="00221D31">
            <w:pPr>
              <w:pStyle w:val="VCAAtablecondensedheading"/>
              <w:rPr>
                <w:lang w:val="en-AU"/>
              </w:rPr>
            </w:pPr>
            <w:r w:rsidRPr="008A74D0">
              <w:rPr>
                <w:lang w:val="en-AU"/>
              </w:rPr>
              <w:t>4</w:t>
            </w:r>
          </w:p>
        </w:tc>
        <w:tc>
          <w:tcPr>
            <w:tcW w:w="576" w:type="dxa"/>
            <w:tcBorders>
              <w:top w:val="single" w:sz="4" w:space="0" w:color="000000" w:themeColor="text1"/>
              <w:bottom w:val="single" w:sz="4" w:space="0" w:color="000000" w:themeColor="text1"/>
            </w:tcBorders>
            <w:hideMark/>
          </w:tcPr>
          <w:p w14:paraId="22AC4DD5" w14:textId="77777777" w:rsidR="00C2236C" w:rsidRPr="008A74D0" w:rsidRDefault="00C2236C" w:rsidP="00221D31">
            <w:pPr>
              <w:pStyle w:val="VCAAtablecondensedheading"/>
              <w:rPr>
                <w:lang w:val="en-AU"/>
              </w:rPr>
            </w:pPr>
            <w:r w:rsidRPr="008A74D0">
              <w:rPr>
                <w:lang w:val="en-AU"/>
              </w:rPr>
              <w:t>5</w:t>
            </w:r>
          </w:p>
        </w:tc>
        <w:tc>
          <w:tcPr>
            <w:tcW w:w="576" w:type="dxa"/>
            <w:tcBorders>
              <w:top w:val="single" w:sz="4" w:space="0" w:color="000000" w:themeColor="text1"/>
              <w:bottom w:val="single" w:sz="4" w:space="0" w:color="000000" w:themeColor="text1"/>
            </w:tcBorders>
            <w:hideMark/>
          </w:tcPr>
          <w:p w14:paraId="47329FA6" w14:textId="77777777" w:rsidR="00C2236C" w:rsidRPr="008A74D0" w:rsidRDefault="00C2236C" w:rsidP="00221D31">
            <w:pPr>
              <w:pStyle w:val="VCAAtablecondensedheading"/>
              <w:rPr>
                <w:lang w:val="en-AU"/>
              </w:rPr>
            </w:pPr>
            <w:r w:rsidRPr="008A74D0">
              <w:rPr>
                <w:lang w:val="en-AU"/>
              </w:rPr>
              <w:t>6</w:t>
            </w:r>
          </w:p>
        </w:tc>
        <w:tc>
          <w:tcPr>
            <w:tcW w:w="576" w:type="dxa"/>
            <w:tcBorders>
              <w:top w:val="single" w:sz="4" w:space="0" w:color="000000" w:themeColor="text1"/>
              <w:bottom w:val="single" w:sz="4" w:space="0" w:color="000000" w:themeColor="text1"/>
            </w:tcBorders>
            <w:hideMark/>
          </w:tcPr>
          <w:p w14:paraId="7C2370C7" w14:textId="77777777" w:rsidR="00C2236C" w:rsidRPr="008A74D0" w:rsidRDefault="00C2236C" w:rsidP="00221D31">
            <w:pPr>
              <w:pStyle w:val="VCAAtablecondensedheading"/>
              <w:rPr>
                <w:lang w:val="en-AU"/>
              </w:rPr>
            </w:pPr>
            <w:r w:rsidRPr="008A74D0">
              <w:rPr>
                <w:lang w:val="en-AU"/>
              </w:rPr>
              <w:t>7</w:t>
            </w:r>
          </w:p>
        </w:tc>
        <w:tc>
          <w:tcPr>
            <w:tcW w:w="1008" w:type="dxa"/>
            <w:tcBorders>
              <w:top w:val="single" w:sz="4" w:space="0" w:color="000000" w:themeColor="text1"/>
              <w:bottom w:val="single" w:sz="4" w:space="0" w:color="000000" w:themeColor="text1"/>
              <w:right w:val="single" w:sz="4" w:space="0" w:color="000000" w:themeColor="text1"/>
            </w:tcBorders>
            <w:hideMark/>
          </w:tcPr>
          <w:p w14:paraId="054EE00B" w14:textId="77777777" w:rsidR="00C2236C" w:rsidRPr="008A74D0" w:rsidRDefault="00C2236C" w:rsidP="00221D31">
            <w:pPr>
              <w:pStyle w:val="VCAAtablecondensedheading"/>
              <w:rPr>
                <w:lang w:val="en-AU"/>
              </w:rPr>
            </w:pPr>
            <w:r w:rsidRPr="008A74D0">
              <w:rPr>
                <w:lang w:val="en-AU"/>
              </w:rPr>
              <w:t>Average</w:t>
            </w:r>
          </w:p>
        </w:tc>
      </w:tr>
      <w:tr w:rsidR="00C2236C" w:rsidRPr="008A74D0" w14:paraId="6A0C5627" w14:textId="77777777" w:rsidTr="009311D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5D6C9" w14:textId="77777777" w:rsidR="00C2236C" w:rsidRPr="008A74D0" w:rsidRDefault="00C2236C">
            <w:pPr>
              <w:pStyle w:val="VCAAtablecondensed"/>
              <w:rPr>
                <w:lang w:val="en-AU"/>
              </w:rPr>
            </w:pPr>
            <w:r w:rsidRPr="008A74D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96CB" w14:textId="6F8B78BF" w:rsidR="00C2236C" w:rsidRPr="008A74D0" w:rsidRDefault="004F2E4C">
            <w:pPr>
              <w:pStyle w:val="VCAAtablecondensed"/>
              <w:rPr>
                <w:lang w:val="en-AU"/>
              </w:rPr>
            </w:pPr>
            <w:r w:rsidRPr="008A74D0">
              <w:rPr>
                <w:lang w:val="en-AU"/>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E9EF2" w14:textId="2182EA9C" w:rsidR="00C2236C" w:rsidRPr="008A74D0" w:rsidRDefault="004F2E4C">
            <w:pPr>
              <w:pStyle w:val="VCAAtablecondensed"/>
              <w:rPr>
                <w:lang w:val="en-AU"/>
              </w:rPr>
            </w:pPr>
            <w:r w:rsidRPr="008A74D0">
              <w:rPr>
                <w:lang w:val="en-AU"/>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48267" w14:textId="384D9703" w:rsidR="00C2236C" w:rsidRPr="008A74D0" w:rsidRDefault="004F2E4C">
            <w:pPr>
              <w:pStyle w:val="VCAAtablecondensed"/>
              <w:rPr>
                <w:lang w:val="en-AU"/>
              </w:rPr>
            </w:pPr>
            <w:r w:rsidRPr="008A74D0">
              <w:rPr>
                <w:lang w:val="en-AU"/>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B971C" w14:textId="283F4E0C" w:rsidR="00C2236C" w:rsidRPr="008A74D0" w:rsidRDefault="004F2E4C">
            <w:pPr>
              <w:pStyle w:val="VCAAtablecondensed"/>
              <w:rPr>
                <w:lang w:val="en-AU"/>
              </w:rPr>
            </w:pPr>
            <w:r w:rsidRPr="008A74D0">
              <w:rPr>
                <w:lang w:val="en-AU"/>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10A62" w14:textId="67C3C026" w:rsidR="00C2236C" w:rsidRPr="008A74D0" w:rsidRDefault="004F2E4C">
            <w:pPr>
              <w:pStyle w:val="VCAAtablecondensed"/>
              <w:rPr>
                <w:lang w:val="en-AU"/>
              </w:rPr>
            </w:pPr>
            <w:r w:rsidRPr="008A74D0">
              <w:rPr>
                <w:lang w:val="en-AU"/>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7F2CB" w14:textId="3A574FDF" w:rsidR="00C2236C" w:rsidRPr="008A74D0" w:rsidRDefault="004F2E4C">
            <w:pPr>
              <w:pStyle w:val="VCAAtablecondensed"/>
              <w:rPr>
                <w:lang w:val="en-AU"/>
              </w:rPr>
            </w:pPr>
            <w:r w:rsidRPr="008A74D0">
              <w:rPr>
                <w:lang w:val="en-AU"/>
              </w:rPr>
              <w:t>31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A417E" w14:textId="4615872A" w:rsidR="00C2236C" w:rsidRPr="008A74D0" w:rsidRDefault="004F2E4C">
            <w:pPr>
              <w:pStyle w:val="VCAAtablecondensed"/>
              <w:rPr>
                <w:lang w:val="en-AU"/>
              </w:rPr>
            </w:pPr>
            <w:r w:rsidRPr="008A74D0">
              <w:rPr>
                <w:lang w:val="en-AU"/>
              </w:rP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F6BB9" w14:textId="4BE7C886" w:rsidR="00C2236C" w:rsidRPr="008A74D0" w:rsidRDefault="004F2E4C">
            <w:pPr>
              <w:pStyle w:val="VCAAtablecondensed"/>
              <w:rPr>
                <w:lang w:val="en-AU"/>
              </w:rPr>
            </w:pPr>
            <w:r w:rsidRPr="008A74D0">
              <w:rPr>
                <w:lang w:val="en-AU"/>
              </w:rPr>
              <w:t>13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94300" w14:textId="540F9672" w:rsidR="00C2236C" w:rsidRPr="008A74D0" w:rsidRDefault="004F2E4C">
            <w:pPr>
              <w:pStyle w:val="VCAAtablecondensed"/>
              <w:rPr>
                <w:lang w:val="en-AU"/>
              </w:rPr>
            </w:pPr>
            <w:r w:rsidRPr="008A74D0">
              <w:rPr>
                <w:lang w:val="en-AU"/>
              </w:rPr>
              <w:t>4.9</w:t>
            </w:r>
          </w:p>
        </w:tc>
      </w:tr>
    </w:tbl>
    <w:p w14:paraId="0353C127" w14:textId="4E8D60C4" w:rsidR="004F2E4C" w:rsidRPr="008A74D0" w:rsidRDefault="004F2E4C" w:rsidP="004E4FFF">
      <w:pPr>
        <w:pStyle w:val="VCAAbody"/>
        <w:rPr>
          <w:lang w:val="en-AU"/>
        </w:rPr>
      </w:pPr>
      <w:r w:rsidRPr="008A74D0">
        <w:rPr>
          <w:lang w:val="en-AU"/>
        </w:rPr>
        <w:t>This q</w:t>
      </w:r>
      <w:r w:rsidR="003E12FA" w:rsidRPr="008A74D0">
        <w:rPr>
          <w:lang w:val="en-AU"/>
        </w:rPr>
        <w:t>uestion required students to discuss how the artwork reflected the artist’s personal philosophy and ideas</w:t>
      </w:r>
      <w:r w:rsidR="00702CA0" w:rsidRPr="008A74D0">
        <w:rPr>
          <w:lang w:val="en-AU"/>
        </w:rPr>
        <w:t xml:space="preserve"> using the personal analytical framework</w:t>
      </w:r>
      <w:r w:rsidR="00483316" w:rsidRPr="008A74D0">
        <w:rPr>
          <w:lang w:val="en-AU"/>
        </w:rPr>
        <w:t xml:space="preserve"> by including</w:t>
      </w:r>
      <w:r w:rsidR="00624617">
        <w:rPr>
          <w:lang w:val="en-AU"/>
        </w:rPr>
        <w:t xml:space="preserve"> </w:t>
      </w:r>
      <w:r w:rsidR="00483316" w:rsidRPr="008A74D0">
        <w:rPr>
          <w:lang w:val="en-AU"/>
        </w:rPr>
        <w:t xml:space="preserve">references to </w:t>
      </w:r>
      <w:r w:rsidR="003E12FA" w:rsidRPr="008A74D0">
        <w:rPr>
          <w:lang w:val="en-AU"/>
        </w:rPr>
        <w:t xml:space="preserve">the blue ‘colonial’ landscape </w:t>
      </w:r>
      <w:r w:rsidR="00483316" w:rsidRPr="008A74D0">
        <w:rPr>
          <w:lang w:val="en-AU"/>
        </w:rPr>
        <w:t xml:space="preserve">compared to the </w:t>
      </w:r>
      <w:r w:rsidR="003E12FA" w:rsidRPr="008A74D0">
        <w:rPr>
          <w:lang w:val="en-AU"/>
        </w:rPr>
        <w:t xml:space="preserve">more natural palette of the Indigenous wildlife, </w:t>
      </w:r>
      <w:r w:rsidR="00483316" w:rsidRPr="008A74D0">
        <w:rPr>
          <w:lang w:val="en-AU"/>
        </w:rPr>
        <w:t>illustrated in the foreground</w:t>
      </w:r>
      <w:r w:rsidR="003E12FA" w:rsidRPr="008A74D0">
        <w:rPr>
          <w:lang w:val="en-AU"/>
        </w:rPr>
        <w:t xml:space="preserve">. However, although </w:t>
      </w:r>
      <w:r w:rsidR="00483316" w:rsidRPr="008A74D0">
        <w:rPr>
          <w:lang w:val="en-AU"/>
        </w:rPr>
        <w:t xml:space="preserve">many responses were </w:t>
      </w:r>
      <w:r w:rsidR="003E12FA" w:rsidRPr="008A74D0">
        <w:rPr>
          <w:lang w:val="en-AU"/>
        </w:rPr>
        <w:t xml:space="preserve">well written, </w:t>
      </w:r>
      <w:r w:rsidR="00483316" w:rsidRPr="008A74D0">
        <w:rPr>
          <w:lang w:val="en-AU"/>
        </w:rPr>
        <w:t>they</w:t>
      </w:r>
      <w:r w:rsidR="003E12FA" w:rsidRPr="008A74D0">
        <w:rPr>
          <w:lang w:val="en-AU"/>
        </w:rPr>
        <w:t xml:space="preserve"> often struggled to link </w:t>
      </w:r>
      <w:r w:rsidR="00483316" w:rsidRPr="008A74D0">
        <w:rPr>
          <w:lang w:val="en-AU"/>
        </w:rPr>
        <w:t>specific subject matter</w:t>
      </w:r>
      <w:r w:rsidR="003E12FA" w:rsidRPr="008A74D0">
        <w:rPr>
          <w:lang w:val="en-AU"/>
        </w:rPr>
        <w:t xml:space="preserve"> back to the artist and sufficiently use them as evidence to support their discussion of </w:t>
      </w:r>
      <w:r w:rsidR="00483316" w:rsidRPr="008A74D0">
        <w:rPr>
          <w:lang w:val="en-AU"/>
        </w:rPr>
        <w:t>the personal framework</w:t>
      </w:r>
      <w:r w:rsidR="003E12FA" w:rsidRPr="008A74D0">
        <w:rPr>
          <w:lang w:val="en-AU"/>
        </w:rPr>
        <w:t xml:space="preserve">. </w:t>
      </w:r>
      <w:r w:rsidRPr="008A74D0">
        <w:rPr>
          <w:lang w:val="en-AU"/>
        </w:rPr>
        <w:t>They</w:t>
      </w:r>
      <w:r w:rsidR="003E12FA" w:rsidRPr="008A74D0">
        <w:rPr>
          <w:lang w:val="en-AU"/>
        </w:rPr>
        <w:t xml:space="preserve"> relied too much on the commentaries to provide the foundations for the</w:t>
      </w:r>
      <w:r w:rsidRPr="008A74D0">
        <w:rPr>
          <w:lang w:val="en-AU"/>
        </w:rPr>
        <w:t>ir</w:t>
      </w:r>
      <w:r w:rsidR="003E12FA" w:rsidRPr="008A74D0">
        <w:rPr>
          <w:lang w:val="en-AU"/>
        </w:rPr>
        <w:t xml:space="preserve"> answer. </w:t>
      </w:r>
    </w:p>
    <w:p w14:paraId="1CFDC1C0" w14:textId="03355070" w:rsidR="003E12FA" w:rsidRPr="008A74D0" w:rsidRDefault="003E12FA" w:rsidP="00053457">
      <w:pPr>
        <w:pStyle w:val="VCAAbody"/>
        <w:rPr>
          <w:lang w:val="en-AU"/>
        </w:rPr>
      </w:pPr>
      <w:r w:rsidRPr="008A74D0">
        <w:rPr>
          <w:lang w:val="en-AU"/>
        </w:rPr>
        <w:t xml:space="preserve">Students </w:t>
      </w:r>
      <w:r w:rsidR="004F2E4C" w:rsidRPr="008A74D0">
        <w:rPr>
          <w:lang w:val="en-AU"/>
        </w:rPr>
        <w:t>who</w:t>
      </w:r>
      <w:r w:rsidRPr="008A74D0">
        <w:rPr>
          <w:lang w:val="en-AU"/>
        </w:rPr>
        <w:t xml:space="preserve"> scored highly were able to successfully identify the key concepts from the commentaries and use these briefly as a catalyst to prompt and expand upon in their discussion, often synthesising their general knowledge with a more comprehensive analysis of the artwork. Responses that did not score well tended to repeat the commentaries verbatim without any link to the artwork or artist.</w:t>
      </w:r>
    </w:p>
    <w:p w14:paraId="5BF62698" w14:textId="77777777" w:rsidR="004E4FFF" w:rsidRPr="008A74D0" w:rsidRDefault="004E4FFF" w:rsidP="004E4FFF">
      <w:pPr>
        <w:pStyle w:val="VCAAbody"/>
        <w:rPr>
          <w:lang w:val="en-AU"/>
        </w:rPr>
      </w:pPr>
      <w:r w:rsidRPr="008A74D0">
        <w:rPr>
          <w:lang w:val="en-AU"/>
        </w:rPr>
        <w:t>The following is an example of a high-scoring response.</w:t>
      </w:r>
    </w:p>
    <w:p w14:paraId="749AAC39" w14:textId="77777777" w:rsidR="003E12FA" w:rsidRPr="008A74D0" w:rsidRDefault="003E12FA" w:rsidP="00053457">
      <w:pPr>
        <w:pStyle w:val="VCAAstudentresponse"/>
        <w:rPr>
          <w:lang w:val="en-AU"/>
        </w:rPr>
      </w:pPr>
      <w:r w:rsidRPr="008A74D0">
        <w:rPr>
          <w:lang w:val="en-AU"/>
        </w:rPr>
        <w:t xml:space="preserve">Through Mellor’s depiction of the two kangaroos fighting, this symbolism of an Australian native animal in conflict with itself could be extrapolated to represent the deeply entrenched personal turmoil in Mellor’s ‘own mixed heritage’, as he is a descendant of both First Peoples of Australia and their European colonisers’. This ‘tension’ is further heightened by the contrast of vividly coloured animals, such as the saturated red and green of the parrot against the pallid grey-ish blue fine delicate lines which delineate the Australian landscape and its new colonial infrastructures. There is also a bleakness and mundanity </w:t>
      </w:r>
      <w:r w:rsidRPr="008A74D0">
        <w:rPr>
          <w:lang w:val="en-AU"/>
        </w:rPr>
        <w:lastRenderedPageBreak/>
        <w:t>elicited by the monochromatic background, contrasting against the reinvigorating vivid colours of the native Australian animals, which creates three-dimensional forms to elevate them above the flat backdrop; thus, Mellor appears to uphold his First Peoples identity over that of his coloniser heritage, ultimately depicting their incongruity and conflict created in his identity. I personally could not relate to the specifics of being an Indigenous and white mixed person. However, as a first-generation Asian immigrant, I understand his struggles of conflicting identities, as many times I have had to compromise values instead of being Asian or Australian to be a mix of both.</w:t>
      </w:r>
    </w:p>
    <w:p w14:paraId="3F5BDF9D" w14:textId="21A91005" w:rsidR="00782F02" w:rsidRPr="008A74D0" w:rsidRDefault="00FD0A1A" w:rsidP="00053457">
      <w:pPr>
        <w:pStyle w:val="VCAAHeading2"/>
        <w:rPr>
          <w:lang w:val="en-AU"/>
        </w:rPr>
      </w:pPr>
      <w:r w:rsidRPr="008A74D0">
        <w:rPr>
          <w:lang w:val="en-AU"/>
        </w:rPr>
        <w:t>Question 6</w:t>
      </w:r>
    </w:p>
    <w:tbl>
      <w:tblPr>
        <w:tblStyle w:val="VCAATableClosed1"/>
        <w:tblW w:w="6480" w:type="dxa"/>
        <w:tblInd w:w="113"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1008"/>
      </w:tblGrid>
      <w:tr w:rsidR="00213C03" w:rsidRPr="008A74D0" w14:paraId="36D58F67" w14:textId="77777777" w:rsidTr="009311D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themeColor="text1"/>
              <w:left w:val="single" w:sz="4" w:space="0" w:color="000000" w:themeColor="text1"/>
              <w:bottom w:val="single" w:sz="4" w:space="0" w:color="000000" w:themeColor="text1"/>
            </w:tcBorders>
            <w:hideMark/>
          </w:tcPr>
          <w:p w14:paraId="2950F8AC" w14:textId="1ECB2C99" w:rsidR="00213C03" w:rsidRPr="008A74D0" w:rsidRDefault="00213C03" w:rsidP="004D2407">
            <w:pPr>
              <w:pStyle w:val="VCAAtablecondensedheading"/>
              <w:rPr>
                <w:lang w:val="en-AU"/>
              </w:rPr>
            </w:pPr>
            <w:bookmarkStart w:id="1" w:name="_Hlk90222896"/>
            <w:r w:rsidRPr="008A74D0">
              <w:rPr>
                <w:lang w:val="en-AU"/>
              </w:rPr>
              <w:t>Marks</w:t>
            </w:r>
          </w:p>
        </w:tc>
        <w:tc>
          <w:tcPr>
            <w:tcW w:w="576" w:type="dxa"/>
            <w:tcBorders>
              <w:top w:val="single" w:sz="4" w:space="0" w:color="000000" w:themeColor="text1"/>
              <w:bottom w:val="single" w:sz="4" w:space="0" w:color="000000" w:themeColor="text1"/>
            </w:tcBorders>
            <w:hideMark/>
          </w:tcPr>
          <w:p w14:paraId="22609A0E" w14:textId="77777777" w:rsidR="00213C03" w:rsidRPr="008A74D0" w:rsidRDefault="00213C03" w:rsidP="00221D31">
            <w:pPr>
              <w:pStyle w:val="VCAAtablecondensedheading"/>
              <w:rPr>
                <w:lang w:val="en-AU"/>
              </w:rPr>
            </w:pPr>
            <w:r w:rsidRPr="008A74D0">
              <w:rPr>
                <w:lang w:val="en-AU"/>
              </w:rPr>
              <w:t>0</w:t>
            </w:r>
          </w:p>
        </w:tc>
        <w:tc>
          <w:tcPr>
            <w:tcW w:w="576" w:type="dxa"/>
            <w:tcBorders>
              <w:top w:val="single" w:sz="4" w:space="0" w:color="000000" w:themeColor="text1"/>
              <w:bottom w:val="single" w:sz="4" w:space="0" w:color="000000" w:themeColor="text1"/>
            </w:tcBorders>
            <w:hideMark/>
          </w:tcPr>
          <w:p w14:paraId="6F02CE12" w14:textId="77777777" w:rsidR="00213C03" w:rsidRPr="008A74D0" w:rsidRDefault="00213C03" w:rsidP="00221D31">
            <w:pPr>
              <w:pStyle w:val="VCAAtablecondensedheading"/>
              <w:rPr>
                <w:lang w:val="en-AU"/>
              </w:rPr>
            </w:pPr>
            <w:r w:rsidRPr="008A74D0">
              <w:rPr>
                <w:lang w:val="en-AU"/>
              </w:rPr>
              <w:t>1</w:t>
            </w:r>
          </w:p>
        </w:tc>
        <w:tc>
          <w:tcPr>
            <w:tcW w:w="576" w:type="dxa"/>
            <w:tcBorders>
              <w:top w:val="single" w:sz="4" w:space="0" w:color="000000" w:themeColor="text1"/>
              <w:bottom w:val="single" w:sz="4" w:space="0" w:color="000000" w:themeColor="text1"/>
            </w:tcBorders>
            <w:hideMark/>
          </w:tcPr>
          <w:p w14:paraId="59A87136" w14:textId="77777777" w:rsidR="00213C03" w:rsidRPr="008A74D0" w:rsidRDefault="00213C03" w:rsidP="00221D31">
            <w:pPr>
              <w:pStyle w:val="VCAAtablecondensedheading"/>
              <w:rPr>
                <w:lang w:val="en-AU"/>
              </w:rPr>
            </w:pPr>
            <w:r w:rsidRPr="008A74D0">
              <w:rPr>
                <w:lang w:val="en-AU"/>
              </w:rPr>
              <w:t>2</w:t>
            </w:r>
          </w:p>
        </w:tc>
        <w:tc>
          <w:tcPr>
            <w:tcW w:w="576" w:type="dxa"/>
            <w:tcBorders>
              <w:top w:val="single" w:sz="4" w:space="0" w:color="000000" w:themeColor="text1"/>
              <w:bottom w:val="single" w:sz="4" w:space="0" w:color="000000" w:themeColor="text1"/>
            </w:tcBorders>
            <w:hideMark/>
          </w:tcPr>
          <w:p w14:paraId="2E0C1B61" w14:textId="77777777" w:rsidR="00213C03" w:rsidRPr="008A74D0" w:rsidRDefault="00213C03" w:rsidP="00221D31">
            <w:pPr>
              <w:pStyle w:val="VCAAtablecondensedheading"/>
              <w:rPr>
                <w:lang w:val="en-AU"/>
              </w:rPr>
            </w:pPr>
            <w:r w:rsidRPr="008A74D0">
              <w:rPr>
                <w:lang w:val="en-AU"/>
              </w:rPr>
              <w:t>3</w:t>
            </w:r>
          </w:p>
        </w:tc>
        <w:tc>
          <w:tcPr>
            <w:tcW w:w="576" w:type="dxa"/>
            <w:tcBorders>
              <w:top w:val="single" w:sz="4" w:space="0" w:color="000000" w:themeColor="text1"/>
              <w:bottom w:val="single" w:sz="4" w:space="0" w:color="000000" w:themeColor="text1"/>
            </w:tcBorders>
            <w:hideMark/>
          </w:tcPr>
          <w:p w14:paraId="21832E42" w14:textId="77777777" w:rsidR="00213C03" w:rsidRPr="008A74D0" w:rsidRDefault="00213C03" w:rsidP="00221D31">
            <w:pPr>
              <w:pStyle w:val="VCAAtablecondensedheading"/>
              <w:rPr>
                <w:lang w:val="en-AU"/>
              </w:rPr>
            </w:pPr>
            <w:r w:rsidRPr="008A74D0">
              <w:rPr>
                <w:lang w:val="en-AU"/>
              </w:rPr>
              <w:t>4</w:t>
            </w:r>
          </w:p>
        </w:tc>
        <w:tc>
          <w:tcPr>
            <w:tcW w:w="576" w:type="dxa"/>
            <w:tcBorders>
              <w:top w:val="single" w:sz="4" w:space="0" w:color="000000" w:themeColor="text1"/>
              <w:bottom w:val="single" w:sz="4" w:space="0" w:color="000000" w:themeColor="text1"/>
            </w:tcBorders>
            <w:hideMark/>
          </w:tcPr>
          <w:p w14:paraId="40926189" w14:textId="77777777" w:rsidR="00213C03" w:rsidRPr="008A74D0" w:rsidRDefault="00213C03" w:rsidP="00221D31">
            <w:pPr>
              <w:pStyle w:val="VCAAtablecondensedheading"/>
              <w:rPr>
                <w:lang w:val="en-AU"/>
              </w:rPr>
            </w:pPr>
            <w:r w:rsidRPr="008A74D0">
              <w:rPr>
                <w:lang w:val="en-AU"/>
              </w:rPr>
              <w:t>5</w:t>
            </w:r>
          </w:p>
        </w:tc>
        <w:tc>
          <w:tcPr>
            <w:tcW w:w="576" w:type="dxa"/>
            <w:tcBorders>
              <w:top w:val="single" w:sz="4" w:space="0" w:color="000000" w:themeColor="text1"/>
              <w:bottom w:val="single" w:sz="4" w:space="0" w:color="000000" w:themeColor="text1"/>
            </w:tcBorders>
            <w:hideMark/>
          </w:tcPr>
          <w:p w14:paraId="4AB48A27" w14:textId="77777777" w:rsidR="00213C03" w:rsidRPr="008A74D0" w:rsidRDefault="00213C03" w:rsidP="00221D31">
            <w:pPr>
              <w:pStyle w:val="VCAAtablecondensedheading"/>
              <w:rPr>
                <w:lang w:val="en-AU"/>
              </w:rPr>
            </w:pPr>
            <w:r w:rsidRPr="008A74D0">
              <w:rPr>
                <w:lang w:val="en-AU"/>
              </w:rPr>
              <w:t>6</w:t>
            </w:r>
          </w:p>
        </w:tc>
        <w:tc>
          <w:tcPr>
            <w:tcW w:w="576" w:type="dxa"/>
            <w:tcBorders>
              <w:top w:val="single" w:sz="4" w:space="0" w:color="000000" w:themeColor="text1"/>
              <w:bottom w:val="single" w:sz="4" w:space="0" w:color="000000" w:themeColor="text1"/>
            </w:tcBorders>
          </w:tcPr>
          <w:p w14:paraId="58506CB8" w14:textId="27D38E58" w:rsidR="00213C03" w:rsidRPr="008A74D0" w:rsidRDefault="00213C03" w:rsidP="00221D31">
            <w:pPr>
              <w:pStyle w:val="VCAAtablecondensedheading"/>
              <w:rPr>
                <w:lang w:val="en-AU"/>
              </w:rPr>
            </w:pPr>
            <w:r w:rsidRPr="008A74D0">
              <w:rPr>
                <w:lang w:val="en-AU"/>
              </w:rPr>
              <w:t>7</w:t>
            </w:r>
          </w:p>
        </w:tc>
        <w:tc>
          <w:tcPr>
            <w:tcW w:w="1008" w:type="dxa"/>
            <w:tcBorders>
              <w:top w:val="single" w:sz="4" w:space="0" w:color="000000" w:themeColor="text1"/>
              <w:bottom w:val="single" w:sz="4" w:space="0" w:color="000000" w:themeColor="text1"/>
              <w:right w:val="single" w:sz="4" w:space="0" w:color="000000" w:themeColor="text1"/>
            </w:tcBorders>
            <w:hideMark/>
          </w:tcPr>
          <w:p w14:paraId="0B24DBA7" w14:textId="37768170" w:rsidR="00213C03" w:rsidRPr="008A74D0" w:rsidRDefault="00213C03" w:rsidP="00221D31">
            <w:pPr>
              <w:pStyle w:val="VCAAtablecondensedheading"/>
              <w:rPr>
                <w:lang w:val="en-AU"/>
              </w:rPr>
            </w:pPr>
            <w:r w:rsidRPr="008A74D0">
              <w:rPr>
                <w:lang w:val="en-AU"/>
              </w:rPr>
              <w:t>Average</w:t>
            </w:r>
          </w:p>
        </w:tc>
      </w:tr>
      <w:tr w:rsidR="00213C03" w:rsidRPr="008A74D0" w14:paraId="51297E27" w14:textId="77777777" w:rsidTr="009311D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AD4A" w14:textId="77777777" w:rsidR="00213C03" w:rsidRPr="008A74D0" w:rsidRDefault="00213C03">
            <w:pPr>
              <w:pStyle w:val="VCAAtablecondensed"/>
              <w:rPr>
                <w:lang w:val="en-AU"/>
              </w:rPr>
            </w:pPr>
            <w:r w:rsidRPr="008A74D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4E451" w14:textId="346C0712" w:rsidR="00213C03" w:rsidRPr="008A74D0" w:rsidRDefault="00927590">
            <w:pPr>
              <w:pStyle w:val="VCAAtablecondensed"/>
              <w:rPr>
                <w:lang w:val="en-AU"/>
              </w:rPr>
            </w:pPr>
            <w:r w:rsidRPr="008A74D0">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8021E" w14:textId="5C09EA71" w:rsidR="00213C03" w:rsidRPr="008A74D0" w:rsidRDefault="00927590">
            <w:pPr>
              <w:pStyle w:val="VCAAtablecondensed"/>
              <w:rPr>
                <w:lang w:val="en-AU"/>
              </w:rPr>
            </w:pPr>
            <w:r w:rsidRPr="008A74D0">
              <w:rPr>
                <w:lang w:val="en-AU"/>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61B21" w14:textId="4A8B6439" w:rsidR="00213C03" w:rsidRPr="008A74D0" w:rsidRDefault="00927590">
            <w:pPr>
              <w:pStyle w:val="VCAAtablecondensed"/>
              <w:rPr>
                <w:lang w:val="en-AU"/>
              </w:rPr>
            </w:pPr>
            <w:r w:rsidRPr="008A74D0">
              <w:rPr>
                <w:lang w:val="en-AU"/>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B9FD9" w14:textId="1A503546" w:rsidR="00213C03" w:rsidRPr="008A74D0" w:rsidRDefault="00927590">
            <w:pPr>
              <w:pStyle w:val="VCAAtablecondensed"/>
              <w:rPr>
                <w:lang w:val="en-AU"/>
              </w:rPr>
            </w:pPr>
            <w:r w:rsidRPr="008A74D0">
              <w:rPr>
                <w:lang w:val="en-AU"/>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02006" w14:textId="2617EDB7" w:rsidR="00213C03" w:rsidRPr="008A74D0" w:rsidRDefault="00927590">
            <w:pPr>
              <w:pStyle w:val="VCAAtablecondensed"/>
              <w:rPr>
                <w:lang w:val="en-AU"/>
              </w:rPr>
            </w:pPr>
            <w:r w:rsidRPr="008A74D0">
              <w:rPr>
                <w:lang w:val="en-AU"/>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95801" w14:textId="42D3002B" w:rsidR="00213C03" w:rsidRPr="008A74D0" w:rsidRDefault="00927590">
            <w:pPr>
              <w:pStyle w:val="VCAAtablecondensed"/>
              <w:rPr>
                <w:lang w:val="en-AU"/>
              </w:rPr>
            </w:pPr>
            <w:r w:rsidRPr="008A74D0">
              <w:rPr>
                <w:lang w:val="en-AU"/>
              </w:rPr>
              <w:t>30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1DF53" w14:textId="681AB815" w:rsidR="00213C03" w:rsidRPr="008A74D0" w:rsidRDefault="00927590">
            <w:pPr>
              <w:pStyle w:val="VCAAtablecondensed"/>
              <w:rPr>
                <w:lang w:val="en-AU"/>
              </w:rPr>
            </w:pPr>
            <w:r w:rsidRPr="008A74D0">
              <w:rPr>
                <w:lang w:val="en-AU"/>
              </w:rP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E8650" w14:textId="7B9BC80E" w:rsidR="00213C03" w:rsidRPr="008A74D0" w:rsidRDefault="00927590">
            <w:pPr>
              <w:pStyle w:val="VCAAtablecondensed"/>
              <w:rPr>
                <w:lang w:val="en-AU"/>
              </w:rPr>
            </w:pPr>
            <w:r w:rsidRPr="008A74D0">
              <w:rPr>
                <w:lang w:val="en-AU"/>
              </w:rPr>
              <w:t>10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5F80" w14:textId="53FAFFEE" w:rsidR="00213C03" w:rsidRPr="008A74D0" w:rsidRDefault="00927590">
            <w:pPr>
              <w:pStyle w:val="VCAAtablecondensed"/>
              <w:rPr>
                <w:lang w:val="en-AU"/>
              </w:rPr>
            </w:pPr>
            <w:r w:rsidRPr="008A74D0">
              <w:rPr>
                <w:lang w:val="en-AU"/>
              </w:rPr>
              <w:t>4.4</w:t>
            </w:r>
          </w:p>
        </w:tc>
        <w:bookmarkEnd w:id="1"/>
      </w:tr>
    </w:tbl>
    <w:p w14:paraId="638CD62F" w14:textId="1B8EBE6F" w:rsidR="003E12FA" w:rsidRPr="008A74D0" w:rsidRDefault="00927590" w:rsidP="00053457">
      <w:pPr>
        <w:pStyle w:val="VCAAbody"/>
        <w:rPr>
          <w:lang w:val="en-AU"/>
        </w:rPr>
      </w:pPr>
      <w:r w:rsidRPr="008A74D0">
        <w:rPr>
          <w:lang w:val="en-AU"/>
        </w:rPr>
        <w:t>This q</w:t>
      </w:r>
      <w:r w:rsidR="003E12FA" w:rsidRPr="008A74D0">
        <w:rPr>
          <w:lang w:val="en-AU"/>
        </w:rPr>
        <w:t>uestion required students to discuss the art ideas and related issues represented in the artwork</w:t>
      </w:r>
      <w:r w:rsidR="004C07BD" w:rsidRPr="008A74D0">
        <w:rPr>
          <w:lang w:val="en-AU"/>
        </w:rPr>
        <w:t xml:space="preserve"> using the cultural analytical framework</w:t>
      </w:r>
      <w:r w:rsidR="003E12FA" w:rsidRPr="008A74D0">
        <w:rPr>
          <w:lang w:val="en-AU"/>
        </w:rPr>
        <w:t>. Students mainly were able to discuss and interpret the multicultural nature of the artwork illustrated; Students who used the commentaries as a foundation for their answer but developed it further by introducing new ideas tended to score higher than those who restated the commentaries or described the artwork's subject matter.</w:t>
      </w:r>
    </w:p>
    <w:p w14:paraId="674CEE8D" w14:textId="77777777" w:rsidR="004E4FFF" w:rsidRPr="008A74D0" w:rsidRDefault="004E4FFF" w:rsidP="004E4FFF">
      <w:pPr>
        <w:pStyle w:val="VCAAbody"/>
        <w:rPr>
          <w:lang w:val="en-AU"/>
        </w:rPr>
      </w:pPr>
      <w:r w:rsidRPr="008A74D0">
        <w:rPr>
          <w:lang w:val="en-AU"/>
        </w:rPr>
        <w:t>The following is an example of a high-scoring response.</w:t>
      </w:r>
    </w:p>
    <w:p w14:paraId="27847892" w14:textId="661058DE" w:rsidR="003E12FA" w:rsidRPr="008A74D0" w:rsidRDefault="003E12FA" w:rsidP="00053457">
      <w:pPr>
        <w:pStyle w:val="VCAAstudentresponse"/>
        <w:rPr>
          <w:lang w:val="en-AU"/>
        </w:rPr>
      </w:pPr>
      <w:r w:rsidRPr="008A74D0">
        <w:rPr>
          <w:lang w:val="en-AU"/>
        </w:rPr>
        <w:t xml:space="preserve">Zahalka explores the way immigration affects those who yearn for brighter futures and develop of the societies which they join. Seen in image 1, the woman appears to be enjoying this landscape and its beauties, seen in her reclined state and outward-looking gaze. This sparks an optimism and hope for the future, which contrasts to image 2. Assuming a death has occurred within this family, their white flowers could be a means of commemorating death in their own culture. The placing of the pot on the ground could reflect a unity of these two cultures; where their customs meet the literal foundation of the Australian society. As they stare directly into the camera, a moment of reflection and introspection is implied as they collectively stand together in solidarity. Zahalka implies despite being separated from </w:t>
      </w:r>
      <w:r w:rsidR="00AC0378" w:rsidRPr="008A74D0">
        <w:rPr>
          <w:lang w:val="en-AU"/>
        </w:rPr>
        <w:t>‘</w:t>
      </w:r>
      <w:r w:rsidRPr="008A74D0">
        <w:rPr>
          <w:lang w:val="en-AU"/>
        </w:rPr>
        <w:t>the countries they came from</w:t>
      </w:r>
      <w:r w:rsidR="00AC0378" w:rsidRPr="008A74D0">
        <w:rPr>
          <w:lang w:val="en-AU"/>
        </w:rPr>
        <w:t>’</w:t>
      </w:r>
      <w:r w:rsidRPr="008A74D0">
        <w:rPr>
          <w:lang w:val="en-AU"/>
        </w:rPr>
        <w:t xml:space="preserve">, they inevitably find community and family (both biological and chosen) within their racial groups. As Australia becomes more urbanised, a bridge is seen in the background of Image 3, assumedly assisted and built by immigrant workers. The bridge could be symbolic for the eventual unity of society itself, bridging the way for a hopeful, multicultural future. </w:t>
      </w:r>
    </w:p>
    <w:p w14:paraId="02AB89C3" w14:textId="242139C5" w:rsidR="00BF620E" w:rsidRPr="008A74D0" w:rsidRDefault="00BF620E" w:rsidP="00053457">
      <w:pPr>
        <w:pStyle w:val="VCAAHeading2"/>
        <w:rPr>
          <w:lang w:val="en-AU"/>
        </w:rPr>
      </w:pPr>
      <w:r w:rsidRPr="008A74D0">
        <w:rPr>
          <w:lang w:val="en-AU"/>
        </w:rPr>
        <w:t>Question 7</w:t>
      </w:r>
    </w:p>
    <w:tbl>
      <w:tblPr>
        <w:tblStyle w:val="VCAATableClosed"/>
        <w:tblW w:w="4565" w:type="pct"/>
        <w:tblInd w:w="113" w:type="dxa"/>
        <w:tblLook w:val="04A0" w:firstRow="1" w:lastRow="0" w:firstColumn="1" w:lastColumn="0" w:noHBand="0" w:noVBand="1"/>
        <w:tblCaption w:val="Table one"/>
        <w:tblDescription w:val="VCAA closed table style"/>
      </w:tblPr>
      <w:tblGrid>
        <w:gridCol w:w="863"/>
        <w:gridCol w:w="575"/>
        <w:gridCol w:w="575"/>
        <w:gridCol w:w="575"/>
        <w:gridCol w:w="575"/>
        <w:gridCol w:w="577"/>
        <w:gridCol w:w="577"/>
        <w:gridCol w:w="577"/>
        <w:gridCol w:w="578"/>
        <w:gridCol w:w="578"/>
        <w:gridCol w:w="578"/>
        <w:gridCol w:w="578"/>
        <w:gridCol w:w="578"/>
        <w:gridCol w:w="1007"/>
      </w:tblGrid>
      <w:tr w:rsidR="009311D4" w:rsidRPr="008A74D0" w14:paraId="3784D87B" w14:textId="77777777" w:rsidTr="009311D4">
        <w:trPr>
          <w:cnfStyle w:val="100000000000" w:firstRow="1" w:lastRow="0" w:firstColumn="0" w:lastColumn="0" w:oddVBand="0" w:evenVBand="0" w:oddHBand="0" w:evenHBand="0" w:firstRowFirstColumn="0" w:firstRowLastColumn="0" w:lastRowFirstColumn="0" w:lastRowLastColumn="0"/>
        </w:trPr>
        <w:tc>
          <w:tcPr>
            <w:tcW w:w="490" w:type="pct"/>
            <w:tcBorders>
              <w:top w:val="single" w:sz="4" w:space="0" w:color="000000" w:themeColor="text1"/>
              <w:left w:val="single" w:sz="4" w:space="0" w:color="000000" w:themeColor="text1"/>
              <w:bottom w:val="single" w:sz="4" w:space="0" w:color="000000" w:themeColor="text1"/>
            </w:tcBorders>
            <w:hideMark/>
          </w:tcPr>
          <w:p w14:paraId="6AA9FAAA" w14:textId="16C5E1B5" w:rsidR="00B10493" w:rsidRPr="008A74D0" w:rsidRDefault="00B10493" w:rsidP="004D2407">
            <w:pPr>
              <w:pStyle w:val="VCAAtablecondensedheading"/>
              <w:rPr>
                <w:lang w:val="en-AU"/>
              </w:rPr>
            </w:pPr>
            <w:r w:rsidRPr="008A74D0">
              <w:rPr>
                <w:lang w:val="en-AU"/>
              </w:rPr>
              <w:t>Marks</w:t>
            </w:r>
          </w:p>
        </w:tc>
        <w:tc>
          <w:tcPr>
            <w:tcW w:w="327" w:type="pct"/>
            <w:tcBorders>
              <w:top w:val="single" w:sz="4" w:space="0" w:color="000000" w:themeColor="text1"/>
              <w:bottom w:val="single" w:sz="4" w:space="0" w:color="000000" w:themeColor="text1"/>
            </w:tcBorders>
            <w:hideMark/>
          </w:tcPr>
          <w:p w14:paraId="16023BB4" w14:textId="77777777" w:rsidR="00B10493" w:rsidRPr="008A74D0" w:rsidRDefault="00B10493" w:rsidP="00221D31">
            <w:pPr>
              <w:pStyle w:val="VCAAtablecondensedheading"/>
              <w:rPr>
                <w:lang w:val="en-AU"/>
              </w:rPr>
            </w:pPr>
            <w:r w:rsidRPr="008A74D0">
              <w:rPr>
                <w:lang w:val="en-AU"/>
              </w:rPr>
              <w:t>0</w:t>
            </w:r>
          </w:p>
        </w:tc>
        <w:tc>
          <w:tcPr>
            <w:tcW w:w="327" w:type="pct"/>
            <w:tcBorders>
              <w:top w:val="single" w:sz="4" w:space="0" w:color="000000" w:themeColor="text1"/>
              <w:bottom w:val="single" w:sz="4" w:space="0" w:color="000000" w:themeColor="text1"/>
            </w:tcBorders>
            <w:hideMark/>
          </w:tcPr>
          <w:p w14:paraId="6EB92A1A" w14:textId="77777777" w:rsidR="00B10493" w:rsidRPr="008A74D0" w:rsidRDefault="00B10493" w:rsidP="00221D31">
            <w:pPr>
              <w:pStyle w:val="VCAAtablecondensedheading"/>
              <w:rPr>
                <w:lang w:val="en-AU"/>
              </w:rPr>
            </w:pPr>
            <w:r w:rsidRPr="008A74D0">
              <w:rPr>
                <w:lang w:val="en-AU"/>
              </w:rPr>
              <w:t>1</w:t>
            </w:r>
          </w:p>
        </w:tc>
        <w:tc>
          <w:tcPr>
            <w:tcW w:w="327" w:type="pct"/>
            <w:tcBorders>
              <w:top w:val="single" w:sz="4" w:space="0" w:color="000000" w:themeColor="text1"/>
              <w:bottom w:val="single" w:sz="4" w:space="0" w:color="000000" w:themeColor="text1"/>
            </w:tcBorders>
            <w:hideMark/>
          </w:tcPr>
          <w:p w14:paraId="50910CBF" w14:textId="77777777" w:rsidR="00B10493" w:rsidRPr="008A74D0" w:rsidRDefault="00B10493" w:rsidP="00221D31">
            <w:pPr>
              <w:pStyle w:val="VCAAtablecondensedheading"/>
              <w:rPr>
                <w:lang w:val="en-AU"/>
              </w:rPr>
            </w:pPr>
            <w:r w:rsidRPr="008A74D0">
              <w:rPr>
                <w:lang w:val="en-AU"/>
              </w:rPr>
              <w:t>2</w:t>
            </w:r>
          </w:p>
        </w:tc>
        <w:tc>
          <w:tcPr>
            <w:tcW w:w="327" w:type="pct"/>
            <w:tcBorders>
              <w:top w:val="single" w:sz="4" w:space="0" w:color="000000" w:themeColor="text1"/>
              <w:bottom w:val="single" w:sz="4" w:space="0" w:color="000000" w:themeColor="text1"/>
            </w:tcBorders>
            <w:hideMark/>
          </w:tcPr>
          <w:p w14:paraId="67A2EB67" w14:textId="77777777" w:rsidR="00B10493" w:rsidRPr="008A74D0" w:rsidRDefault="00B10493" w:rsidP="00221D31">
            <w:pPr>
              <w:pStyle w:val="VCAAtablecondensedheading"/>
              <w:rPr>
                <w:lang w:val="en-AU"/>
              </w:rPr>
            </w:pPr>
            <w:r w:rsidRPr="008A74D0">
              <w:rPr>
                <w:lang w:val="en-AU"/>
              </w:rPr>
              <w:t>3</w:t>
            </w:r>
          </w:p>
        </w:tc>
        <w:tc>
          <w:tcPr>
            <w:tcW w:w="328" w:type="pct"/>
            <w:tcBorders>
              <w:top w:val="single" w:sz="4" w:space="0" w:color="000000" w:themeColor="text1"/>
              <w:bottom w:val="single" w:sz="4" w:space="0" w:color="000000" w:themeColor="text1"/>
            </w:tcBorders>
            <w:hideMark/>
          </w:tcPr>
          <w:p w14:paraId="702DBD76" w14:textId="77777777" w:rsidR="00B10493" w:rsidRPr="008A74D0" w:rsidRDefault="00B10493" w:rsidP="00221D31">
            <w:pPr>
              <w:pStyle w:val="VCAAtablecondensedheading"/>
              <w:rPr>
                <w:lang w:val="en-AU"/>
              </w:rPr>
            </w:pPr>
            <w:r w:rsidRPr="008A74D0">
              <w:rPr>
                <w:lang w:val="en-AU"/>
              </w:rPr>
              <w:t>4</w:t>
            </w:r>
          </w:p>
        </w:tc>
        <w:tc>
          <w:tcPr>
            <w:tcW w:w="328" w:type="pct"/>
            <w:tcBorders>
              <w:top w:val="single" w:sz="4" w:space="0" w:color="000000" w:themeColor="text1"/>
              <w:bottom w:val="single" w:sz="4" w:space="0" w:color="000000" w:themeColor="text1"/>
            </w:tcBorders>
            <w:hideMark/>
          </w:tcPr>
          <w:p w14:paraId="25CA390D" w14:textId="77777777" w:rsidR="00B10493" w:rsidRPr="008A74D0" w:rsidRDefault="00B10493" w:rsidP="00221D31">
            <w:pPr>
              <w:pStyle w:val="VCAAtablecondensedheading"/>
              <w:rPr>
                <w:lang w:val="en-AU"/>
              </w:rPr>
            </w:pPr>
            <w:r w:rsidRPr="008A74D0">
              <w:rPr>
                <w:lang w:val="en-AU"/>
              </w:rPr>
              <w:t>5</w:t>
            </w:r>
          </w:p>
        </w:tc>
        <w:tc>
          <w:tcPr>
            <w:tcW w:w="328" w:type="pct"/>
            <w:tcBorders>
              <w:top w:val="single" w:sz="4" w:space="0" w:color="000000" w:themeColor="text1"/>
              <w:bottom w:val="single" w:sz="4" w:space="0" w:color="000000" w:themeColor="text1"/>
            </w:tcBorders>
            <w:hideMark/>
          </w:tcPr>
          <w:p w14:paraId="59FB71D3" w14:textId="77777777" w:rsidR="00B10493" w:rsidRPr="008A74D0" w:rsidRDefault="00B10493" w:rsidP="00221D31">
            <w:pPr>
              <w:pStyle w:val="VCAAtablecondensedheading"/>
              <w:rPr>
                <w:lang w:val="en-AU"/>
              </w:rPr>
            </w:pPr>
            <w:r w:rsidRPr="008A74D0">
              <w:rPr>
                <w:lang w:val="en-AU"/>
              </w:rPr>
              <w:t>6</w:t>
            </w:r>
          </w:p>
        </w:tc>
        <w:tc>
          <w:tcPr>
            <w:tcW w:w="329" w:type="pct"/>
            <w:tcBorders>
              <w:top w:val="single" w:sz="4" w:space="0" w:color="000000" w:themeColor="text1"/>
              <w:bottom w:val="single" w:sz="4" w:space="0" w:color="000000" w:themeColor="text1"/>
            </w:tcBorders>
            <w:hideMark/>
          </w:tcPr>
          <w:p w14:paraId="1E4A9E25" w14:textId="77777777" w:rsidR="00B10493" w:rsidRPr="008A74D0" w:rsidRDefault="00B10493" w:rsidP="00221D31">
            <w:pPr>
              <w:pStyle w:val="VCAAtablecondensedheading"/>
              <w:rPr>
                <w:lang w:val="en-AU"/>
              </w:rPr>
            </w:pPr>
            <w:r w:rsidRPr="008A74D0">
              <w:rPr>
                <w:lang w:val="en-AU"/>
              </w:rPr>
              <w:t>7</w:t>
            </w:r>
          </w:p>
        </w:tc>
        <w:tc>
          <w:tcPr>
            <w:tcW w:w="329" w:type="pct"/>
            <w:tcBorders>
              <w:top w:val="single" w:sz="4" w:space="0" w:color="000000" w:themeColor="text1"/>
              <w:bottom w:val="single" w:sz="4" w:space="0" w:color="000000" w:themeColor="text1"/>
            </w:tcBorders>
            <w:hideMark/>
          </w:tcPr>
          <w:p w14:paraId="2FA1B9E6" w14:textId="77777777" w:rsidR="00B10493" w:rsidRPr="008A74D0" w:rsidRDefault="00B10493" w:rsidP="00221D31">
            <w:pPr>
              <w:pStyle w:val="VCAAtablecondensedheading"/>
              <w:rPr>
                <w:lang w:val="en-AU"/>
              </w:rPr>
            </w:pPr>
            <w:r w:rsidRPr="008A74D0">
              <w:rPr>
                <w:lang w:val="en-AU"/>
              </w:rPr>
              <w:t>8</w:t>
            </w:r>
          </w:p>
        </w:tc>
        <w:tc>
          <w:tcPr>
            <w:tcW w:w="329" w:type="pct"/>
            <w:tcBorders>
              <w:top w:val="single" w:sz="4" w:space="0" w:color="000000" w:themeColor="text1"/>
              <w:bottom w:val="single" w:sz="4" w:space="0" w:color="000000" w:themeColor="text1"/>
            </w:tcBorders>
            <w:hideMark/>
          </w:tcPr>
          <w:p w14:paraId="6A6578D4" w14:textId="77777777" w:rsidR="00B10493" w:rsidRPr="008A74D0" w:rsidRDefault="00B10493" w:rsidP="00221D31">
            <w:pPr>
              <w:pStyle w:val="VCAAtablecondensedheading"/>
              <w:rPr>
                <w:lang w:val="en-AU"/>
              </w:rPr>
            </w:pPr>
            <w:r w:rsidRPr="008A74D0">
              <w:rPr>
                <w:lang w:val="en-AU"/>
              </w:rPr>
              <w:t>9</w:t>
            </w:r>
          </w:p>
        </w:tc>
        <w:tc>
          <w:tcPr>
            <w:tcW w:w="329" w:type="pct"/>
            <w:tcBorders>
              <w:top w:val="single" w:sz="4" w:space="0" w:color="000000" w:themeColor="text1"/>
              <w:bottom w:val="single" w:sz="4" w:space="0" w:color="000000" w:themeColor="text1"/>
            </w:tcBorders>
            <w:hideMark/>
          </w:tcPr>
          <w:p w14:paraId="51D959C5" w14:textId="77777777" w:rsidR="00B10493" w:rsidRPr="008A74D0" w:rsidRDefault="00B10493" w:rsidP="00221D31">
            <w:pPr>
              <w:pStyle w:val="VCAAtablecondensedheading"/>
              <w:rPr>
                <w:lang w:val="en-AU"/>
              </w:rPr>
            </w:pPr>
            <w:r w:rsidRPr="008A74D0">
              <w:rPr>
                <w:lang w:val="en-AU"/>
              </w:rPr>
              <w:t>10</w:t>
            </w:r>
          </w:p>
        </w:tc>
        <w:tc>
          <w:tcPr>
            <w:tcW w:w="329" w:type="pct"/>
            <w:tcBorders>
              <w:top w:val="single" w:sz="4" w:space="0" w:color="000000" w:themeColor="text1"/>
              <w:bottom w:val="single" w:sz="4" w:space="0" w:color="000000" w:themeColor="text1"/>
            </w:tcBorders>
            <w:hideMark/>
          </w:tcPr>
          <w:p w14:paraId="1A55C4F8" w14:textId="77777777" w:rsidR="00B10493" w:rsidRPr="008A74D0" w:rsidRDefault="00B10493" w:rsidP="00221D31">
            <w:pPr>
              <w:pStyle w:val="VCAAtablecondensedheading"/>
              <w:rPr>
                <w:lang w:val="en-AU"/>
              </w:rPr>
            </w:pPr>
            <w:r w:rsidRPr="008A74D0">
              <w:rPr>
                <w:lang w:val="en-AU"/>
              </w:rPr>
              <w:t>11</w:t>
            </w:r>
          </w:p>
        </w:tc>
        <w:tc>
          <w:tcPr>
            <w:tcW w:w="573" w:type="pct"/>
            <w:tcBorders>
              <w:top w:val="single" w:sz="4" w:space="0" w:color="000000" w:themeColor="text1"/>
              <w:bottom w:val="single" w:sz="4" w:space="0" w:color="000000" w:themeColor="text1"/>
              <w:right w:val="single" w:sz="4" w:space="0" w:color="000000" w:themeColor="text1"/>
            </w:tcBorders>
            <w:hideMark/>
          </w:tcPr>
          <w:p w14:paraId="67720EDF" w14:textId="77777777" w:rsidR="00B10493" w:rsidRPr="008A74D0" w:rsidRDefault="00B10493" w:rsidP="00221D31">
            <w:pPr>
              <w:pStyle w:val="VCAAtablecondensedheading"/>
              <w:rPr>
                <w:lang w:val="en-AU"/>
              </w:rPr>
            </w:pPr>
            <w:r w:rsidRPr="008A74D0">
              <w:rPr>
                <w:lang w:val="en-AU"/>
              </w:rPr>
              <w:t>Average</w:t>
            </w:r>
          </w:p>
        </w:tc>
      </w:tr>
      <w:tr w:rsidR="006F5723" w:rsidRPr="008A74D0" w14:paraId="23567445" w14:textId="77777777" w:rsidTr="009311D4">
        <w:tc>
          <w:tcPr>
            <w:tcW w:w="4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43E72" w14:textId="77777777" w:rsidR="00B10493" w:rsidRPr="008A74D0" w:rsidRDefault="00B10493">
            <w:pPr>
              <w:pStyle w:val="VCAAtablecondensed"/>
              <w:rPr>
                <w:lang w:val="en-AU"/>
              </w:rPr>
            </w:pPr>
            <w:r w:rsidRPr="008A74D0">
              <w:rPr>
                <w:lang w:val="en-AU"/>
              </w:rPr>
              <w:t>%</w:t>
            </w:r>
          </w:p>
        </w:t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5C27" w14:textId="59CAA213" w:rsidR="00B10493" w:rsidRPr="008A74D0" w:rsidRDefault="00A94417">
            <w:pPr>
              <w:pStyle w:val="VCAAtablecondensed"/>
              <w:rPr>
                <w:lang w:val="en-AU"/>
              </w:rPr>
            </w:pPr>
            <w:r w:rsidRPr="008A74D0">
              <w:rPr>
                <w:lang w:val="en-AU"/>
              </w:rPr>
              <w:t>3</w:t>
            </w:r>
          </w:p>
        </w:t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81B9C" w14:textId="24EF1833" w:rsidR="00B10493" w:rsidRPr="008A74D0" w:rsidRDefault="00A94417">
            <w:pPr>
              <w:pStyle w:val="VCAAtablecondensed"/>
              <w:rPr>
                <w:lang w:val="en-AU"/>
              </w:rPr>
            </w:pPr>
            <w:r w:rsidRPr="008A74D0">
              <w:rPr>
                <w:lang w:val="en-AU"/>
              </w:rPr>
              <w:t>1</w:t>
            </w:r>
          </w:p>
        </w:t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8088A" w14:textId="7E116D11" w:rsidR="00B10493" w:rsidRPr="008A74D0" w:rsidRDefault="00A94417">
            <w:pPr>
              <w:pStyle w:val="VCAAtablecondensed"/>
              <w:rPr>
                <w:lang w:val="en-AU"/>
              </w:rPr>
            </w:pPr>
            <w:r w:rsidRPr="008A74D0">
              <w:rPr>
                <w:lang w:val="en-AU"/>
              </w:rPr>
              <w:t>2</w:t>
            </w:r>
          </w:p>
        </w:tc>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C59F2" w14:textId="2DD61135" w:rsidR="00B10493" w:rsidRPr="008A74D0" w:rsidRDefault="00A94417">
            <w:pPr>
              <w:pStyle w:val="VCAAtablecondensed"/>
              <w:rPr>
                <w:lang w:val="en-AU"/>
              </w:rPr>
            </w:pPr>
            <w:r w:rsidRPr="008A74D0">
              <w:rPr>
                <w:lang w:val="en-AU"/>
              </w:rPr>
              <w:t>3</w:t>
            </w: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35B27" w14:textId="64707FD9" w:rsidR="00B10493" w:rsidRPr="008A74D0" w:rsidRDefault="00A94417">
            <w:pPr>
              <w:pStyle w:val="VCAAtablecondensed"/>
              <w:rPr>
                <w:lang w:val="en-AU"/>
              </w:rPr>
            </w:pPr>
            <w:r w:rsidRPr="008A74D0">
              <w:rPr>
                <w:lang w:val="en-AU"/>
              </w:rPr>
              <w:t>9</w:t>
            </w: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CB087" w14:textId="1D90DCD4" w:rsidR="00B10493" w:rsidRPr="008A74D0" w:rsidRDefault="00A94417">
            <w:pPr>
              <w:pStyle w:val="VCAAtablecondensed"/>
              <w:rPr>
                <w:lang w:val="en-AU"/>
              </w:rPr>
            </w:pPr>
            <w:r w:rsidRPr="008A74D0">
              <w:rPr>
                <w:lang w:val="en-AU"/>
              </w:rPr>
              <w:t>12</w:t>
            </w:r>
          </w:p>
        </w:tc>
        <w:tc>
          <w:tcPr>
            <w:tcW w:w="3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CD7D9" w14:textId="48028CAA" w:rsidR="00B10493" w:rsidRPr="008A74D0" w:rsidRDefault="00A94417">
            <w:pPr>
              <w:pStyle w:val="VCAAtablecondensed"/>
              <w:rPr>
                <w:lang w:val="en-AU"/>
              </w:rPr>
            </w:pPr>
            <w:r w:rsidRPr="008A74D0">
              <w:rPr>
                <w:lang w:val="en-AU"/>
              </w:rPr>
              <w:t>13</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1917F" w14:textId="364D4201" w:rsidR="00B10493" w:rsidRPr="008A74D0" w:rsidRDefault="00A94417">
            <w:pPr>
              <w:pStyle w:val="VCAAtablecondensed"/>
              <w:rPr>
                <w:lang w:val="en-AU"/>
              </w:rPr>
            </w:pPr>
            <w:r w:rsidRPr="008A74D0">
              <w:rPr>
                <w:lang w:val="en-AU"/>
              </w:rPr>
              <w:t>16</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7A408" w14:textId="5B28C61E" w:rsidR="00B10493" w:rsidRPr="008A74D0" w:rsidRDefault="00A94417">
            <w:pPr>
              <w:pStyle w:val="VCAAtablecondensed"/>
              <w:rPr>
                <w:lang w:val="en-AU"/>
              </w:rPr>
            </w:pPr>
            <w:r w:rsidRPr="008A74D0">
              <w:rPr>
                <w:lang w:val="en-AU"/>
              </w:rPr>
              <w:t>12</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C9A26" w14:textId="42CF4B04" w:rsidR="00B10493" w:rsidRPr="008A74D0" w:rsidRDefault="00A94417">
            <w:pPr>
              <w:pStyle w:val="VCAAtablecondensed"/>
              <w:rPr>
                <w:lang w:val="en-AU"/>
              </w:rPr>
            </w:pPr>
            <w:r w:rsidRPr="008A74D0">
              <w:rPr>
                <w:lang w:val="en-AU"/>
              </w:rPr>
              <w:t>12</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29C71" w14:textId="1CB60C75" w:rsidR="00B10493" w:rsidRPr="008A74D0" w:rsidRDefault="00A94417">
            <w:pPr>
              <w:pStyle w:val="VCAAtablecondensed"/>
              <w:rPr>
                <w:lang w:val="en-AU"/>
              </w:rPr>
            </w:pPr>
            <w:r w:rsidRPr="008A74D0">
              <w:rPr>
                <w:lang w:val="en-AU"/>
              </w:rPr>
              <w:t>8</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85F9D" w14:textId="42BBF5F0" w:rsidR="00B10493" w:rsidRPr="008A74D0" w:rsidRDefault="00A94417">
            <w:pPr>
              <w:pStyle w:val="VCAAtablecondensed"/>
              <w:rPr>
                <w:lang w:val="en-AU"/>
              </w:rPr>
            </w:pPr>
            <w:r w:rsidRPr="008A74D0">
              <w:rPr>
                <w:lang w:val="en-AU"/>
              </w:rPr>
              <w:t>6</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8C53A" w14:textId="3DD634C1" w:rsidR="00B10493" w:rsidRPr="008A74D0" w:rsidRDefault="00A94417">
            <w:pPr>
              <w:pStyle w:val="VCAAtablecondensed"/>
              <w:rPr>
                <w:lang w:val="en-AU"/>
              </w:rPr>
            </w:pPr>
            <w:r w:rsidRPr="008A74D0">
              <w:rPr>
                <w:lang w:val="en-AU"/>
              </w:rPr>
              <w:t>6.7</w:t>
            </w:r>
          </w:p>
        </w:tc>
      </w:tr>
    </w:tbl>
    <w:p w14:paraId="3831EC5C" w14:textId="6D22B0FD" w:rsidR="003E12FA" w:rsidRPr="008A74D0" w:rsidRDefault="00483316" w:rsidP="00053457">
      <w:pPr>
        <w:pStyle w:val="VCAAbody"/>
        <w:rPr>
          <w:lang w:val="en-AU"/>
        </w:rPr>
      </w:pPr>
      <w:r w:rsidRPr="008A74D0">
        <w:rPr>
          <w:lang w:val="en-AU"/>
        </w:rPr>
        <w:t xml:space="preserve">This question required students to </w:t>
      </w:r>
      <w:r w:rsidR="00372CCB" w:rsidRPr="008A74D0">
        <w:rPr>
          <w:lang w:val="en-AU"/>
        </w:rPr>
        <w:t xml:space="preserve">use commentaries to </w:t>
      </w:r>
      <w:r w:rsidRPr="008A74D0">
        <w:rPr>
          <w:lang w:val="en-AU"/>
        </w:rPr>
        <w:t xml:space="preserve">discuss the ideas and related issues </w:t>
      </w:r>
      <w:r w:rsidR="00372CCB" w:rsidRPr="008A74D0">
        <w:rPr>
          <w:lang w:val="en-AU"/>
        </w:rPr>
        <w:t xml:space="preserve">in a photograph by David Wadelton. </w:t>
      </w:r>
      <w:r w:rsidR="003E12FA" w:rsidRPr="008A74D0">
        <w:rPr>
          <w:lang w:val="en-AU"/>
        </w:rPr>
        <w:t>Students seemed very comfortable answering this question, using their experience and understanding of the disappearance of older authentic, family-run businesses and the introduction and gentrification of chain businesses that replaced them</w:t>
      </w:r>
      <w:r w:rsidR="004C07BD" w:rsidRPr="008A74D0">
        <w:rPr>
          <w:lang w:val="en-AU"/>
        </w:rPr>
        <w:t xml:space="preserve"> to expand upon in their discussion</w:t>
      </w:r>
      <w:r w:rsidR="003E12FA" w:rsidRPr="008A74D0">
        <w:rPr>
          <w:lang w:val="en-AU"/>
        </w:rPr>
        <w:t xml:space="preserve">. Many students used the commentaries effectively to discuss the issues raised in the artwork. Some students could directly reference the photograph regarding the old-fashioned look and modernist aesthetic of the cafe’s interior, the black and white vinyl floor, empty chairs and old photographs on the wall. Sometimes there was a lack of direct reference to the image and subject matter seen in the photograph, which </w:t>
      </w:r>
      <w:r w:rsidR="00624617">
        <w:rPr>
          <w:lang w:val="en-AU"/>
        </w:rPr>
        <w:t>prevented</w:t>
      </w:r>
      <w:r w:rsidR="00624617" w:rsidRPr="008A74D0">
        <w:rPr>
          <w:lang w:val="en-AU"/>
        </w:rPr>
        <w:t xml:space="preserve"> </w:t>
      </w:r>
      <w:r w:rsidR="00D4221B" w:rsidRPr="008A74D0">
        <w:rPr>
          <w:lang w:val="en-AU"/>
        </w:rPr>
        <w:t>students from achieving a high score</w:t>
      </w:r>
      <w:r w:rsidR="003E12FA" w:rsidRPr="008A74D0">
        <w:rPr>
          <w:lang w:val="en-AU"/>
        </w:rPr>
        <w:t xml:space="preserve">. </w:t>
      </w:r>
    </w:p>
    <w:p w14:paraId="7505B85F" w14:textId="77777777" w:rsidR="00F74B30" w:rsidRDefault="00F74B30">
      <w:pPr>
        <w:rPr>
          <w:rFonts w:ascii="Arial" w:hAnsi="Arial" w:cs="Arial"/>
          <w:color w:val="000000" w:themeColor="text1"/>
          <w:sz w:val="20"/>
          <w:lang w:val="en-AU"/>
        </w:rPr>
      </w:pPr>
      <w:r>
        <w:rPr>
          <w:lang w:val="en-AU"/>
        </w:rPr>
        <w:br w:type="page"/>
      </w:r>
    </w:p>
    <w:p w14:paraId="79ABED01" w14:textId="39AB205F" w:rsidR="004E4FFF" w:rsidRPr="008A74D0" w:rsidRDefault="004E4FFF" w:rsidP="004E4FFF">
      <w:pPr>
        <w:pStyle w:val="VCAAbody"/>
        <w:rPr>
          <w:lang w:val="en-AU"/>
        </w:rPr>
      </w:pPr>
      <w:r w:rsidRPr="008A74D0">
        <w:rPr>
          <w:lang w:val="en-AU"/>
        </w:rPr>
        <w:lastRenderedPageBreak/>
        <w:t>The following is an example of a high-scoring response.</w:t>
      </w:r>
    </w:p>
    <w:p w14:paraId="24D9D4F6" w14:textId="66ECDA1C" w:rsidR="003E12FA" w:rsidRPr="008A74D0" w:rsidRDefault="003E12FA" w:rsidP="00053457">
      <w:pPr>
        <w:pStyle w:val="VCAAstudentresponse"/>
        <w:rPr>
          <w:lang w:val="en-AU"/>
        </w:rPr>
      </w:pPr>
      <w:r w:rsidRPr="008A74D0">
        <w:rPr>
          <w:lang w:val="en-AU"/>
        </w:rPr>
        <w:t xml:space="preserve">Ordinarily simple yet touching is David Wadelton’s photograph ‘Sila Espresso, Brunswick Street Fitzroy’. Wishing to </w:t>
      </w:r>
      <w:r w:rsidR="00AC0378" w:rsidRPr="008A74D0">
        <w:rPr>
          <w:lang w:val="en-AU"/>
        </w:rPr>
        <w:t>‘</w:t>
      </w:r>
      <w:r w:rsidRPr="008A74D0">
        <w:rPr>
          <w:lang w:val="en-AU"/>
        </w:rPr>
        <w:t>capture as many [small cafés] as [he] can</w:t>
      </w:r>
      <w:r w:rsidR="00AC0378" w:rsidRPr="008A74D0">
        <w:rPr>
          <w:lang w:val="en-AU"/>
        </w:rPr>
        <w:t>’</w:t>
      </w:r>
      <w:r w:rsidRPr="008A74D0">
        <w:rPr>
          <w:lang w:val="en-AU"/>
        </w:rPr>
        <w:t xml:space="preserve">, the artist wishes to capture the fleeting intimacy and joy of these local monuments before they disappear to our society of brand recognition and marketability. The vibrant reds and organically rusty tables are emblematic of nostalgic days past, being a comforting area of vibrancy and community. The newspapers on the wall paired with the collage of photographs imply the café’s community historical value and the amazing memories and accomplishments of the cafe. However, this glee and comfort are overruled by an overwhelming sense of distance and isolation to stress what is </w:t>
      </w:r>
      <w:r w:rsidR="00AC0378" w:rsidRPr="008A74D0">
        <w:rPr>
          <w:lang w:val="en-AU"/>
        </w:rPr>
        <w:t>‘</w:t>
      </w:r>
      <w:r w:rsidRPr="008A74D0">
        <w:rPr>
          <w:lang w:val="en-AU"/>
        </w:rPr>
        <w:t>left behind</w:t>
      </w:r>
      <w:r w:rsidR="00AC0378" w:rsidRPr="008A74D0">
        <w:rPr>
          <w:lang w:val="en-AU"/>
        </w:rPr>
        <w:t>’</w:t>
      </w:r>
      <w:r w:rsidRPr="008A74D0">
        <w:rPr>
          <w:lang w:val="en-AU"/>
        </w:rPr>
        <w:t xml:space="preserve"> in our fast-moving society. Employing the </w:t>
      </w:r>
      <w:r w:rsidR="00AC0378" w:rsidRPr="008A74D0">
        <w:rPr>
          <w:lang w:val="en-AU"/>
        </w:rPr>
        <w:t>‘</w:t>
      </w:r>
      <w:r w:rsidRPr="008A74D0">
        <w:rPr>
          <w:lang w:val="en-AU"/>
        </w:rPr>
        <w:t>descriptive limits of photography</w:t>
      </w:r>
      <w:r w:rsidR="00AC0378" w:rsidRPr="008A74D0">
        <w:rPr>
          <w:lang w:val="en-AU"/>
        </w:rPr>
        <w:t>’</w:t>
      </w:r>
      <w:r w:rsidRPr="008A74D0">
        <w:rPr>
          <w:lang w:val="en-AU"/>
        </w:rPr>
        <w:t xml:space="preserve">, the scene is forever frozen. While the filled display shelves imply it is bustling with business, there isn’t a single person captured in the shot, both inside and outside. Viewers are positioned to wonder why such a warm atmosphere is empty and cold, creating a yearning to return to these joyous memories. The vibrant reds of the seats contrasted against the green checkered floors create a visual vibrancy and excitement, being emblematic of the childish joys and gleeful innocence. This is juxtaposed against the minimal and sanitised nature of the street outside, and its harshly geometric grey structures, to its emptiness and modernity. Wadelton aims to capture a scene both limited in scope and panoramic. While the capturing of their moment in time is forever still, a similar deadpan and lifeless atmosphere will plague the city if these small and original monuments continue to lose to society’s inclinations towards </w:t>
      </w:r>
      <w:r w:rsidR="00AC0378" w:rsidRPr="008A74D0">
        <w:rPr>
          <w:lang w:val="en-AU"/>
        </w:rPr>
        <w:t>‘</w:t>
      </w:r>
      <w:r w:rsidRPr="008A74D0">
        <w:rPr>
          <w:lang w:val="en-AU"/>
        </w:rPr>
        <w:t>multi-national look-alike chains.</w:t>
      </w:r>
      <w:r w:rsidR="00AC0378" w:rsidRPr="008A74D0">
        <w:rPr>
          <w:lang w:val="en-AU"/>
        </w:rPr>
        <w:t>’</w:t>
      </w:r>
    </w:p>
    <w:p w14:paraId="5A924163" w14:textId="275C5D1F" w:rsidR="00BF3A27" w:rsidRPr="008A74D0" w:rsidRDefault="00BF3A27" w:rsidP="00053457">
      <w:pPr>
        <w:pStyle w:val="VCAAHeading2"/>
        <w:rPr>
          <w:lang w:val="en-AU"/>
        </w:rPr>
      </w:pPr>
      <w:r w:rsidRPr="008A74D0">
        <w:rPr>
          <w:lang w:val="en-AU"/>
        </w:rPr>
        <w:t>Question 8</w:t>
      </w:r>
    </w:p>
    <w:tbl>
      <w:tblPr>
        <w:tblStyle w:val="VCAATableClosed"/>
        <w:tblW w:w="4337" w:type="pct"/>
        <w:tblLook w:val="04A0" w:firstRow="1" w:lastRow="0" w:firstColumn="1" w:lastColumn="0" w:noHBand="0" w:noVBand="1"/>
        <w:tblCaption w:val="Table one"/>
        <w:tblDescription w:val="VCAA closed table style"/>
      </w:tblPr>
      <w:tblGrid>
        <w:gridCol w:w="863"/>
        <w:gridCol w:w="432"/>
        <w:gridCol w:w="432"/>
        <w:gridCol w:w="432"/>
        <w:gridCol w:w="432"/>
        <w:gridCol w:w="432"/>
        <w:gridCol w:w="433"/>
        <w:gridCol w:w="433"/>
        <w:gridCol w:w="433"/>
        <w:gridCol w:w="433"/>
        <w:gridCol w:w="433"/>
        <w:gridCol w:w="433"/>
        <w:gridCol w:w="433"/>
        <w:gridCol w:w="433"/>
        <w:gridCol w:w="433"/>
        <w:gridCol w:w="433"/>
        <w:gridCol w:w="999"/>
      </w:tblGrid>
      <w:tr w:rsidR="00B65363" w:rsidRPr="008A74D0" w14:paraId="348CD22F" w14:textId="77777777" w:rsidTr="009311D4">
        <w:trPr>
          <w:cnfStyle w:val="100000000000" w:firstRow="1" w:lastRow="0" w:firstColumn="0" w:lastColumn="0" w:oddVBand="0" w:evenVBand="0" w:oddHBand="0" w:evenHBand="0" w:firstRowFirstColumn="0" w:firstRowLastColumn="0" w:lastRowFirstColumn="0" w:lastRowLastColumn="0"/>
        </w:trPr>
        <w:tc>
          <w:tcPr>
            <w:tcW w:w="517" w:type="pct"/>
            <w:hideMark/>
          </w:tcPr>
          <w:p w14:paraId="698F270C" w14:textId="25E9993A" w:rsidR="00B10493" w:rsidRPr="008A74D0" w:rsidRDefault="00B10493" w:rsidP="004D2407">
            <w:pPr>
              <w:pStyle w:val="VCAAtablecondensedheading"/>
              <w:rPr>
                <w:lang w:val="en-AU"/>
              </w:rPr>
            </w:pPr>
            <w:r w:rsidRPr="008A74D0">
              <w:rPr>
                <w:lang w:val="en-AU"/>
              </w:rPr>
              <w:t>Marks</w:t>
            </w:r>
          </w:p>
        </w:tc>
        <w:tc>
          <w:tcPr>
            <w:tcW w:w="259" w:type="pct"/>
            <w:hideMark/>
          </w:tcPr>
          <w:p w14:paraId="33D9DF10" w14:textId="77777777" w:rsidR="00B10493" w:rsidRPr="008A74D0" w:rsidRDefault="00B10493" w:rsidP="00221D31">
            <w:pPr>
              <w:pStyle w:val="VCAAtablecondensedheading"/>
              <w:rPr>
                <w:lang w:val="en-AU"/>
              </w:rPr>
            </w:pPr>
            <w:r w:rsidRPr="008A74D0">
              <w:rPr>
                <w:lang w:val="en-AU"/>
              </w:rPr>
              <w:t>0</w:t>
            </w:r>
          </w:p>
        </w:tc>
        <w:tc>
          <w:tcPr>
            <w:tcW w:w="259" w:type="pct"/>
            <w:hideMark/>
          </w:tcPr>
          <w:p w14:paraId="484F2B46" w14:textId="77777777" w:rsidR="00B10493" w:rsidRPr="008A74D0" w:rsidRDefault="00B10493" w:rsidP="00221D31">
            <w:pPr>
              <w:pStyle w:val="VCAAtablecondensedheading"/>
              <w:rPr>
                <w:lang w:val="en-AU"/>
              </w:rPr>
            </w:pPr>
            <w:r w:rsidRPr="008A74D0">
              <w:rPr>
                <w:lang w:val="en-AU"/>
              </w:rPr>
              <w:t>1</w:t>
            </w:r>
          </w:p>
        </w:tc>
        <w:tc>
          <w:tcPr>
            <w:tcW w:w="259" w:type="pct"/>
            <w:hideMark/>
          </w:tcPr>
          <w:p w14:paraId="203BFAB1" w14:textId="77777777" w:rsidR="00B10493" w:rsidRPr="008A74D0" w:rsidRDefault="00B10493" w:rsidP="00221D31">
            <w:pPr>
              <w:pStyle w:val="VCAAtablecondensedheading"/>
              <w:rPr>
                <w:lang w:val="en-AU"/>
              </w:rPr>
            </w:pPr>
            <w:r w:rsidRPr="008A74D0">
              <w:rPr>
                <w:lang w:val="en-AU"/>
              </w:rPr>
              <w:t>2</w:t>
            </w:r>
          </w:p>
        </w:tc>
        <w:tc>
          <w:tcPr>
            <w:tcW w:w="259" w:type="pct"/>
            <w:hideMark/>
          </w:tcPr>
          <w:p w14:paraId="380D1F1C" w14:textId="77777777" w:rsidR="00B10493" w:rsidRPr="008A74D0" w:rsidRDefault="00B10493" w:rsidP="00221D31">
            <w:pPr>
              <w:pStyle w:val="VCAAtablecondensedheading"/>
              <w:rPr>
                <w:lang w:val="en-AU"/>
              </w:rPr>
            </w:pPr>
            <w:r w:rsidRPr="008A74D0">
              <w:rPr>
                <w:lang w:val="en-AU"/>
              </w:rPr>
              <w:t>3</w:t>
            </w:r>
          </w:p>
        </w:tc>
        <w:tc>
          <w:tcPr>
            <w:tcW w:w="259" w:type="pct"/>
            <w:hideMark/>
          </w:tcPr>
          <w:p w14:paraId="6A6F4199" w14:textId="77777777" w:rsidR="00B10493" w:rsidRPr="008A74D0" w:rsidRDefault="00B10493" w:rsidP="00221D31">
            <w:pPr>
              <w:pStyle w:val="VCAAtablecondensedheading"/>
              <w:rPr>
                <w:lang w:val="en-AU"/>
              </w:rPr>
            </w:pPr>
            <w:r w:rsidRPr="008A74D0">
              <w:rPr>
                <w:lang w:val="en-AU"/>
              </w:rPr>
              <w:t>4</w:t>
            </w:r>
          </w:p>
        </w:tc>
        <w:tc>
          <w:tcPr>
            <w:tcW w:w="259" w:type="pct"/>
            <w:hideMark/>
          </w:tcPr>
          <w:p w14:paraId="49346EE9" w14:textId="77777777" w:rsidR="00B10493" w:rsidRPr="008A74D0" w:rsidRDefault="00B10493" w:rsidP="00221D31">
            <w:pPr>
              <w:pStyle w:val="VCAAtablecondensedheading"/>
              <w:rPr>
                <w:lang w:val="en-AU"/>
              </w:rPr>
            </w:pPr>
            <w:r w:rsidRPr="008A74D0">
              <w:rPr>
                <w:lang w:val="en-AU"/>
              </w:rPr>
              <w:t>5</w:t>
            </w:r>
          </w:p>
        </w:tc>
        <w:tc>
          <w:tcPr>
            <w:tcW w:w="259" w:type="pct"/>
            <w:hideMark/>
          </w:tcPr>
          <w:p w14:paraId="7B8FC2CC" w14:textId="77777777" w:rsidR="00B10493" w:rsidRPr="008A74D0" w:rsidRDefault="00B10493" w:rsidP="00221D31">
            <w:pPr>
              <w:pStyle w:val="VCAAtablecondensedheading"/>
              <w:rPr>
                <w:lang w:val="en-AU"/>
              </w:rPr>
            </w:pPr>
            <w:r w:rsidRPr="008A74D0">
              <w:rPr>
                <w:lang w:val="en-AU"/>
              </w:rPr>
              <w:t>6</w:t>
            </w:r>
          </w:p>
        </w:tc>
        <w:tc>
          <w:tcPr>
            <w:tcW w:w="259" w:type="pct"/>
            <w:hideMark/>
          </w:tcPr>
          <w:p w14:paraId="55310A5D" w14:textId="77777777" w:rsidR="00B10493" w:rsidRPr="008A74D0" w:rsidRDefault="00B10493" w:rsidP="00221D31">
            <w:pPr>
              <w:pStyle w:val="VCAAtablecondensedheading"/>
              <w:rPr>
                <w:lang w:val="en-AU"/>
              </w:rPr>
            </w:pPr>
            <w:r w:rsidRPr="008A74D0">
              <w:rPr>
                <w:lang w:val="en-AU"/>
              </w:rPr>
              <w:t>7</w:t>
            </w:r>
          </w:p>
        </w:tc>
        <w:tc>
          <w:tcPr>
            <w:tcW w:w="259" w:type="pct"/>
            <w:hideMark/>
          </w:tcPr>
          <w:p w14:paraId="55676E2C" w14:textId="77777777" w:rsidR="00B10493" w:rsidRPr="008A74D0" w:rsidRDefault="00B10493" w:rsidP="00221D31">
            <w:pPr>
              <w:pStyle w:val="VCAAtablecondensedheading"/>
              <w:rPr>
                <w:lang w:val="en-AU"/>
              </w:rPr>
            </w:pPr>
            <w:r w:rsidRPr="008A74D0">
              <w:rPr>
                <w:lang w:val="en-AU"/>
              </w:rPr>
              <w:t>8</w:t>
            </w:r>
          </w:p>
        </w:tc>
        <w:tc>
          <w:tcPr>
            <w:tcW w:w="259" w:type="pct"/>
            <w:hideMark/>
          </w:tcPr>
          <w:p w14:paraId="7BFA6665" w14:textId="77777777" w:rsidR="00B10493" w:rsidRPr="008A74D0" w:rsidRDefault="00B10493" w:rsidP="00221D31">
            <w:pPr>
              <w:pStyle w:val="VCAAtablecondensedheading"/>
              <w:rPr>
                <w:lang w:val="en-AU"/>
              </w:rPr>
            </w:pPr>
            <w:r w:rsidRPr="008A74D0">
              <w:rPr>
                <w:lang w:val="en-AU"/>
              </w:rPr>
              <w:t>9</w:t>
            </w:r>
          </w:p>
        </w:tc>
        <w:tc>
          <w:tcPr>
            <w:tcW w:w="259" w:type="pct"/>
            <w:hideMark/>
          </w:tcPr>
          <w:p w14:paraId="50373DC8" w14:textId="77777777" w:rsidR="00B10493" w:rsidRPr="008A74D0" w:rsidRDefault="00B10493" w:rsidP="00221D31">
            <w:pPr>
              <w:pStyle w:val="VCAAtablecondensedheading"/>
              <w:rPr>
                <w:lang w:val="en-AU"/>
              </w:rPr>
            </w:pPr>
            <w:r w:rsidRPr="008A74D0">
              <w:rPr>
                <w:lang w:val="en-AU"/>
              </w:rPr>
              <w:t>10</w:t>
            </w:r>
          </w:p>
        </w:tc>
        <w:tc>
          <w:tcPr>
            <w:tcW w:w="259" w:type="pct"/>
            <w:hideMark/>
          </w:tcPr>
          <w:p w14:paraId="7249FCB1" w14:textId="77777777" w:rsidR="00B10493" w:rsidRPr="008A74D0" w:rsidRDefault="00B10493" w:rsidP="00221D31">
            <w:pPr>
              <w:pStyle w:val="VCAAtablecondensedheading"/>
              <w:rPr>
                <w:lang w:val="en-AU"/>
              </w:rPr>
            </w:pPr>
            <w:r w:rsidRPr="008A74D0">
              <w:rPr>
                <w:lang w:val="en-AU"/>
              </w:rPr>
              <w:t>11</w:t>
            </w:r>
          </w:p>
        </w:tc>
        <w:tc>
          <w:tcPr>
            <w:tcW w:w="259" w:type="pct"/>
            <w:hideMark/>
          </w:tcPr>
          <w:p w14:paraId="1B7006BE" w14:textId="77777777" w:rsidR="00B10493" w:rsidRPr="008A74D0" w:rsidRDefault="00B10493" w:rsidP="00221D31">
            <w:pPr>
              <w:pStyle w:val="VCAAtablecondensedheading"/>
              <w:rPr>
                <w:lang w:val="en-AU"/>
              </w:rPr>
            </w:pPr>
            <w:r w:rsidRPr="008A74D0">
              <w:rPr>
                <w:lang w:val="en-AU"/>
              </w:rPr>
              <w:t>12</w:t>
            </w:r>
          </w:p>
        </w:tc>
        <w:tc>
          <w:tcPr>
            <w:tcW w:w="259" w:type="pct"/>
            <w:hideMark/>
          </w:tcPr>
          <w:p w14:paraId="33BF64FD" w14:textId="77777777" w:rsidR="00B10493" w:rsidRPr="008A74D0" w:rsidRDefault="00B10493" w:rsidP="00221D31">
            <w:pPr>
              <w:pStyle w:val="VCAAtablecondensedheading"/>
              <w:rPr>
                <w:lang w:val="en-AU"/>
              </w:rPr>
            </w:pPr>
            <w:r w:rsidRPr="008A74D0">
              <w:rPr>
                <w:lang w:val="en-AU"/>
              </w:rPr>
              <w:t>13</w:t>
            </w:r>
          </w:p>
        </w:tc>
        <w:tc>
          <w:tcPr>
            <w:tcW w:w="259" w:type="pct"/>
            <w:hideMark/>
          </w:tcPr>
          <w:p w14:paraId="50922011" w14:textId="77777777" w:rsidR="00B10493" w:rsidRPr="008A74D0" w:rsidRDefault="00B10493" w:rsidP="00221D31">
            <w:pPr>
              <w:pStyle w:val="VCAAtablecondensedheading"/>
              <w:rPr>
                <w:lang w:val="en-AU"/>
              </w:rPr>
            </w:pPr>
            <w:r w:rsidRPr="008A74D0">
              <w:rPr>
                <w:lang w:val="en-AU"/>
              </w:rPr>
              <w:t>14</w:t>
            </w:r>
          </w:p>
        </w:tc>
        <w:tc>
          <w:tcPr>
            <w:tcW w:w="603" w:type="pct"/>
            <w:hideMark/>
          </w:tcPr>
          <w:p w14:paraId="10E50412" w14:textId="77777777" w:rsidR="00B10493" w:rsidRPr="008A74D0" w:rsidRDefault="00B10493" w:rsidP="00221D31">
            <w:pPr>
              <w:pStyle w:val="VCAAtablecondensedheading"/>
              <w:rPr>
                <w:lang w:val="en-AU"/>
              </w:rPr>
            </w:pPr>
            <w:r w:rsidRPr="008A74D0">
              <w:rPr>
                <w:lang w:val="en-AU"/>
              </w:rPr>
              <w:t>Average</w:t>
            </w:r>
          </w:p>
        </w:tc>
      </w:tr>
      <w:tr w:rsidR="006F5723" w:rsidRPr="008A74D0" w14:paraId="57DEDDD3" w14:textId="77777777" w:rsidTr="009311D4">
        <w:tc>
          <w:tcPr>
            <w:tcW w:w="517" w:type="pct"/>
            <w:hideMark/>
          </w:tcPr>
          <w:p w14:paraId="0CEC78DC" w14:textId="77777777" w:rsidR="00B10493" w:rsidRPr="008A74D0" w:rsidRDefault="00B10493">
            <w:pPr>
              <w:pStyle w:val="VCAAtablecondensed"/>
              <w:rPr>
                <w:lang w:val="en-AU"/>
              </w:rPr>
            </w:pPr>
            <w:r w:rsidRPr="008A74D0">
              <w:rPr>
                <w:lang w:val="en-AU"/>
              </w:rPr>
              <w:t>%</w:t>
            </w:r>
          </w:p>
        </w:tc>
        <w:tc>
          <w:tcPr>
            <w:tcW w:w="259" w:type="pct"/>
          </w:tcPr>
          <w:p w14:paraId="66E55467" w14:textId="1D3E8325" w:rsidR="00B10493" w:rsidRPr="008A74D0" w:rsidRDefault="00A94417">
            <w:pPr>
              <w:pStyle w:val="VCAAtablecondensed"/>
              <w:rPr>
                <w:lang w:val="en-AU"/>
              </w:rPr>
            </w:pPr>
            <w:r w:rsidRPr="008A74D0">
              <w:rPr>
                <w:lang w:val="en-AU"/>
              </w:rPr>
              <w:t>4</w:t>
            </w:r>
          </w:p>
        </w:tc>
        <w:tc>
          <w:tcPr>
            <w:tcW w:w="259" w:type="pct"/>
          </w:tcPr>
          <w:p w14:paraId="06E3F460" w14:textId="0B2E8018" w:rsidR="00B10493" w:rsidRPr="008A74D0" w:rsidRDefault="00A94417">
            <w:pPr>
              <w:pStyle w:val="VCAAtablecondensed"/>
              <w:rPr>
                <w:lang w:val="en-AU"/>
              </w:rPr>
            </w:pPr>
            <w:r w:rsidRPr="008A74D0">
              <w:rPr>
                <w:lang w:val="en-AU"/>
              </w:rPr>
              <w:t>1</w:t>
            </w:r>
          </w:p>
        </w:tc>
        <w:tc>
          <w:tcPr>
            <w:tcW w:w="259" w:type="pct"/>
          </w:tcPr>
          <w:p w14:paraId="7222AB23" w14:textId="3FE3A9CC" w:rsidR="00B10493" w:rsidRPr="008A74D0" w:rsidRDefault="00A94417">
            <w:pPr>
              <w:pStyle w:val="VCAAtablecondensed"/>
              <w:rPr>
                <w:lang w:val="en-AU"/>
              </w:rPr>
            </w:pPr>
            <w:r w:rsidRPr="008A74D0">
              <w:rPr>
                <w:lang w:val="en-AU"/>
              </w:rPr>
              <w:t>1</w:t>
            </w:r>
          </w:p>
        </w:tc>
        <w:tc>
          <w:tcPr>
            <w:tcW w:w="259" w:type="pct"/>
          </w:tcPr>
          <w:p w14:paraId="370C5A9F" w14:textId="3A1B3C75" w:rsidR="00B10493" w:rsidRPr="008A74D0" w:rsidRDefault="00A94417">
            <w:pPr>
              <w:pStyle w:val="VCAAtablecondensed"/>
              <w:rPr>
                <w:lang w:val="en-AU"/>
              </w:rPr>
            </w:pPr>
            <w:r w:rsidRPr="008A74D0">
              <w:rPr>
                <w:lang w:val="en-AU"/>
              </w:rPr>
              <w:t>2</w:t>
            </w:r>
          </w:p>
        </w:tc>
        <w:tc>
          <w:tcPr>
            <w:tcW w:w="259" w:type="pct"/>
          </w:tcPr>
          <w:p w14:paraId="6FFD57CE" w14:textId="190B115A" w:rsidR="00B10493" w:rsidRPr="008A74D0" w:rsidRDefault="00A94417">
            <w:pPr>
              <w:pStyle w:val="VCAAtablecondensed"/>
              <w:rPr>
                <w:lang w:val="en-AU"/>
              </w:rPr>
            </w:pPr>
            <w:r w:rsidRPr="008A74D0">
              <w:rPr>
                <w:lang w:val="en-AU"/>
              </w:rPr>
              <w:t>2</w:t>
            </w:r>
          </w:p>
        </w:tc>
        <w:tc>
          <w:tcPr>
            <w:tcW w:w="259" w:type="pct"/>
          </w:tcPr>
          <w:p w14:paraId="651E7611" w14:textId="2949ED62" w:rsidR="00B10493" w:rsidRPr="008A74D0" w:rsidRDefault="00A94417">
            <w:pPr>
              <w:pStyle w:val="VCAAtablecondensed"/>
              <w:rPr>
                <w:lang w:val="en-AU"/>
              </w:rPr>
            </w:pPr>
            <w:r w:rsidRPr="008A74D0">
              <w:rPr>
                <w:lang w:val="en-AU"/>
              </w:rPr>
              <w:t>4</w:t>
            </w:r>
          </w:p>
        </w:tc>
        <w:tc>
          <w:tcPr>
            <w:tcW w:w="259" w:type="pct"/>
          </w:tcPr>
          <w:p w14:paraId="5CA44A4F" w14:textId="1401371E" w:rsidR="00B10493" w:rsidRPr="008A74D0" w:rsidRDefault="00A94417">
            <w:pPr>
              <w:pStyle w:val="VCAAtablecondensed"/>
              <w:rPr>
                <w:lang w:val="en-AU"/>
              </w:rPr>
            </w:pPr>
            <w:r w:rsidRPr="008A74D0">
              <w:rPr>
                <w:lang w:val="en-AU"/>
              </w:rPr>
              <w:t>5</w:t>
            </w:r>
          </w:p>
        </w:tc>
        <w:tc>
          <w:tcPr>
            <w:tcW w:w="259" w:type="pct"/>
          </w:tcPr>
          <w:p w14:paraId="25C39443" w14:textId="1E0DBC68" w:rsidR="00B10493" w:rsidRPr="008A74D0" w:rsidRDefault="00A94417">
            <w:pPr>
              <w:pStyle w:val="VCAAtablecondensed"/>
              <w:rPr>
                <w:lang w:val="en-AU"/>
              </w:rPr>
            </w:pPr>
            <w:r w:rsidRPr="008A74D0">
              <w:rPr>
                <w:lang w:val="en-AU"/>
              </w:rPr>
              <w:t>10</w:t>
            </w:r>
          </w:p>
        </w:tc>
        <w:tc>
          <w:tcPr>
            <w:tcW w:w="259" w:type="pct"/>
          </w:tcPr>
          <w:p w14:paraId="5B1BA6D4" w14:textId="539CC7E2" w:rsidR="00B10493" w:rsidRPr="008A74D0" w:rsidRDefault="00A94417">
            <w:pPr>
              <w:pStyle w:val="VCAAtablecondensed"/>
              <w:rPr>
                <w:lang w:val="en-AU"/>
              </w:rPr>
            </w:pPr>
            <w:r w:rsidRPr="008A74D0">
              <w:rPr>
                <w:lang w:val="en-AU"/>
              </w:rPr>
              <w:t>10</w:t>
            </w:r>
          </w:p>
        </w:tc>
        <w:tc>
          <w:tcPr>
            <w:tcW w:w="259" w:type="pct"/>
          </w:tcPr>
          <w:p w14:paraId="4EDC00B6" w14:textId="490E94F6" w:rsidR="00B10493" w:rsidRPr="008A74D0" w:rsidRDefault="00A94417">
            <w:pPr>
              <w:pStyle w:val="VCAAtablecondensed"/>
              <w:rPr>
                <w:lang w:val="en-AU"/>
              </w:rPr>
            </w:pPr>
            <w:r w:rsidRPr="008A74D0">
              <w:rPr>
                <w:lang w:val="en-AU"/>
              </w:rPr>
              <w:t>13</w:t>
            </w:r>
          </w:p>
        </w:tc>
        <w:tc>
          <w:tcPr>
            <w:tcW w:w="259" w:type="pct"/>
          </w:tcPr>
          <w:p w14:paraId="69141CF5" w14:textId="571CE064" w:rsidR="00B10493" w:rsidRPr="008A74D0" w:rsidRDefault="00A94417">
            <w:pPr>
              <w:pStyle w:val="VCAAtablecondensed"/>
              <w:rPr>
                <w:lang w:val="en-AU"/>
              </w:rPr>
            </w:pPr>
            <w:r w:rsidRPr="008A74D0">
              <w:rPr>
                <w:lang w:val="en-AU"/>
              </w:rPr>
              <w:t>12</w:t>
            </w:r>
          </w:p>
        </w:tc>
        <w:tc>
          <w:tcPr>
            <w:tcW w:w="259" w:type="pct"/>
          </w:tcPr>
          <w:p w14:paraId="43A7D0D9" w14:textId="1925F189" w:rsidR="00B10493" w:rsidRPr="008A74D0" w:rsidRDefault="00A94417">
            <w:pPr>
              <w:pStyle w:val="VCAAtablecondensed"/>
              <w:rPr>
                <w:lang w:val="en-AU"/>
              </w:rPr>
            </w:pPr>
            <w:r w:rsidRPr="008A74D0">
              <w:rPr>
                <w:lang w:val="en-AU"/>
              </w:rPr>
              <w:t>10</w:t>
            </w:r>
          </w:p>
        </w:tc>
        <w:tc>
          <w:tcPr>
            <w:tcW w:w="259" w:type="pct"/>
          </w:tcPr>
          <w:p w14:paraId="1803F99D" w14:textId="44F931EF" w:rsidR="00B10493" w:rsidRPr="008A74D0" w:rsidRDefault="00A94417">
            <w:pPr>
              <w:pStyle w:val="VCAAtablecondensed"/>
              <w:rPr>
                <w:lang w:val="en-AU"/>
              </w:rPr>
            </w:pPr>
            <w:r w:rsidRPr="008A74D0">
              <w:rPr>
                <w:lang w:val="en-AU"/>
              </w:rPr>
              <w:t>11</w:t>
            </w:r>
          </w:p>
        </w:tc>
        <w:tc>
          <w:tcPr>
            <w:tcW w:w="259" w:type="pct"/>
          </w:tcPr>
          <w:p w14:paraId="6B8BBB46" w14:textId="234D6A30" w:rsidR="00B10493" w:rsidRPr="008A74D0" w:rsidRDefault="00A94417">
            <w:pPr>
              <w:pStyle w:val="VCAAtablecondensed"/>
              <w:rPr>
                <w:lang w:val="en-AU"/>
              </w:rPr>
            </w:pPr>
            <w:r w:rsidRPr="008A74D0">
              <w:rPr>
                <w:lang w:val="en-AU"/>
              </w:rPr>
              <w:t>7</w:t>
            </w:r>
          </w:p>
        </w:tc>
        <w:tc>
          <w:tcPr>
            <w:tcW w:w="259" w:type="pct"/>
          </w:tcPr>
          <w:p w14:paraId="6A9C51F5" w14:textId="42656470" w:rsidR="00B10493" w:rsidRPr="008A74D0" w:rsidRDefault="00A94417">
            <w:pPr>
              <w:pStyle w:val="VCAAtablecondensed"/>
              <w:rPr>
                <w:lang w:val="en-AU"/>
              </w:rPr>
            </w:pPr>
            <w:r w:rsidRPr="008A74D0">
              <w:rPr>
                <w:lang w:val="en-AU"/>
              </w:rPr>
              <w:t>8</w:t>
            </w:r>
          </w:p>
        </w:tc>
        <w:tc>
          <w:tcPr>
            <w:tcW w:w="603" w:type="pct"/>
          </w:tcPr>
          <w:p w14:paraId="0A0102A4" w14:textId="135A1D63" w:rsidR="00B10493" w:rsidRPr="008A74D0" w:rsidRDefault="00A94417">
            <w:pPr>
              <w:pStyle w:val="VCAAtablecondensed"/>
              <w:rPr>
                <w:lang w:val="en-AU"/>
              </w:rPr>
            </w:pPr>
            <w:r w:rsidRPr="008A74D0">
              <w:rPr>
                <w:lang w:val="en-AU"/>
              </w:rPr>
              <w:t>9.0</w:t>
            </w:r>
          </w:p>
        </w:tc>
      </w:tr>
    </w:tbl>
    <w:p w14:paraId="4F9FD227" w14:textId="77777777" w:rsidR="003E12FA" w:rsidRPr="008A74D0" w:rsidRDefault="003E12FA" w:rsidP="00053457">
      <w:pPr>
        <w:pStyle w:val="VCAAbody"/>
        <w:rPr>
          <w:lang w:val="en-AU"/>
        </w:rPr>
      </w:pPr>
      <w:r w:rsidRPr="008A74D0">
        <w:rPr>
          <w:lang w:val="en-AU"/>
        </w:rPr>
        <w:t xml:space="preserve">Students were required to apply the structural and cultural analytical frameworks to interpret an artwork produced before 1990 that they had studied this year. High-scoring responses provided balanced answers to each framework, directly referenced the artwork in their answer, provided clear interpretations and supported their analysis using evidence from the artwork. Mid-range responses tended to focus on one framework, usually the structural combined with a discussion that relied upon the description of the artwork rather than an analysis of it. Students should remember that an application of the framework is designed as a lens through which they analyse the artwork.  </w:t>
      </w:r>
    </w:p>
    <w:p w14:paraId="0AABE75D" w14:textId="77777777" w:rsidR="004E4FFF" w:rsidRPr="008A74D0" w:rsidRDefault="004E4FFF" w:rsidP="004E4FFF">
      <w:pPr>
        <w:pStyle w:val="VCAAbody"/>
        <w:rPr>
          <w:lang w:val="en-AU"/>
        </w:rPr>
      </w:pPr>
      <w:r w:rsidRPr="008A74D0">
        <w:rPr>
          <w:lang w:val="en-AU"/>
        </w:rPr>
        <w:t>The following is an example of a high-scoring response.</w:t>
      </w:r>
    </w:p>
    <w:p w14:paraId="44B1463D" w14:textId="77777777" w:rsidR="003E12FA" w:rsidRPr="008A74D0" w:rsidRDefault="003E12FA" w:rsidP="00053457">
      <w:pPr>
        <w:pStyle w:val="VCAAstudentresponse"/>
        <w:rPr>
          <w:lang w:val="en-AU"/>
        </w:rPr>
      </w:pPr>
      <w:r w:rsidRPr="008A74D0">
        <w:rPr>
          <w:lang w:val="en-AU"/>
        </w:rPr>
        <w:t>Name of artist: Jackson Pollock</w:t>
      </w:r>
    </w:p>
    <w:p w14:paraId="5FE06CE6" w14:textId="77777777" w:rsidR="003E12FA" w:rsidRPr="008A74D0" w:rsidRDefault="003E12FA" w:rsidP="00053457">
      <w:pPr>
        <w:pStyle w:val="VCAAstudentresponse"/>
        <w:rPr>
          <w:lang w:val="en-AU"/>
        </w:rPr>
      </w:pPr>
      <w:r w:rsidRPr="008A74D0">
        <w:rPr>
          <w:lang w:val="en-AU"/>
        </w:rPr>
        <w:t>Title of artwork and approximate date: One: Number 31 (1950)</w:t>
      </w:r>
    </w:p>
    <w:p w14:paraId="0C124F91" w14:textId="77777777" w:rsidR="003E12FA" w:rsidRPr="008A74D0" w:rsidRDefault="003E12FA" w:rsidP="00053457">
      <w:pPr>
        <w:pStyle w:val="VCAAstudentresponse"/>
        <w:rPr>
          <w:lang w:val="en-AU"/>
        </w:rPr>
      </w:pPr>
      <w:r w:rsidRPr="008A74D0">
        <w:rPr>
          <w:lang w:val="en-AU"/>
        </w:rPr>
        <w:t>Structural analytical framework</w:t>
      </w:r>
    </w:p>
    <w:p w14:paraId="35831A09" w14:textId="363BE756" w:rsidR="003E12FA" w:rsidRPr="008A74D0" w:rsidRDefault="003E12FA" w:rsidP="00053457">
      <w:pPr>
        <w:pStyle w:val="VCAAstudentresponse"/>
        <w:rPr>
          <w:lang w:val="en-AU"/>
        </w:rPr>
      </w:pPr>
      <w:r w:rsidRPr="008A74D0">
        <w:rPr>
          <w:lang w:val="en-AU"/>
        </w:rPr>
        <w:t>Muted industrial colours traverse the entire canvas, consisting of interwoven static lines and an equilibrium of movement and energy. Using hardened paintbrushes to drip enamel paint onto the floor’s canvas, the erratically placed lines are equally a product o</w:t>
      </w:r>
      <w:r w:rsidR="002B26C9">
        <w:rPr>
          <w:lang w:val="en-AU"/>
        </w:rPr>
        <w:t>f</w:t>
      </w:r>
      <w:r w:rsidRPr="008A74D0">
        <w:rPr>
          <w:lang w:val="en-AU"/>
        </w:rPr>
        <w:t xml:space="preserve"> gravity and nature’s primal rhythms, as well as Pollock’s forceful gestures. Harnessing the power of the unconscious mind, there is no subject matter but rather an outpouring of personality and his internal state. As the many layers pool and interweave with one another, a sense of depth is created as the white splatters advance to the foreground, and the grey, blue and brown recede. The interwoven and layered nature of the piece can be symbolically likened to neurological pathways of the brain, further bolstering the idea that the piece is his mind and psychological state translated into visual form. The enormity of scale creates a tapestry-like viewing as viewers’ eyesights are completely surrounded and engulfed by this ‘web’ of lines. The immersive experience upon viewing can act as a reminder of the vastness and never-ending nature of the mind and by result the cosmos. The smaller white splatters and dots are akin to glowing stars, looping in neverending milky </w:t>
      </w:r>
      <w:r w:rsidRPr="008A74D0">
        <w:rPr>
          <w:lang w:val="en-AU"/>
        </w:rPr>
        <w:lastRenderedPageBreak/>
        <w:t xml:space="preserve">ways and galaxies of the universe – equally as vast and equally as uncontainable in humanity’s comprehension. </w:t>
      </w:r>
    </w:p>
    <w:p w14:paraId="3C3B13E2" w14:textId="416FEE2E" w:rsidR="003E12FA" w:rsidRPr="008A74D0" w:rsidRDefault="003E12FA" w:rsidP="00053457">
      <w:pPr>
        <w:pStyle w:val="VCAAstudentresponse"/>
        <w:rPr>
          <w:lang w:val="en-AU"/>
        </w:rPr>
      </w:pPr>
      <w:r w:rsidRPr="008A74D0">
        <w:rPr>
          <w:lang w:val="en-AU"/>
        </w:rPr>
        <w:t>Cultural analytical framework</w:t>
      </w:r>
    </w:p>
    <w:p w14:paraId="56441B65" w14:textId="6B603046" w:rsidR="00EE463A" w:rsidRPr="008A74D0" w:rsidRDefault="003E12FA" w:rsidP="00053457">
      <w:pPr>
        <w:pStyle w:val="VCAAstudentresponse"/>
        <w:rPr>
          <w:lang w:val="en-AU"/>
        </w:rPr>
      </w:pPr>
      <w:r w:rsidRPr="008A74D0">
        <w:rPr>
          <w:lang w:val="en-AU"/>
        </w:rPr>
        <w:t xml:space="preserve">Being part of Abstract Expressionism, Pollock saw art as containing a responsibility to </w:t>
      </w:r>
      <w:r w:rsidR="00AC0378" w:rsidRPr="008A74D0">
        <w:rPr>
          <w:lang w:val="en-AU"/>
        </w:rPr>
        <w:t>‘</w:t>
      </w:r>
      <w:r w:rsidRPr="008A74D0">
        <w:rPr>
          <w:lang w:val="en-AU"/>
        </w:rPr>
        <w:t>confront the ills of society.</w:t>
      </w:r>
      <w:r w:rsidR="00AC0378" w:rsidRPr="008A74D0">
        <w:rPr>
          <w:lang w:val="en-AU"/>
        </w:rPr>
        <w:t>’</w:t>
      </w:r>
      <w:r w:rsidRPr="008A74D0">
        <w:rPr>
          <w:lang w:val="en-AU"/>
        </w:rPr>
        <w:t xml:space="preserve"> Following the second world war, American society was recovering from one of history’s largest atrocities. Pollock and his fellow Abstract Expressionists saw this as an opportunity to change art into a more abstract and radical form of expression to reflect the upheaval of the time period. The art world required more violent and expressive ways to portray this new era. Pollock introduced frenzy and energy unseen to the art world. The explosive and anarchic energies which imbue the piece can be compared to the visual representation of a bomb’s detonation or the explosion and splattering of human remains. While he did create from within, he was also equally inspired by the art world around him. Having a fascination with Native American sand paintings, Pollock similarly utilised a harnessing of gravity to aid his drip technique. Their use of upside-down symbols also prompted an intrigue in abstraction; however, Pollock abandoned any hint of iconography. Rather, he also worked by placing the canvas on the ground and filling the canvas with untrammelled irregularity. Seen in One: Number 31, there is no focal point or ‘proper’ orientation – it is a consistently chaotic spread of looping chords, which stretch right until the edges of the canvas. Inspired by the world around him, Pollock used other artistic inspirations as a means of influencing his artwork, whether intentional or not. </w:t>
      </w:r>
    </w:p>
    <w:p w14:paraId="0DDBD739" w14:textId="320B499A" w:rsidR="00EE463A" w:rsidRPr="008A74D0" w:rsidRDefault="00EE463A" w:rsidP="00053457">
      <w:pPr>
        <w:pStyle w:val="VCAAHeading2"/>
        <w:rPr>
          <w:lang w:val="en-AU"/>
        </w:rPr>
      </w:pPr>
      <w:r w:rsidRPr="008A74D0">
        <w:rPr>
          <w:lang w:val="en-AU"/>
        </w:rPr>
        <w:t>Question 9</w:t>
      </w:r>
    </w:p>
    <w:tbl>
      <w:tblPr>
        <w:tblStyle w:val="VCAATableClosed"/>
        <w:tblW w:w="8784" w:type="dxa"/>
        <w:tblInd w:w="113"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576"/>
        <w:gridCol w:w="1008"/>
      </w:tblGrid>
      <w:tr w:rsidR="006F5723" w:rsidRPr="008A74D0" w14:paraId="67159DE5" w14:textId="77777777" w:rsidTr="009311D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66EDD352" w14:textId="17460145" w:rsidR="00B10493" w:rsidRPr="008A74D0" w:rsidRDefault="00B10493" w:rsidP="004D2407">
            <w:pPr>
              <w:pStyle w:val="VCAAtablecondensedheading"/>
              <w:rPr>
                <w:lang w:val="en-AU"/>
              </w:rPr>
            </w:pPr>
            <w:r w:rsidRPr="008A74D0">
              <w:rPr>
                <w:lang w:val="en-AU"/>
              </w:rPr>
              <w:t>Marks</w:t>
            </w:r>
          </w:p>
        </w:tc>
        <w:tc>
          <w:tcPr>
            <w:tcW w:w="576" w:type="dxa"/>
            <w:tcBorders>
              <w:top w:val="single" w:sz="4" w:space="0" w:color="000000" w:themeColor="text1"/>
              <w:bottom w:val="single" w:sz="4" w:space="0" w:color="000000" w:themeColor="text1"/>
            </w:tcBorders>
            <w:hideMark/>
          </w:tcPr>
          <w:p w14:paraId="4CD0D2DF" w14:textId="77777777" w:rsidR="00B10493" w:rsidRPr="008A74D0" w:rsidRDefault="00B10493" w:rsidP="00221D31">
            <w:pPr>
              <w:pStyle w:val="VCAAtablecondensedheading"/>
              <w:rPr>
                <w:lang w:val="en-AU"/>
              </w:rPr>
            </w:pPr>
            <w:r w:rsidRPr="008A74D0">
              <w:rPr>
                <w:lang w:val="en-AU"/>
              </w:rPr>
              <w:t>0</w:t>
            </w:r>
          </w:p>
        </w:tc>
        <w:tc>
          <w:tcPr>
            <w:tcW w:w="576" w:type="dxa"/>
            <w:tcBorders>
              <w:top w:val="single" w:sz="4" w:space="0" w:color="000000" w:themeColor="text1"/>
              <w:bottom w:val="single" w:sz="4" w:space="0" w:color="000000" w:themeColor="text1"/>
            </w:tcBorders>
            <w:hideMark/>
          </w:tcPr>
          <w:p w14:paraId="023685F0" w14:textId="77777777" w:rsidR="00B10493" w:rsidRPr="008A74D0" w:rsidRDefault="00B10493" w:rsidP="00221D31">
            <w:pPr>
              <w:pStyle w:val="VCAAtablecondensedheading"/>
              <w:rPr>
                <w:lang w:val="en-AU"/>
              </w:rPr>
            </w:pPr>
            <w:r w:rsidRPr="008A74D0">
              <w:rPr>
                <w:lang w:val="en-AU"/>
              </w:rPr>
              <w:t>1</w:t>
            </w:r>
          </w:p>
        </w:tc>
        <w:tc>
          <w:tcPr>
            <w:tcW w:w="576" w:type="dxa"/>
            <w:tcBorders>
              <w:top w:val="single" w:sz="4" w:space="0" w:color="000000" w:themeColor="text1"/>
              <w:bottom w:val="single" w:sz="4" w:space="0" w:color="000000" w:themeColor="text1"/>
            </w:tcBorders>
            <w:hideMark/>
          </w:tcPr>
          <w:p w14:paraId="00BD0243" w14:textId="77777777" w:rsidR="00B10493" w:rsidRPr="008A74D0" w:rsidRDefault="00B10493" w:rsidP="00221D31">
            <w:pPr>
              <w:pStyle w:val="VCAAtablecondensedheading"/>
              <w:rPr>
                <w:lang w:val="en-AU"/>
              </w:rPr>
            </w:pPr>
            <w:r w:rsidRPr="008A74D0">
              <w:rPr>
                <w:lang w:val="en-AU"/>
              </w:rPr>
              <w:t>2</w:t>
            </w:r>
          </w:p>
        </w:tc>
        <w:tc>
          <w:tcPr>
            <w:tcW w:w="576" w:type="dxa"/>
            <w:tcBorders>
              <w:top w:val="single" w:sz="4" w:space="0" w:color="000000" w:themeColor="text1"/>
              <w:bottom w:val="single" w:sz="4" w:space="0" w:color="000000" w:themeColor="text1"/>
            </w:tcBorders>
            <w:hideMark/>
          </w:tcPr>
          <w:p w14:paraId="6E0C6F0D" w14:textId="77777777" w:rsidR="00B10493" w:rsidRPr="008A74D0" w:rsidRDefault="00B10493" w:rsidP="00221D31">
            <w:pPr>
              <w:pStyle w:val="VCAAtablecondensedheading"/>
              <w:rPr>
                <w:lang w:val="en-AU"/>
              </w:rPr>
            </w:pPr>
            <w:r w:rsidRPr="008A74D0">
              <w:rPr>
                <w:lang w:val="en-AU"/>
              </w:rPr>
              <w:t>3</w:t>
            </w:r>
          </w:p>
        </w:tc>
        <w:tc>
          <w:tcPr>
            <w:tcW w:w="576" w:type="dxa"/>
            <w:tcBorders>
              <w:top w:val="single" w:sz="4" w:space="0" w:color="000000" w:themeColor="text1"/>
              <w:bottom w:val="single" w:sz="4" w:space="0" w:color="000000" w:themeColor="text1"/>
            </w:tcBorders>
            <w:hideMark/>
          </w:tcPr>
          <w:p w14:paraId="6E0D24B9" w14:textId="77777777" w:rsidR="00B10493" w:rsidRPr="008A74D0" w:rsidRDefault="00B10493" w:rsidP="00221D31">
            <w:pPr>
              <w:pStyle w:val="VCAAtablecondensedheading"/>
              <w:rPr>
                <w:lang w:val="en-AU"/>
              </w:rPr>
            </w:pPr>
            <w:r w:rsidRPr="008A74D0">
              <w:rPr>
                <w:lang w:val="en-AU"/>
              </w:rPr>
              <w:t>4</w:t>
            </w:r>
          </w:p>
        </w:tc>
        <w:tc>
          <w:tcPr>
            <w:tcW w:w="576" w:type="dxa"/>
            <w:tcBorders>
              <w:top w:val="single" w:sz="4" w:space="0" w:color="000000" w:themeColor="text1"/>
              <w:bottom w:val="single" w:sz="4" w:space="0" w:color="000000" w:themeColor="text1"/>
            </w:tcBorders>
            <w:hideMark/>
          </w:tcPr>
          <w:p w14:paraId="0946C6AB" w14:textId="77777777" w:rsidR="00B10493" w:rsidRPr="008A74D0" w:rsidRDefault="00B10493" w:rsidP="00221D31">
            <w:pPr>
              <w:pStyle w:val="VCAAtablecondensedheading"/>
              <w:rPr>
                <w:lang w:val="en-AU"/>
              </w:rPr>
            </w:pPr>
            <w:r w:rsidRPr="008A74D0">
              <w:rPr>
                <w:lang w:val="en-AU"/>
              </w:rPr>
              <w:t>5</w:t>
            </w:r>
          </w:p>
        </w:tc>
        <w:tc>
          <w:tcPr>
            <w:tcW w:w="576" w:type="dxa"/>
            <w:tcBorders>
              <w:top w:val="single" w:sz="4" w:space="0" w:color="000000" w:themeColor="text1"/>
              <w:bottom w:val="single" w:sz="4" w:space="0" w:color="000000" w:themeColor="text1"/>
            </w:tcBorders>
            <w:hideMark/>
          </w:tcPr>
          <w:p w14:paraId="7B405287" w14:textId="77777777" w:rsidR="00B10493" w:rsidRPr="008A74D0" w:rsidRDefault="00B10493" w:rsidP="00221D31">
            <w:pPr>
              <w:pStyle w:val="VCAAtablecondensedheading"/>
              <w:rPr>
                <w:lang w:val="en-AU"/>
              </w:rPr>
            </w:pPr>
            <w:r w:rsidRPr="008A74D0">
              <w:rPr>
                <w:lang w:val="en-AU"/>
              </w:rPr>
              <w:t>6</w:t>
            </w:r>
          </w:p>
        </w:tc>
        <w:tc>
          <w:tcPr>
            <w:tcW w:w="576" w:type="dxa"/>
            <w:tcBorders>
              <w:top w:val="single" w:sz="4" w:space="0" w:color="000000" w:themeColor="text1"/>
              <w:bottom w:val="single" w:sz="4" w:space="0" w:color="000000" w:themeColor="text1"/>
            </w:tcBorders>
            <w:hideMark/>
          </w:tcPr>
          <w:p w14:paraId="6DAAFF06" w14:textId="77777777" w:rsidR="00B10493" w:rsidRPr="008A74D0" w:rsidRDefault="00B10493" w:rsidP="00221D31">
            <w:pPr>
              <w:pStyle w:val="VCAAtablecondensedheading"/>
              <w:rPr>
                <w:lang w:val="en-AU"/>
              </w:rPr>
            </w:pPr>
            <w:r w:rsidRPr="008A74D0">
              <w:rPr>
                <w:lang w:val="en-AU"/>
              </w:rPr>
              <w:t>7</w:t>
            </w:r>
          </w:p>
        </w:tc>
        <w:tc>
          <w:tcPr>
            <w:tcW w:w="576" w:type="dxa"/>
            <w:tcBorders>
              <w:top w:val="single" w:sz="4" w:space="0" w:color="000000" w:themeColor="text1"/>
              <w:bottom w:val="single" w:sz="4" w:space="0" w:color="000000" w:themeColor="text1"/>
            </w:tcBorders>
            <w:hideMark/>
          </w:tcPr>
          <w:p w14:paraId="54067E4B" w14:textId="77777777" w:rsidR="00B10493" w:rsidRPr="008A74D0" w:rsidRDefault="00B10493" w:rsidP="00221D31">
            <w:pPr>
              <w:pStyle w:val="VCAAtablecondensedheading"/>
              <w:rPr>
                <w:lang w:val="en-AU"/>
              </w:rPr>
            </w:pPr>
            <w:r w:rsidRPr="008A74D0">
              <w:rPr>
                <w:lang w:val="en-AU"/>
              </w:rPr>
              <w:t>8</w:t>
            </w:r>
          </w:p>
        </w:tc>
        <w:tc>
          <w:tcPr>
            <w:tcW w:w="576" w:type="dxa"/>
            <w:tcBorders>
              <w:top w:val="single" w:sz="4" w:space="0" w:color="000000" w:themeColor="text1"/>
              <w:bottom w:val="single" w:sz="4" w:space="0" w:color="000000" w:themeColor="text1"/>
            </w:tcBorders>
            <w:hideMark/>
          </w:tcPr>
          <w:p w14:paraId="1827D97E" w14:textId="77777777" w:rsidR="00B10493" w:rsidRPr="008A74D0" w:rsidRDefault="00B10493" w:rsidP="00221D31">
            <w:pPr>
              <w:pStyle w:val="VCAAtablecondensedheading"/>
              <w:rPr>
                <w:lang w:val="en-AU"/>
              </w:rPr>
            </w:pPr>
            <w:r w:rsidRPr="008A74D0">
              <w:rPr>
                <w:lang w:val="en-AU"/>
              </w:rPr>
              <w:t>9</w:t>
            </w:r>
          </w:p>
        </w:tc>
        <w:tc>
          <w:tcPr>
            <w:tcW w:w="576" w:type="dxa"/>
            <w:tcBorders>
              <w:top w:val="single" w:sz="4" w:space="0" w:color="000000" w:themeColor="text1"/>
              <w:bottom w:val="single" w:sz="4" w:space="0" w:color="000000" w:themeColor="text1"/>
            </w:tcBorders>
            <w:hideMark/>
          </w:tcPr>
          <w:p w14:paraId="4BCF6CDF" w14:textId="77777777" w:rsidR="00B10493" w:rsidRPr="008A74D0" w:rsidRDefault="00B10493" w:rsidP="00221D31">
            <w:pPr>
              <w:pStyle w:val="VCAAtablecondensedheading"/>
              <w:rPr>
                <w:lang w:val="en-AU"/>
              </w:rPr>
            </w:pPr>
            <w:r w:rsidRPr="008A74D0">
              <w:rPr>
                <w:lang w:val="en-AU"/>
              </w:rPr>
              <w:t>10</w:t>
            </w:r>
          </w:p>
        </w:tc>
        <w:tc>
          <w:tcPr>
            <w:tcW w:w="576" w:type="dxa"/>
            <w:tcBorders>
              <w:top w:val="single" w:sz="4" w:space="0" w:color="000000" w:themeColor="text1"/>
              <w:bottom w:val="single" w:sz="4" w:space="0" w:color="000000" w:themeColor="text1"/>
            </w:tcBorders>
            <w:hideMark/>
          </w:tcPr>
          <w:p w14:paraId="6F908665" w14:textId="77777777" w:rsidR="00B10493" w:rsidRPr="008A74D0" w:rsidRDefault="00B10493" w:rsidP="00221D31">
            <w:pPr>
              <w:pStyle w:val="VCAAtablecondensedheading"/>
              <w:rPr>
                <w:lang w:val="en-AU"/>
              </w:rPr>
            </w:pPr>
            <w:r w:rsidRPr="008A74D0">
              <w:rPr>
                <w:lang w:val="en-AU"/>
              </w:rPr>
              <w:t>11</w:t>
            </w:r>
          </w:p>
        </w:tc>
        <w:tc>
          <w:tcPr>
            <w:tcW w:w="1008" w:type="dxa"/>
            <w:tcBorders>
              <w:top w:val="single" w:sz="4" w:space="0" w:color="000000" w:themeColor="text1"/>
              <w:bottom w:val="single" w:sz="4" w:space="0" w:color="000000" w:themeColor="text1"/>
              <w:right w:val="single" w:sz="4" w:space="0" w:color="000000" w:themeColor="text1"/>
            </w:tcBorders>
            <w:hideMark/>
          </w:tcPr>
          <w:p w14:paraId="1680B34D" w14:textId="77777777" w:rsidR="00B10493" w:rsidRPr="008A74D0" w:rsidRDefault="00B10493" w:rsidP="004D2407">
            <w:pPr>
              <w:pStyle w:val="VCAAtablecondensedheading"/>
              <w:rPr>
                <w:lang w:val="en-AU"/>
              </w:rPr>
            </w:pPr>
            <w:r w:rsidRPr="008A74D0">
              <w:rPr>
                <w:lang w:val="en-AU"/>
              </w:rPr>
              <w:t>Average</w:t>
            </w:r>
          </w:p>
        </w:tc>
      </w:tr>
      <w:tr w:rsidR="006F5723" w:rsidRPr="008A74D0" w14:paraId="2654A586" w14:textId="77777777" w:rsidTr="009311D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73EDD" w14:textId="77777777" w:rsidR="00B10493" w:rsidRPr="008A74D0" w:rsidRDefault="00B10493">
            <w:pPr>
              <w:pStyle w:val="VCAAtablecondensed"/>
              <w:rPr>
                <w:lang w:val="en-AU"/>
              </w:rPr>
            </w:pPr>
            <w:r w:rsidRPr="008A74D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377FB" w14:textId="5294515E" w:rsidR="00B10493" w:rsidRPr="008A74D0" w:rsidRDefault="00A94417">
            <w:pPr>
              <w:pStyle w:val="VCAAtablecondensed"/>
              <w:rPr>
                <w:lang w:val="en-AU"/>
              </w:rPr>
            </w:pPr>
            <w:r w:rsidRPr="008A74D0">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EADE7" w14:textId="5FA27270" w:rsidR="00B10493" w:rsidRPr="008A74D0" w:rsidRDefault="00A94417">
            <w:pPr>
              <w:pStyle w:val="VCAAtablecondensed"/>
              <w:rPr>
                <w:lang w:val="en-AU"/>
              </w:rPr>
            </w:pPr>
            <w:r w:rsidRPr="008A74D0">
              <w:rPr>
                <w:lang w:val="en-AU"/>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248F7" w14:textId="20B95465" w:rsidR="00B10493" w:rsidRPr="008A74D0" w:rsidRDefault="00A94417">
            <w:pPr>
              <w:pStyle w:val="VCAAtablecondensed"/>
              <w:rPr>
                <w:lang w:val="en-AU"/>
              </w:rPr>
            </w:pPr>
            <w:r w:rsidRPr="008A74D0">
              <w:rPr>
                <w:lang w:val="en-AU"/>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6019A" w14:textId="174D3887" w:rsidR="00B10493" w:rsidRPr="008A74D0" w:rsidRDefault="00A94417">
            <w:pPr>
              <w:pStyle w:val="VCAAtablecondensed"/>
              <w:rPr>
                <w:lang w:val="en-AU"/>
              </w:rPr>
            </w:pPr>
            <w:r w:rsidRPr="008A74D0">
              <w:rPr>
                <w:lang w:val="en-AU"/>
              </w:rPr>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82A91" w14:textId="1462616D" w:rsidR="00B10493" w:rsidRPr="008A74D0" w:rsidRDefault="00A94417">
            <w:pPr>
              <w:pStyle w:val="VCAAtablecondensed"/>
              <w:rPr>
                <w:lang w:val="en-AU"/>
              </w:rPr>
            </w:pPr>
            <w:r w:rsidRPr="008A74D0">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5CA4E" w14:textId="12C721FB" w:rsidR="00B10493" w:rsidRPr="008A74D0" w:rsidRDefault="00A94417">
            <w:pPr>
              <w:pStyle w:val="VCAAtablecondensed"/>
              <w:rPr>
                <w:lang w:val="en-AU"/>
              </w:rPr>
            </w:pPr>
            <w:r w:rsidRPr="008A74D0">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ECCB4" w14:textId="53C941B6" w:rsidR="00B10493" w:rsidRPr="008A74D0" w:rsidRDefault="00A94417">
            <w:pPr>
              <w:pStyle w:val="VCAAtablecondensed"/>
              <w:rPr>
                <w:lang w:val="en-AU"/>
              </w:rPr>
            </w:pPr>
            <w:r w:rsidRPr="008A74D0">
              <w:rPr>
                <w:lang w:val="en-AU"/>
              </w:rPr>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00257" w14:textId="5B0B2432" w:rsidR="00B10493" w:rsidRPr="008A74D0" w:rsidRDefault="00A94417">
            <w:pPr>
              <w:pStyle w:val="VCAAtablecondensed"/>
              <w:rPr>
                <w:lang w:val="en-AU"/>
              </w:rPr>
            </w:pPr>
            <w:r w:rsidRPr="008A74D0">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67B46" w14:textId="3B519006" w:rsidR="00B10493" w:rsidRPr="008A74D0" w:rsidRDefault="00A94417">
            <w:pPr>
              <w:pStyle w:val="VCAAtablecondensed"/>
              <w:rPr>
                <w:lang w:val="en-AU"/>
              </w:rPr>
            </w:pPr>
            <w:r w:rsidRPr="008A74D0">
              <w:rPr>
                <w:lang w:val="en-AU"/>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2B0F" w14:textId="4ADF7D76" w:rsidR="00B10493" w:rsidRPr="008A74D0" w:rsidRDefault="00A94417">
            <w:pPr>
              <w:pStyle w:val="VCAAtablecondensed"/>
              <w:rPr>
                <w:lang w:val="en-AU"/>
              </w:rPr>
            </w:pPr>
            <w:r w:rsidRPr="008A74D0">
              <w:rPr>
                <w:lang w:val="en-AU"/>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4B763" w14:textId="681A7469" w:rsidR="00B10493" w:rsidRPr="008A74D0" w:rsidRDefault="00A94417">
            <w:pPr>
              <w:pStyle w:val="VCAAtablecondensed"/>
              <w:rPr>
                <w:lang w:val="en-AU"/>
              </w:rPr>
            </w:pPr>
            <w:r w:rsidRPr="008A74D0">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C421C" w14:textId="6A53CEBB" w:rsidR="00B10493" w:rsidRPr="008A74D0" w:rsidRDefault="00A94417">
            <w:pPr>
              <w:pStyle w:val="VCAAtablecondensed"/>
              <w:rPr>
                <w:lang w:val="en-AU"/>
              </w:rPr>
            </w:pPr>
            <w:r w:rsidRPr="008A74D0">
              <w:rPr>
                <w:lang w:val="en-AU"/>
              </w:rPr>
              <w:t>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0EA70" w14:textId="31985FBE" w:rsidR="00B10493" w:rsidRPr="008A74D0" w:rsidRDefault="00A94417">
            <w:pPr>
              <w:pStyle w:val="VCAAtablecondensed"/>
              <w:rPr>
                <w:lang w:val="en-AU"/>
              </w:rPr>
            </w:pPr>
            <w:r w:rsidRPr="008A74D0">
              <w:rPr>
                <w:lang w:val="en-AU"/>
              </w:rPr>
              <w:t>6.</w:t>
            </w:r>
            <w:r w:rsidR="00DE28AB" w:rsidRPr="008A74D0">
              <w:rPr>
                <w:lang w:val="en-AU"/>
              </w:rPr>
              <w:t>85</w:t>
            </w:r>
          </w:p>
        </w:tc>
      </w:tr>
    </w:tbl>
    <w:p w14:paraId="526E3096" w14:textId="320726C5" w:rsidR="00A94417" w:rsidRPr="008A74D0" w:rsidRDefault="00A07F8D" w:rsidP="004D2407">
      <w:pPr>
        <w:pStyle w:val="VCAAbody"/>
        <w:rPr>
          <w:lang w:val="en-AU"/>
        </w:rPr>
      </w:pPr>
      <w:r w:rsidRPr="008A74D0">
        <w:rPr>
          <w:lang w:val="en-AU"/>
        </w:rPr>
        <w:t xml:space="preserve">Question </w:t>
      </w:r>
      <w:r w:rsidR="00A94417" w:rsidRPr="008A74D0">
        <w:rPr>
          <w:lang w:val="en-AU"/>
        </w:rPr>
        <w:t>9</w:t>
      </w:r>
      <w:r w:rsidRPr="008A74D0">
        <w:rPr>
          <w:lang w:val="en-AU"/>
        </w:rPr>
        <w:t xml:space="preserve"> required students to explain how attributed commentaries have supported or challenged their ideas regarding an art idea or its related issues. Responses that best fulfilled the requirements of this question appeared to be written by students who had a genuine interest and investment in their selected art idea and its related issues. These students wrote passionately and attributed their commentaries to reliable and relevant sources. They were also the responses that presented the most precise point of view. Students should be encouraged to investigate an art idea of interest rather than one from a prescriptive list. </w:t>
      </w:r>
    </w:p>
    <w:p w14:paraId="7205A4AB" w14:textId="4F791683" w:rsidR="00A07F8D" w:rsidRPr="008A74D0" w:rsidRDefault="00A94417" w:rsidP="00053457">
      <w:pPr>
        <w:pStyle w:val="VCAAbody"/>
        <w:rPr>
          <w:lang w:val="en-AU"/>
        </w:rPr>
      </w:pPr>
      <w:r w:rsidRPr="008A74D0">
        <w:rPr>
          <w:lang w:val="en-AU"/>
        </w:rPr>
        <w:t xml:space="preserve">While high-scoring responses used commentaries well, </w:t>
      </w:r>
      <w:r w:rsidR="001E1343">
        <w:rPr>
          <w:lang w:val="en-AU"/>
        </w:rPr>
        <w:t>they also</w:t>
      </w:r>
      <w:r w:rsidRPr="008A74D0">
        <w:rPr>
          <w:lang w:val="en-AU"/>
        </w:rPr>
        <w:t xml:space="preserve"> referenced the artwork numerous times and specific parts of the artwork in their answer to further develop their </w:t>
      </w:r>
      <w:r w:rsidR="00372CCB" w:rsidRPr="008A74D0">
        <w:rPr>
          <w:lang w:val="en-AU"/>
        </w:rPr>
        <w:t>explanation. Responses</w:t>
      </w:r>
      <w:r w:rsidR="00A07F8D" w:rsidRPr="008A74D0">
        <w:rPr>
          <w:lang w:val="en-AU"/>
        </w:rPr>
        <w:t xml:space="preserve"> </w:t>
      </w:r>
      <w:r w:rsidRPr="008A74D0">
        <w:rPr>
          <w:lang w:val="en-AU"/>
        </w:rPr>
        <w:t xml:space="preserve">that did not score well </w:t>
      </w:r>
      <w:r w:rsidR="00A07F8D" w:rsidRPr="008A74D0">
        <w:rPr>
          <w:lang w:val="en-AU"/>
        </w:rPr>
        <w:t xml:space="preserve">tended to address the question superficially. </w:t>
      </w:r>
      <w:r w:rsidRPr="008A74D0">
        <w:rPr>
          <w:lang w:val="en-AU"/>
        </w:rPr>
        <w:t>They didn’t clearly state an art issue</w:t>
      </w:r>
      <w:r w:rsidR="008839A8">
        <w:rPr>
          <w:lang w:val="en-AU"/>
        </w:rPr>
        <w:t>,</w:t>
      </w:r>
      <w:r w:rsidRPr="008A74D0">
        <w:rPr>
          <w:lang w:val="en-AU"/>
        </w:rPr>
        <w:t xml:space="preserve"> or </w:t>
      </w:r>
      <w:r w:rsidR="008839A8">
        <w:rPr>
          <w:lang w:val="en-AU"/>
        </w:rPr>
        <w:t xml:space="preserve">didn’t </w:t>
      </w:r>
      <w:r w:rsidRPr="008A74D0">
        <w:rPr>
          <w:lang w:val="en-AU"/>
        </w:rPr>
        <w:t xml:space="preserve">use commentaries to discuss an artwork </w:t>
      </w:r>
      <w:r w:rsidR="008839A8">
        <w:rPr>
          <w:lang w:val="en-AU"/>
        </w:rPr>
        <w:t>in</w:t>
      </w:r>
      <w:r w:rsidR="008839A8" w:rsidRPr="008A74D0">
        <w:rPr>
          <w:lang w:val="en-AU"/>
        </w:rPr>
        <w:t xml:space="preserve"> </w:t>
      </w:r>
      <w:r w:rsidRPr="008A74D0">
        <w:rPr>
          <w:lang w:val="en-AU"/>
        </w:rPr>
        <w:t xml:space="preserve">context or </w:t>
      </w:r>
      <w:r w:rsidR="008839A8">
        <w:rPr>
          <w:lang w:val="en-AU"/>
        </w:rPr>
        <w:t xml:space="preserve">with </w:t>
      </w:r>
      <w:r w:rsidRPr="008A74D0">
        <w:rPr>
          <w:lang w:val="en-AU"/>
        </w:rPr>
        <w:t xml:space="preserve">relevance to an art issue. </w:t>
      </w:r>
      <w:r w:rsidR="00A07F8D" w:rsidRPr="008A74D0">
        <w:rPr>
          <w:lang w:val="en-AU"/>
        </w:rPr>
        <w:t>Students should refrain from relying on pre</w:t>
      </w:r>
      <w:r w:rsidRPr="008A74D0">
        <w:rPr>
          <w:lang w:val="en-AU"/>
        </w:rPr>
        <w:t>-</w:t>
      </w:r>
      <w:r w:rsidR="00A07F8D" w:rsidRPr="008A74D0">
        <w:rPr>
          <w:lang w:val="en-AU"/>
        </w:rPr>
        <w:t xml:space="preserve">prepared responses </w:t>
      </w:r>
      <w:r w:rsidRPr="008A74D0">
        <w:rPr>
          <w:lang w:val="en-AU"/>
        </w:rPr>
        <w:t xml:space="preserve">as </w:t>
      </w:r>
      <w:r w:rsidR="00A07F8D" w:rsidRPr="008A74D0">
        <w:rPr>
          <w:lang w:val="en-AU"/>
        </w:rPr>
        <w:t>th</w:t>
      </w:r>
      <w:r w:rsidRPr="008A74D0">
        <w:rPr>
          <w:lang w:val="en-AU"/>
        </w:rPr>
        <w:t>ese</w:t>
      </w:r>
      <w:r w:rsidR="00A07F8D" w:rsidRPr="008A74D0">
        <w:rPr>
          <w:lang w:val="en-AU"/>
        </w:rPr>
        <w:t xml:space="preserve"> often fail to fully address the question</w:t>
      </w:r>
      <w:r w:rsidRPr="008A74D0">
        <w:rPr>
          <w:lang w:val="en-AU"/>
        </w:rPr>
        <w:t>’s</w:t>
      </w:r>
      <w:r w:rsidR="00A07F8D" w:rsidRPr="008A74D0">
        <w:rPr>
          <w:lang w:val="en-AU"/>
        </w:rPr>
        <w:t xml:space="preserve"> requirements. </w:t>
      </w:r>
    </w:p>
    <w:p w14:paraId="16C80E9A" w14:textId="77777777" w:rsidR="004D2407" w:rsidRPr="008A74D0" w:rsidRDefault="004D2407" w:rsidP="004D2407">
      <w:pPr>
        <w:pStyle w:val="VCAAbody"/>
        <w:rPr>
          <w:lang w:val="en-AU"/>
        </w:rPr>
      </w:pPr>
      <w:r w:rsidRPr="008A74D0">
        <w:rPr>
          <w:lang w:val="en-AU"/>
        </w:rPr>
        <w:t>The following is an example of a high-scoring response.</w:t>
      </w:r>
    </w:p>
    <w:p w14:paraId="58488B2F" w14:textId="77777777" w:rsidR="00A07F8D" w:rsidRPr="008A74D0" w:rsidRDefault="00A07F8D" w:rsidP="00053457">
      <w:pPr>
        <w:pStyle w:val="VCAAstudentresponse"/>
        <w:rPr>
          <w:lang w:val="en-AU"/>
        </w:rPr>
      </w:pPr>
      <w:r w:rsidRPr="008A74D0">
        <w:rPr>
          <w:lang w:val="en-AU"/>
        </w:rPr>
        <w:t>Title of artwork and approximate date: Comedian, 2019, Maurizio Cattelan</w:t>
      </w:r>
    </w:p>
    <w:p w14:paraId="7210761E" w14:textId="77777777" w:rsidR="00A07F8D" w:rsidRPr="008A74D0" w:rsidRDefault="00A07F8D" w:rsidP="00053457">
      <w:pPr>
        <w:pStyle w:val="VCAAstudentresponse"/>
        <w:rPr>
          <w:lang w:val="en-AU"/>
        </w:rPr>
      </w:pPr>
      <w:r w:rsidRPr="008A74D0">
        <w:rPr>
          <w:lang w:val="en-AU"/>
        </w:rPr>
        <w:t>Source of commentary 1: J. Tanlinson, 2012, The Artist’s Fine Art Gallery</w:t>
      </w:r>
    </w:p>
    <w:p w14:paraId="7C905A40" w14:textId="77777777" w:rsidR="00A07F8D" w:rsidRPr="008A74D0" w:rsidRDefault="00A07F8D" w:rsidP="00053457">
      <w:pPr>
        <w:pStyle w:val="VCAAstudentresponse"/>
        <w:rPr>
          <w:lang w:val="en-AU"/>
        </w:rPr>
      </w:pPr>
      <w:r w:rsidRPr="008A74D0">
        <w:rPr>
          <w:lang w:val="en-AU"/>
        </w:rPr>
        <w:t>Source of commentary 2: Chris Dercron, 2015, The Art Newspaper</w:t>
      </w:r>
    </w:p>
    <w:p w14:paraId="51DF0063" w14:textId="69179790" w:rsidR="00A07F8D" w:rsidRPr="008A74D0" w:rsidRDefault="00A07F8D" w:rsidP="00053457">
      <w:pPr>
        <w:pStyle w:val="VCAAstudentresponse"/>
        <w:rPr>
          <w:lang w:val="en-AU"/>
        </w:rPr>
      </w:pPr>
      <w:r w:rsidRPr="008A74D0">
        <w:rPr>
          <w:lang w:val="en-AU"/>
        </w:rPr>
        <w:t xml:space="preserve">The value of art is increasingly difficult to determine, especially when involving celebrity status. Many criticise the modern art scene’s inclinations to only grant value to artworks by artists of reputable prestige. One artist who draws such criticism is Maurizio Cattelan and his piece ‘Comedian’, consists of a fresh banana duct-taped to a wall. Many criticise the genuineness of the work and its absurd price, while others revel in the community debate and provocative questions it proposes. Within today’s contemporary art scene, where ideas are more important than their physical manifestation, the value of art is said to </w:t>
      </w:r>
      <w:r w:rsidR="00AC0378" w:rsidRPr="008A74D0">
        <w:rPr>
          <w:lang w:val="en-AU"/>
        </w:rPr>
        <w:t>‘</w:t>
      </w:r>
      <w:r w:rsidRPr="008A74D0">
        <w:rPr>
          <w:lang w:val="en-AU"/>
        </w:rPr>
        <w:t>go beyond the cost of materials,</w:t>
      </w:r>
      <w:r w:rsidR="00AC0378" w:rsidRPr="008A74D0">
        <w:rPr>
          <w:lang w:val="en-AU"/>
        </w:rPr>
        <w:t>’</w:t>
      </w:r>
      <w:r w:rsidRPr="008A74D0">
        <w:rPr>
          <w:lang w:val="en-AU"/>
        </w:rPr>
        <w:t xml:space="preserve"> but is a means of </w:t>
      </w:r>
      <w:r w:rsidR="00AC0378" w:rsidRPr="008A74D0">
        <w:rPr>
          <w:lang w:val="en-AU"/>
        </w:rPr>
        <w:t>‘</w:t>
      </w:r>
      <w:r w:rsidRPr="008A74D0">
        <w:rPr>
          <w:lang w:val="en-AU"/>
        </w:rPr>
        <w:t>influencing the perception of value.</w:t>
      </w:r>
      <w:r w:rsidR="00AC0378" w:rsidRPr="008A74D0">
        <w:rPr>
          <w:lang w:val="en-AU"/>
        </w:rPr>
        <w:t>’</w:t>
      </w:r>
      <w:r w:rsidRPr="008A74D0">
        <w:rPr>
          <w:lang w:val="en-AU"/>
        </w:rPr>
        <w:t xml:space="preserve"> (C1) Cattelan is a cult figure in the art scene and is guided by strong gallery representation. He understands that no matter </w:t>
      </w:r>
      <w:r w:rsidRPr="008A74D0">
        <w:rPr>
          <w:lang w:val="en-AU"/>
        </w:rPr>
        <w:lastRenderedPageBreak/>
        <w:t>what he produces, there will always be a market for his work. This is what enables him to inflate a banana and duct tape estimated at 30 cents in market value to its absurd $120,000 - 150,000 price tag. The price was reached after several discussions, landing on a number that trivialises the work. The initial selling of the piece at $120,000 then prompted a spark in price, creating the impression o</w:t>
      </w:r>
      <w:r w:rsidR="00A94417" w:rsidRPr="008A74D0">
        <w:rPr>
          <w:lang w:val="en-AU"/>
        </w:rPr>
        <w:t>f</w:t>
      </w:r>
      <w:r w:rsidRPr="008A74D0">
        <w:rPr>
          <w:lang w:val="en-AU"/>
        </w:rPr>
        <w:t xml:space="preserve"> the piece being an exclusive opportunity to claim ownership as the high-demand catalogue of Cattelan’s work. The artist uses his name as the selling point, acknowledging that $120,000/150,000 is the price he attributes to ownership of his name rather than the contents and skill (or lack thereof) that he possesses. On the other hand, I believe that the piece is valuable because of </w:t>
      </w:r>
      <w:r w:rsidR="00AC0378" w:rsidRPr="008A74D0">
        <w:rPr>
          <w:lang w:val="en-AU"/>
        </w:rPr>
        <w:t>‘</w:t>
      </w:r>
      <w:r w:rsidRPr="008A74D0">
        <w:rPr>
          <w:lang w:val="en-AU"/>
        </w:rPr>
        <w:t>the conversations it can stimulate, which makes it a cultural good.</w:t>
      </w:r>
      <w:r w:rsidR="00AC0378" w:rsidRPr="008A74D0">
        <w:rPr>
          <w:lang w:val="en-AU"/>
        </w:rPr>
        <w:t>’</w:t>
      </w:r>
      <w:r w:rsidRPr="008A74D0">
        <w:rPr>
          <w:lang w:val="en-AU"/>
        </w:rPr>
        <w:t xml:space="preserve"> (C2) Upon the art fairs opening, the piece was met with huge online debate and innumerable memes and derision. The fame of the piece had exceeded Cattelan’s name but rather taken on a life of its own. The spectacle was just as valuable as its physical manifestation. Receiving a degree in sociology, Cattelan places human interaction at the forefront of his piece and understands that public debate and controversy are more valuable than a celebrity’s name will ever be. Every purchaser of the piece said that they did so to forever </w:t>
      </w:r>
      <w:r w:rsidR="00AC0378" w:rsidRPr="008A74D0">
        <w:rPr>
          <w:lang w:val="en-AU"/>
        </w:rPr>
        <w:t>‘</w:t>
      </w:r>
      <w:r w:rsidRPr="008A74D0">
        <w:rPr>
          <w:lang w:val="en-AU"/>
        </w:rPr>
        <w:t>provoke thought.</w:t>
      </w:r>
      <w:r w:rsidR="00AC0378" w:rsidRPr="008A74D0">
        <w:rPr>
          <w:lang w:val="en-AU"/>
        </w:rPr>
        <w:t>’</w:t>
      </w:r>
      <w:r w:rsidRPr="008A74D0">
        <w:rPr>
          <w:lang w:val="en-AU"/>
        </w:rPr>
        <w:t xml:space="preserve"> The piece shined in its ability to unite and divide society, creating a spectacle where value is granted to all interaction with it, both positive and negative. Painfully obvious, a banana and duct tape is undoubtedly cheap; however, its value proves to be adjustable upon the attachments of a celebrity’s name. ‘Comedian’, in all of its absurdity, exemplifies our society’s hype and celebrity-driven culture while simultaneously placing the responsibility of granting value to art into the hands of society and deciding what constitutes a cultural good. </w:t>
      </w:r>
    </w:p>
    <w:p w14:paraId="72595300" w14:textId="59C1F90E" w:rsidR="0044213C" w:rsidRPr="008A74D0" w:rsidRDefault="0044213C" w:rsidP="00053457">
      <w:pPr>
        <w:rPr>
          <w:lang w:val="en-AU"/>
        </w:rPr>
      </w:pPr>
    </w:p>
    <w:sectPr w:rsidR="0044213C" w:rsidRPr="008A74D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2B26C9" w:rsidRDefault="002B26C9" w:rsidP="00304EA1">
      <w:pPr>
        <w:spacing w:after="0" w:line="240" w:lineRule="auto"/>
      </w:pPr>
      <w:r>
        <w:separator/>
      </w:r>
    </w:p>
  </w:endnote>
  <w:endnote w:type="continuationSeparator" w:id="0">
    <w:p w14:paraId="6C2FE3E4" w14:textId="77777777" w:rsidR="002B26C9" w:rsidRDefault="002B26C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B26C9" w:rsidRPr="00D06414" w14:paraId="00D3EC34" w14:textId="77777777" w:rsidTr="00BB3BAB">
      <w:trPr>
        <w:trHeight w:val="476"/>
      </w:trPr>
      <w:tc>
        <w:tcPr>
          <w:tcW w:w="1667" w:type="pct"/>
          <w:tcMar>
            <w:left w:w="0" w:type="dxa"/>
            <w:right w:w="0" w:type="dxa"/>
          </w:tcMar>
        </w:tcPr>
        <w:p w14:paraId="4F062E5B" w14:textId="77777777" w:rsidR="002B26C9" w:rsidRPr="00D06414" w:rsidRDefault="002B26C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B26C9" w:rsidRPr="00D06414" w:rsidRDefault="002B26C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B26C9" w:rsidRPr="00D06414" w:rsidRDefault="002B26C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2B26C9" w:rsidRPr="00D06414" w:rsidRDefault="002B26C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B26C9" w:rsidRPr="00D06414" w14:paraId="28670396" w14:textId="77777777" w:rsidTr="000F5AAF">
      <w:tc>
        <w:tcPr>
          <w:tcW w:w="1459" w:type="pct"/>
          <w:tcMar>
            <w:left w:w="0" w:type="dxa"/>
            <w:right w:w="0" w:type="dxa"/>
          </w:tcMar>
        </w:tcPr>
        <w:p w14:paraId="0BBE30B4" w14:textId="77777777" w:rsidR="002B26C9" w:rsidRPr="00D06414" w:rsidRDefault="002B26C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B26C9" w:rsidRPr="00D06414" w:rsidRDefault="002B26C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B26C9" w:rsidRPr="00D06414" w:rsidRDefault="002B26C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B26C9" w:rsidRPr="00D06414" w:rsidRDefault="002B26C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2B26C9" w:rsidRDefault="002B26C9" w:rsidP="00304EA1">
      <w:pPr>
        <w:spacing w:after="0" w:line="240" w:lineRule="auto"/>
      </w:pPr>
      <w:r>
        <w:separator/>
      </w:r>
    </w:p>
  </w:footnote>
  <w:footnote w:type="continuationSeparator" w:id="0">
    <w:p w14:paraId="600CFD58" w14:textId="77777777" w:rsidR="002B26C9" w:rsidRDefault="002B26C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4064994" w:rsidR="002B26C9" w:rsidRPr="00D86DE4" w:rsidRDefault="002B26C9" w:rsidP="00D86DE4">
    <w:pPr>
      <w:pStyle w:val="VCAAcaptionsandfootnotes"/>
      <w:rPr>
        <w:color w:val="999999" w:themeColor="accent2"/>
      </w:rPr>
    </w:pPr>
    <w:r>
      <w:t>2022 VCE Art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B26C9" w:rsidRPr="009370BC" w:rsidRDefault="002B26C9" w:rsidP="00970580">
    <w:pPr>
      <w:spacing w:after="0"/>
      <w:ind w:right="-142"/>
      <w:jc w:val="right"/>
    </w:pPr>
    <w:r>
      <w:rPr>
        <w:noProof/>
      </w:rPr>
      <w:drawing>
        <wp:anchor distT="0" distB="0" distL="114300" distR="114300" simplePos="0" relativeHeight="251660288" behindDoc="1" locked="1" layoutInCell="1" allowOverlap="1" wp14:anchorId="17697C7E" wp14:editId="51C8A1E2">
          <wp:simplePos x="0" y="0"/>
          <wp:positionH relativeFrom="column">
            <wp:posOffset>-720090</wp:posOffset>
          </wp:positionH>
          <wp:positionV relativeFrom="page">
            <wp:posOffset>0</wp:posOffset>
          </wp:positionV>
          <wp:extent cx="7562088" cy="719016"/>
          <wp:effectExtent l="0" t="0" r="127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2E62D5"/>
    <w:multiLevelType w:val="hybridMultilevel"/>
    <w:tmpl w:val="C25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92D92"/>
    <w:multiLevelType w:val="multilevel"/>
    <w:tmpl w:val="0C12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0D65CA0"/>
    <w:multiLevelType w:val="hybridMultilevel"/>
    <w:tmpl w:val="76DE9B1C"/>
    <w:lvl w:ilvl="0" w:tplc="274ABA3E">
      <w:start w:val="1"/>
      <w:numFmt w:val="bullet"/>
      <w:pStyle w:val="VCAA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B96E67F8"/>
    <w:lvl w:ilvl="0" w:tplc="0B76137C">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25163622">
    <w:abstractNumId w:val="7"/>
  </w:num>
  <w:num w:numId="2" w16cid:durableId="1838031351">
    <w:abstractNumId w:val="5"/>
  </w:num>
  <w:num w:numId="3" w16cid:durableId="204098833">
    <w:abstractNumId w:val="3"/>
  </w:num>
  <w:num w:numId="4" w16cid:durableId="1997413251">
    <w:abstractNumId w:val="0"/>
  </w:num>
  <w:num w:numId="5" w16cid:durableId="318460708">
    <w:abstractNumId w:val="6"/>
  </w:num>
  <w:num w:numId="6" w16cid:durableId="587814462">
    <w:abstractNumId w:val="2"/>
  </w:num>
  <w:num w:numId="7" w16cid:durableId="1962959070">
    <w:abstractNumId w:val="1"/>
  </w:num>
  <w:num w:numId="8" w16cid:durableId="601692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3885"/>
    <w:rsid w:val="00014391"/>
    <w:rsid w:val="00024018"/>
    <w:rsid w:val="000424CE"/>
    <w:rsid w:val="00053457"/>
    <w:rsid w:val="0005780E"/>
    <w:rsid w:val="00062061"/>
    <w:rsid w:val="00065CC6"/>
    <w:rsid w:val="0006755E"/>
    <w:rsid w:val="00080F06"/>
    <w:rsid w:val="000833EF"/>
    <w:rsid w:val="00083A6C"/>
    <w:rsid w:val="000854E5"/>
    <w:rsid w:val="00087CDB"/>
    <w:rsid w:val="00090D46"/>
    <w:rsid w:val="000A0F80"/>
    <w:rsid w:val="000A71F7"/>
    <w:rsid w:val="000F09E4"/>
    <w:rsid w:val="000F16FD"/>
    <w:rsid w:val="000F4CA1"/>
    <w:rsid w:val="000F5AAF"/>
    <w:rsid w:val="001020AC"/>
    <w:rsid w:val="00120DB9"/>
    <w:rsid w:val="00126319"/>
    <w:rsid w:val="00143520"/>
    <w:rsid w:val="00147670"/>
    <w:rsid w:val="00152AD3"/>
    <w:rsid w:val="00153AD2"/>
    <w:rsid w:val="00160967"/>
    <w:rsid w:val="00166E52"/>
    <w:rsid w:val="001779EA"/>
    <w:rsid w:val="00182027"/>
    <w:rsid w:val="00184297"/>
    <w:rsid w:val="00185CDF"/>
    <w:rsid w:val="001A4670"/>
    <w:rsid w:val="001A6557"/>
    <w:rsid w:val="001B4D0E"/>
    <w:rsid w:val="001C3EEA"/>
    <w:rsid w:val="001D3246"/>
    <w:rsid w:val="001E1343"/>
    <w:rsid w:val="001E4F9B"/>
    <w:rsid w:val="002076D3"/>
    <w:rsid w:val="00211C57"/>
    <w:rsid w:val="00213C03"/>
    <w:rsid w:val="00221D31"/>
    <w:rsid w:val="002279BA"/>
    <w:rsid w:val="002329F3"/>
    <w:rsid w:val="00236236"/>
    <w:rsid w:val="00242B55"/>
    <w:rsid w:val="00243591"/>
    <w:rsid w:val="00243F0D"/>
    <w:rsid w:val="00256CF6"/>
    <w:rsid w:val="00260767"/>
    <w:rsid w:val="002647BB"/>
    <w:rsid w:val="00266137"/>
    <w:rsid w:val="002754C1"/>
    <w:rsid w:val="002841C8"/>
    <w:rsid w:val="0028516B"/>
    <w:rsid w:val="002B26C9"/>
    <w:rsid w:val="002C6F90"/>
    <w:rsid w:val="002E4FB5"/>
    <w:rsid w:val="00302FB8"/>
    <w:rsid w:val="00304EA1"/>
    <w:rsid w:val="00313043"/>
    <w:rsid w:val="00314D81"/>
    <w:rsid w:val="00317D05"/>
    <w:rsid w:val="00321A53"/>
    <w:rsid w:val="00322FC6"/>
    <w:rsid w:val="00350651"/>
    <w:rsid w:val="0035293F"/>
    <w:rsid w:val="00372CCB"/>
    <w:rsid w:val="00385147"/>
    <w:rsid w:val="00391986"/>
    <w:rsid w:val="00396DAC"/>
    <w:rsid w:val="003A00B4"/>
    <w:rsid w:val="003A21D6"/>
    <w:rsid w:val="003A7D01"/>
    <w:rsid w:val="003B1C2F"/>
    <w:rsid w:val="003B2257"/>
    <w:rsid w:val="003C3C3B"/>
    <w:rsid w:val="003C5E71"/>
    <w:rsid w:val="003C6C6D"/>
    <w:rsid w:val="003D6CBD"/>
    <w:rsid w:val="003E12FA"/>
    <w:rsid w:val="00400537"/>
    <w:rsid w:val="00410AD6"/>
    <w:rsid w:val="00412AFF"/>
    <w:rsid w:val="004167EE"/>
    <w:rsid w:val="00417AA3"/>
    <w:rsid w:val="00425DFE"/>
    <w:rsid w:val="00426A22"/>
    <w:rsid w:val="00434B54"/>
    <w:rsid w:val="00434EDB"/>
    <w:rsid w:val="00440B32"/>
    <w:rsid w:val="0044213C"/>
    <w:rsid w:val="0046078D"/>
    <w:rsid w:val="0048202B"/>
    <w:rsid w:val="00483316"/>
    <w:rsid w:val="00490E3A"/>
    <w:rsid w:val="00495C80"/>
    <w:rsid w:val="004A101F"/>
    <w:rsid w:val="004A2ED8"/>
    <w:rsid w:val="004C07BD"/>
    <w:rsid w:val="004D2407"/>
    <w:rsid w:val="004E4FFF"/>
    <w:rsid w:val="004F01B3"/>
    <w:rsid w:val="004F2E4C"/>
    <w:rsid w:val="004F4918"/>
    <w:rsid w:val="004F5BDA"/>
    <w:rsid w:val="00502DE8"/>
    <w:rsid w:val="0051157D"/>
    <w:rsid w:val="0051631E"/>
    <w:rsid w:val="00523B5D"/>
    <w:rsid w:val="00537A1F"/>
    <w:rsid w:val="00556C62"/>
    <w:rsid w:val="005570CF"/>
    <w:rsid w:val="00566029"/>
    <w:rsid w:val="00567946"/>
    <w:rsid w:val="00573E44"/>
    <w:rsid w:val="00583AA9"/>
    <w:rsid w:val="005923CB"/>
    <w:rsid w:val="0059450D"/>
    <w:rsid w:val="005A4B33"/>
    <w:rsid w:val="005B391B"/>
    <w:rsid w:val="005D3767"/>
    <w:rsid w:val="005D3D78"/>
    <w:rsid w:val="005E0855"/>
    <w:rsid w:val="005E2EF0"/>
    <w:rsid w:val="005E5A61"/>
    <w:rsid w:val="005F0826"/>
    <w:rsid w:val="005F4092"/>
    <w:rsid w:val="0062242F"/>
    <w:rsid w:val="00624617"/>
    <w:rsid w:val="00627171"/>
    <w:rsid w:val="006271DA"/>
    <w:rsid w:val="006401B2"/>
    <w:rsid w:val="00642366"/>
    <w:rsid w:val="006520CD"/>
    <w:rsid w:val="00662E0F"/>
    <w:rsid w:val="006663C6"/>
    <w:rsid w:val="006721E6"/>
    <w:rsid w:val="00674901"/>
    <w:rsid w:val="006826C4"/>
    <w:rsid w:val="0068471E"/>
    <w:rsid w:val="00684F98"/>
    <w:rsid w:val="00693FFD"/>
    <w:rsid w:val="006C458A"/>
    <w:rsid w:val="006D2159"/>
    <w:rsid w:val="006D5390"/>
    <w:rsid w:val="006F5723"/>
    <w:rsid w:val="006F787C"/>
    <w:rsid w:val="00702636"/>
    <w:rsid w:val="00702CA0"/>
    <w:rsid w:val="00706805"/>
    <w:rsid w:val="00707D87"/>
    <w:rsid w:val="00714969"/>
    <w:rsid w:val="00724507"/>
    <w:rsid w:val="007449E1"/>
    <w:rsid w:val="00747109"/>
    <w:rsid w:val="00755B54"/>
    <w:rsid w:val="0075630A"/>
    <w:rsid w:val="0076380E"/>
    <w:rsid w:val="00767B70"/>
    <w:rsid w:val="00773E6C"/>
    <w:rsid w:val="00781FB1"/>
    <w:rsid w:val="00782F02"/>
    <w:rsid w:val="007A4B91"/>
    <w:rsid w:val="007C600D"/>
    <w:rsid w:val="007C7817"/>
    <w:rsid w:val="007D1B6D"/>
    <w:rsid w:val="007E2527"/>
    <w:rsid w:val="007E5CAE"/>
    <w:rsid w:val="008110B0"/>
    <w:rsid w:val="00813C37"/>
    <w:rsid w:val="008154B5"/>
    <w:rsid w:val="00823962"/>
    <w:rsid w:val="00824591"/>
    <w:rsid w:val="008262B6"/>
    <w:rsid w:val="00832C3D"/>
    <w:rsid w:val="008428B1"/>
    <w:rsid w:val="00850410"/>
    <w:rsid w:val="00852719"/>
    <w:rsid w:val="00857B6F"/>
    <w:rsid w:val="00860115"/>
    <w:rsid w:val="008839A8"/>
    <w:rsid w:val="00884601"/>
    <w:rsid w:val="0088571C"/>
    <w:rsid w:val="0088783C"/>
    <w:rsid w:val="008928D7"/>
    <w:rsid w:val="008A74D0"/>
    <w:rsid w:val="008D1BB3"/>
    <w:rsid w:val="0091410D"/>
    <w:rsid w:val="00925AFD"/>
    <w:rsid w:val="00927590"/>
    <w:rsid w:val="009311D4"/>
    <w:rsid w:val="00933E10"/>
    <w:rsid w:val="00934A92"/>
    <w:rsid w:val="009370BC"/>
    <w:rsid w:val="0094456C"/>
    <w:rsid w:val="00947271"/>
    <w:rsid w:val="00953340"/>
    <w:rsid w:val="009649CC"/>
    <w:rsid w:val="009653B6"/>
    <w:rsid w:val="00970580"/>
    <w:rsid w:val="0098739B"/>
    <w:rsid w:val="00987478"/>
    <w:rsid w:val="009906B5"/>
    <w:rsid w:val="00991B0D"/>
    <w:rsid w:val="009B61E5"/>
    <w:rsid w:val="009D0E9E"/>
    <w:rsid w:val="009D1E89"/>
    <w:rsid w:val="009D65E8"/>
    <w:rsid w:val="009E5707"/>
    <w:rsid w:val="009E6CF3"/>
    <w:rsid w:val="00A07F8D"/>
    <w:rsid w:val="00A17661"/>
    <w:rsid w:val="00A24B2D"/>
    <w:rsid w:val="00A40966"/>
    <w:rsid w:val="00A554F9"/>
    <w:rsid w:val="00A656CC"/>
    <w:rsid w:val="00A71837"/>
    <w:rsid w:val="00A8133A"/>
    <w:rsid w:val="00A921E0"/>
    <w:rsid w:val="00A922F4"/>
    <w:rsid w:val="00A94417"/>
    <w:rsid w:val="00AC0378"/>
    <w:rsid w:val="00AE5526"/>
    <w:rsid w:val="00AF0249"/>
    <w:rsid w:val="00AF051B"/>
    <w:rsid w:val="00AF51D7"/>
    <w:rsid w:val="00B01578"/>
    <w:rsid w:val="00B0738F"/>
    <w:rsid w:val="00B10493"/>
    <w:rsid w:val="00B13D3B"/>
    <w:rsid w:val="00B230DB"/>
    <w:rsid w:val="00B26601"/>
    <w:rsid w:val="00B400E0"/>
    <w:rsid w:val="00B41951"/>
    <w:rsid w:val="00B53229"/>
    <w:rsid w:val="00B5443D"/>
    <w:rsid w:val="00B62480"/>
    <w:rsid w:val="00B65363"/>
    <w:rsid w:val="00B717F4"/>
    <w:rsid w:val="00B81B70"/>
    <w:rsid w:val="00B85597"/>
    <w:rsid w:val="00B97A40"/>
    <w:rsid w:val="00BB3BAB"/>
    <w:rsid w:val="00BD0724"/>
    <w:rsid w:val="00BD1B39"/>
    <w:rsid w:val="00BD2B91"/>
    <w:rsid w:val="00BE5521"/>
    <w:rsid w:val="00BF0BBA"/>
    <w:rsid w:val="00BF3A27"/>
    <w:rsid w:val="00BF620E"/>
    <w:rsid w:val="00BF6C23"/>
    <w:rsid w:val="00C2236C"/>
    <w:rsid w:val="00C35203"/>
    <w:rsid w:val="00C45814"/>
    <w:rsid w:val="00C53263"/>
    <w:rsid w:val="00C57FB5"/>
    <w:rsid w:val="00C75404"/>
    <w:rsid w:val="00C75F1D"/>
    <w:rsid w:val="00C95156"/>
    <w:rsid w:val="00CA0DC2"/>
    <w:rsid w:val="00CB68E8"/>
    <w:rsid w:val="00CC7AB2"/>
    <w:rsid w:val="00D027AE"/>
    <w:rsid w:val="00D02ADB"/>
    <w:rsid w:val="00D04F01"/>
    <w:rsid w:val="00D06414"/>
    <w:rsid w:val="00D10AA4"/>
    <w:rsid w:val="00D20ED9"/>
    <w:rsid w:val="00D24E5A"/>
    <w:rsid w:val="00D305B7"/>
    <w:rsid w:val="00D338E4"/>
    <w:rsid w:val="00D4221B"/>
    <w:rsid w:val="00D51947"/>
    <w:rsid w:val="00D532F0"/>
    <w:rsid w:val="00D56E0F"/>
    <w:rsid w:val="00D66A06"/>
    <w:rsid w:val="00D7543B"/>
    <w:rsid w:val="00D77413"/>
    <w:rsid w:val="00D82759"/>
    <w:rsid w:val="00D86DE4"/>
    <w:rsid w:val="00D918F9"/>
    <w:rsid w:val="00DC2791"/>
    <w:rsid w:val="00DC5CBD"/>
    <w:rsid w:val="00DE0FE7"/>
    <w:rsid w:val="00DE1909"/>
    <w:rsid w:val="00DE28AB"/>
    <w:rsid w:val="00DE51DB"/>
    <w:rsid w:val="00DF34C2"/>
    <w:rsid w:val="00DF4A82"/>
    <w:rsid w:val="00E05505"/>
    <w:rsid w:val="00E23F1D"/>
    <w:rsid w:val="00E24216"/>
    <w:rsid w:val="00E30E05"/>
    <w:rsid w:val="00E33749"/>
    <w:rsid w:val="00E35622"/>
    <w:rsid w:val="00E36361"/>
    <w:rsid w:val="00E37C0F"/>
    <w:rsid w:val="00E479CA"/>
    <w:rsid w:val="00E505E9"/>
    <w:rsid w:val="00E5094F"/>
    <w:rsid w:val="00E50B32"/>
    <w:rsid w:val="00E55AE9"/>
    <w:rsid w:val="00E70196"/>
    <w:rsid w:val="00EB0C84"/>
    <w:rsid w:val="00EB1467"/>
    <w:rsid w:val="00EC3A08"/>
    <w:rsid w:val="00ED667D"/>
    <w:rsid w:val="00EE463A"/>
    <w:rsid w:val="00EF4188"/>
    <w:rsid w:val="00F06206"/>
    <w:rsid w:val="00F17FDE"/>
    <w:rsid w:val="00F335F2"/>
    <w:rsid w:val="00F40D53"/>
    <w:rsid w:val="00F4525C"/>
    <w:rsid w:val="00F50D86"/>
    <w:rsid w:val="00F74B30"/>
    <w:rsid w:val="00F87F42"/>
    <w:rsid w:val="00FA3813"/>
    <w:rsid w:val="00FB7BC5"/>
    <w:rsid w:val="00FD0A1A"/>
    <w:rsid w:val="00FD29D3"/>
    <w:rsid w:val="00FD461A"/>
    <w:rsid w:val="00FE3F0B"/>
    <w:rsid w:val="00FE5E58"/>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857B6F"/>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6380E"/>
    <w:pPr>
      <w:keepNext/>
      <w:keepLines/>
      <w:numPr>
        <w:numId w:val="8"/>
      </w:numPr>
      <w:tabs>
        <w:tab w:val="left" w:pos="425"/>
      </w:tabs>
      <w:spacing w:before="60" w:after="60"/>
      <w:ind w:left="357" w:hanging="357"/>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rmalWeb">
    <w:name w:val="Normal (Web)"/>
    <w:basedOn w:val="Normal"/>
    <w:uiPriority w:val="99"/>
    <w:semiHidden/>
    <w:unhideWhenUsed/>
    <w:rsid w:val="00FF7E5C"/>
    <w:pPr>
      <w:spacing w:before="100" w:beforeAutospacing="1" w:after="100" w:afterAutospacing="1" w:line="240" w:lineRule="auto"/>
    </w:pPr>
    <w:rPr>
      <w:rFonts w:ascii="Times New Roman" w:hAnsi="Times New Roman" w:cs="Times New Roman"/>
      <w:sz w:val="20"/>
      <w:szCs w:val="20"/>
      <w:lang w:val="en-AU"/>
    </w:rPr>
  </w:style>
  <w:style w:type="paragraph" w:styleId="ListParagraph">
    <w:name w:val="List Paragraph"/>
    <w:basedOn w:val="Normal"/>
    <w:uiPriority w:val="34"/>
    <w:qFormat/>
    <w:rsid w:val="00FF7E5C"/>
    <w:pPr>
      <w:ind w:left="720"/>
      <w:contextualSpacing/>
    </w:pPr>
  </w:style>
  <w:style w:type="paragraph" w:styleId="Revision">
    <w:name w:val="Revision"/>
    <w:hidden/>
    <w:uiPriority w:val="99"/>
    <w:semiHidden/>
    <w:rsid w:val="009D65E8"/>
    <w:pPr>
      <w:spacing w:after="0" w:line="240" w:lineRule="auto"/>
    </w:pPr>
  </w:style>
  <w:style w:type="character" w:customStyle="1" w:styleId="VCAAbold">
    <w:name w:val="VCAA bold"/>
    <w:basedOn w:val="DefaultParagraphFont"/>
    <w:uiPriority w:val="1"/>
    <w:qFormat/>
    <w:rsid w:val="003C3C3B"/>
    <w:rPr>
      <w:b/>
      <w:bCs/>
      <w:lang w:eastAsia="en-AU"/>
    </w:rPr>
  </w:style>
  <w:style w:type="paragraph" w:customStyle="1" w:styleId="VCAAstudentresponse">
    <w:name w:val="VCAA student response"/>
    <w:basedOn w:val="VCAAbody"/>
    <w:qFormat/>
    <w:rsid w:val="004E4FFF"/>
    <w:pPr>
      <w:ind w:left="284"/>
    </w:pPr>
    <w:rPr>
      <w:i/>
      <w:iCs/>
    </w:rPr>
  </w:style>
  <w:style w:type="table" w:customStyle="1" w:styleId="VCAATableClosed1">
    <w:name w:val="VCAA Table Closed1"/>
    <w:basedOn w:val="TableNormal"/>
    <w:uiPriority w:val="99"/>
    <w:rsid w:val="00B10493"/>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character" w:customStyle="1" w:styleId="VCAAitalics">
    <w:name w:val="VCAA italics"/>
    <w:uiPriority w:val="1"/>
    <w:qFormat/>
    <w:rsid w:val="003A2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9963">
      <w:bodyDiv w:val="1"/>
      <w:marLeft w:val="0"/>
      <w:marRight w:val="0"/>
      <w:marTop w:val="0"/>
      <w:marBottom w:val="0"/>
      <w:divBdr>
        <w:top w:val="none" w:sz="0" w:space="0" w:color="auto"/>
        <w:left w:val="none" w:sz="0" w:space="0" w:color="auto"/>
        <w:bottom w:val="none" w:sz="0" w:space="0" w:color="auto"/>
        <w:right w:val="none" w:sz="0" w:space="0" w:color="auto"/>
      </w:divBdr>
    </w:div>
    <w:div w:id="170879394">
      <w:bodyDiv w:val="1"/>
      <w:marLeft w:val="0"/>
      <w:marRight w:val="0"/>
      <w:marTop w:val="0"/>
      <w:marBottom w:val="0"/>
      <w:divBdr>
        <w:top w:val="none" w:sz="0" w:space="0" w:color="auto"/>
        <w:left w:val="none" w:sz="0" w:space="0" w:color="auto"/>
        <w:bottom w:val="none" w:sz="0" w:space="0" w:color="auto"/>
        <w:right w:val="none" w:sz="0" w:space="0" w:color="auto"/>
      </w:divBdr>
    </w:div>
    <w:div w:id="328942471">
      <w:bodyDiv w:val="1"/>
      <w:marLeft w:val="0"/>
      <w:marRight w:val="0"/>
      <w:marTop w:val="0"/>
      <w:marBottom w:val="0"/>
      <w:divBdr>
        <w:top w:val="none" w:sz="0" w:space="0" w:color="auto"/>
        <w:left w:val="none" w:sz="0" w:space="0" w:color="auto"/>
        <w:bottom w:val="none" w:sz="0" w:space="0" w:color="auto"/>
        <w:right w:val="none" w:sz="0" w:space="0" w:color="auto"/>
      </w:divBdr>
    </w:div>
    <w:div w:id="491602466">
      <w:bodyDiv w:val="1"/>
      <w:marLeft w:val="0"/>
      <w:marRight w:val="0"/>
      <w:marTop w:val="0"/>
      <w:marBottom w:val="0"/>
      <w:divBdr>
        <w:top w:val="none" w:sz="0" w:space="0" w:color="auto"/>
        <w:left w:val="none" w:sz="0" w:space="0" w:color="auto"/>
        <w:bottom w:val="none" w:sz="0" w:space="0" w:color="auto"/>
        <w:right w:val="none" w:sz="0" w:space="0" w:color="auto"/>
      </w:divBdr>
    </w:div>
    <w:div w:id="530000821">
      <w:bodyDiv w:val="1"/>
      <w:marLeft w:val="0"/>
      <w:marRight w:val="0"/>
      <w:marTop w:val="0"/>
      <w:marBottom w:val="0"/>
      <w:divBdr>
        <w:top w:val="none" w:sz="0" w:space="0" w:color="auto"/>
        <w:left w:val="none" w:sz="0" w:space="0" w:color="auto"/>
        <w:bottom w:val="none" w:sz="0" w:space="0" w:color="auto"/>
        <w:right w:val="none" w:sz="0" w:space="0" w:color="auto"/>
      </w:divBdr>
    </w:div>
    <w:div w:id="553859849">
      <w:bodyDiv w:val="1"/>
      <w:marLeft w:val="0"/>
      <w:marRight w:val="0"/>
      <w:marTop w:val="0"/>
      <w:marBottom w:val="0"/>
      <w:divBdr>
        <w:top w:val="none" w:sz="0" w:space="0" w:color="auto"/>
        <w:left w:val="none" w:sz="0" w:space="0" w:color="auto"/>
        <w:bottom w:val="none" w:sz="0" w:space="0" w:color="auto"/>
        <w:right w:val="none" w:sz="0" w:space="0" w:color="auto"/>
      </w:divBdr>
    </w:div>
    <w:div w:id="567501413">
      <w:bodyDiv w:val="1"/>
      <w:marLeft w:val="0"/>
      <w:marRight w:val="0"/>
      <w:marTop w:val="0"/>
      <w:marBottom w:val="0"/>
      <w:divBdr>
        <w:top w:val="none" w:sz="0" w:space="0" w:color="auto"/>
        <w:left w:val="none" w:sz="0" w:space="0" w:color="auto"/>
        <w:bottom w:val="none" w:sz="0" w:space="0" w:color="auto"/>
        <w:right w:val="none" w:sz="0" w:space="0" w:color="auto"/>
      </w:divBdr>
    </w:div>
    <w:div w:id="595556759">
      <w:bodyDiv w:val="1"/>
      <w:marLeft w:val="0"/>
      <w:marRight w:val="0"/>
      <w:marTop w:val="0"/>
      <w:marBottom w:val="0"/>
      <w:divBdr>
        <w:top w:val="none" w:sz="0" w:space="0" w:color="auto"/>
        <w:left w:val="none" w:sz="0" w:space="0" w:color="auto"/>
        <w:bottom w:val="none" w:sz="0" w:space="0" w:color="auto"/>
        <w:right w:val="none" w:sz="0" w:space="0" w:color="auto"/>
      </w:divBdr>
    </w:div>
    <w:div w:id="630671578">
      <w:bodyDiv w:val="1"/>
      <w:marLeft w:val="0"/>
      <w:marRight w:val="0"/>
      <w:marTop w:val="0"/>
      <w:marBottom w:val="0"/>
      <w:divBdr>
        <w:top w:val="none" w:sz="0" w:space="0" w:color="auto"/>
        <w:left w:val="none" w:sz="0" w:space="0" w:color="auto"/>
        <w:bottom w:val="none" w:sz="0" w:space="0" w:color="auto"/>
        <w:right w:val="none" w:sz="0" w:space="0" w:color="auto"/>
      </w:divBdr>
    </w:div>
    <w:div w:id="676923939">
      <w:bodyDiv w:val="1"/>
      <w:marLeft w:val="0"/>
      <w:marRight w:val="0"/>
      <w:marTop w:val="0"/>
      <w:marBottom w:val="0"/>
      <w:divBdr>
        <w:top w:val="none" w:sz="0" w:space="0" w:color="auto"/>
        <w:left w:val="none" w:sz="0" w:space="0" w:color="auto"/>
        <w:bottom w:val="none" w:sz="0" w:space="0" w:color="auto"/>
        <w:right w:val="none" w:sz="0" w:space="0" w:color="auto"/>
      </w:divBdr>
    </w:div>
    <w:div w:id="709493118">
      <w:bodyDiv w:val="1"/>
      <w:marLeft w:val="0"/>
      <w:marRight w:val="0"/>
      <w:marTop w:val="0"/>
      <w:marBottom w:val="0"/>
      <w:divBdr>
        <w:top w:val="none" w:sz="0" w:space="0" w:color="auto"/>
        <w:left w:val="none" w:sz="0" w:space="0" w:color="auto"/>
        <w:bottom w:val="none" w:sz="0" w:space="0" w:color="auto"/>
        <w:right w:val="none" w:sz="0" w:space="0" w:color="auto"/>
      </w:divBdr>
    </w:div>
    <w:div w:id="733889221">
      <w:bodyDiv w:val="1"/>
      <w:marLeft w:val="0"/>
      <w:marRight w:val="0"/>
      <w:marTop w:val="0"/>
      <w:marBottom w:val="0"/>
      <w:divBdr>
        <w:top w:val="none" w:sz="0" w:space="0" w:color="auto"/>
        <w:left w:val="none" w:sz="0" w:space="0" w:color="auto"/>
        <w:bottom w:val="none" w:sz="0" w:space="0" w:color="auto"/>
        <w:right w:val="none" w:sz="0" w:space="0" w:color="auto"/>
      </w:divBdr>
    </w:div>
    <w:div w:id="739209640">
      <w:bodyDiv w:val="1"/>
      <w:marLeft w:val="0"/>
      <w:marRight w:val="0"/>
      <w:marTop w:val="0"/>
      <w:marBottom w:val="0"/>
      <w:divBdr>
        <w:top w:val="none" w:sz="0" w:space="0" w:color="auto"/>
        <w:left w:val="none" w:sz="0" w:space="0" w:color="auto"/>
        <w:bottom w:val="none" w:sz="0" w:space="0" w:color="auto"/>
        <w:right w:val="none" w:sz="0" w:space="0" w:color="auto"/>
      </w:divBdr>
    </w:div>
    <w:div w:id="750927736">
      <w:bodyDiv w:val="1"/>
      <w:marLeft w:val="0"/>
      <w:marRight w:val="0"/>
      <w:marTop w:val="0"/>
      <w:marBottom w:val="0"/>
      <w:divBdr>
        <w:top w:val="none" w:sz="0" w:space="0" w:color="auto"/>
        <w:left w:val="none" w:sz="0" w:space="0" w:color="auto"/>
        <w:bottom w:val="none" w:sz="0" w:space="0" w:color="auto"/>
        <w:right w:val="none" w:sz="0" w:space="0" w:color="auto"/>
      </w:divBdr>
    </w:div>
    <w:div w:id="788280520">
      <w:bodyDiv w:val="1"/>
      <w:marLeft w:val="0"/>
      <w:marRight w:val="0"/>
      <w:marTop w:val="0"/>
      <w:marBottom w:val="0"/>
      <w:divBdr>
        <w:top w:val="none" w:sz="0" w:space="0" w:color="auto"/>
        <w:left w:val="none" w:sz="0" w:space="0" w:color="auto"/>
        <w:bottom w:val="none" w:sz="0" w:space="0" w:color="auto"/>
        <w:right w:val="none" w:sz="0" w:space="0" w:color="auto"/>
      </w:divBdr>
    </w:div>
    <w:div w:id="802695096">
      <w:bodyDiv w:val="1"/>
      <w:marLeft w:val="0"/>
      <w:marRight w:val="0"/>
      <w:marTop w:val="0"/>
      <w:marBottom w:val="0"/>
      <w:divBdr>
        <w:top w:val="none" w:sz="0" w:space="0" w:color="auto"/>
        <w:left w:val="none" w:sz="0" w:space="0" w:color="auto"/>
        <w:bottom w:val="none" w:sz="0" w:space="0" w:color="auto"/>
        <w:right w:val="none" w:sz="0" w:space="0" w:color="auto"/>
      </w:divBdr>
    </w:div>
    <w:div w:id="850264155">
      <w:bodyDiv w:val="1"/>
      <w:marLeft w:val="0"/>
      <w:marRight w:val="0"/>
      <w:marTop w:val="0"/>
      <w:marBottom w:val="0"/>
      <w:divBdr>
        <w:top w:val="none" w:sz="0" w:space="0" w:color="auto"/>
        <w:left w:val="none" w:sz="0" w:space="0" w:color="auto"/>
        <w:bottom w:val="none" w:sz="0" w:space="0" w:color="auto"/>
        <w:right w:val="none" w:sz="0" w:space="0" w:color="auto"/>
      </w:divBdr>
    </w:div>
    <w:div w:id="886112687">
      <w:bodyDiv w:val="1"/>
      <w:marLeft w:val="0"/>
      <w:marRight w:val="0"/>
      <w:marTop w:val="0"/>
      <w:marBottom w:val="0"/>
      <w:divBdr>
        <w:top w:val="none" w:sz="0" w:space="0" w:color="auto"/>
        <w:left w:val="none" w:sz="0" w:space="0" w:color="auto"/>
        <w:bottom w:val="none" w:sz="0" w:space="0" w:color="auto"/>
        <w:right w:val="none" w:sz="0" w:space="0" w:color="auto"/>
      </w:divBdr>
    </w:div>
    <w:div w:id="908997053">
      <w:bodyDiv w:val="1"/>
      <w:marLeft w:val="0"/>
      <w:marRight w:val="0"/>
      <w:marTop w:val="0"/>
      <w:marBottom w:val="0"/>
      <w:divBdr>
        <w:top w:val="none" w:sz="0" w:space="0" w:color="auto"/>
        <w:left w:val="none" w:sz="0" w:space="0" w:color="auto"/>
        <w:bottom w:val="none" w:sz="0" w:space="0" w:color="auto"/>
        <w:right w:val="none" w:sz="0" w:space="0" w:color="auto"/>
      </w:divBdr>
    </w:div>
    <w:div w:id="953904483">
      <w:bodyDiv w:val="1"/>
      <w:marLeft w:val="0"/>
      <w:marRight w:val="0"/>
      <w:marTop w:val="0"/>
      <w:marBottom w:val="0"/>
      <w:divBdr>
        <w:top w:val="none" w:sz="0" w:space="0" w:color="auto"/>
        <w:left w:val="none" w:sz="0" w:space="0" w:color="auto"/>
        <w:bottom w:val="none" w:sz="0" w:space="0" w:color="auto"/>
        <w:right w:val="none" w:sz="0" w:space="0" w:color="auto"/>
      </w:divBdr>
    </w:div>
    <w:div w:id="972490907">
      <w:bodyDiv w:val="1"/>
      <w:marLeft w:val="0"/>
      <w:marRight w:val="0"/>
      <w:marTop w:val="0"/>
      <w:marBottom w:val="0"/>
      <w:divBdr>
        <w:top w:val="none" w:sz="0" w:space="0" w:color="auto"/>
        <w:left w:val="none" w:sz="0" w:space="0" w:color="auto"/>
        <w:bottom w:val="none" w:sz="0" w:space="0" w:color="auto"/>
        <w:right w:val="none" w:sz="0" w:space="0" w:color="auto"/>
      </w:divBdr>
    </w:div>
    <w:div w:id="987443599">
      <w:bodyDiv w:val="1"/>
      <w:marLeft w:val="0"/>
      <w:marRight w:val="0"/>
      <w:marTop w:val="0"/>
      <w:marBottom w:val="0"/>
      <w:divBdr>
        <w:top w:val="none" w:sz="0" w:space="0" w:color="auto"/>
        <w:left w:val="none" w:sz="0" w:space="0" w:color="auto"/>
        <w:bottom w:val="none" w:sz="0" w:space="0" w:color="auto"/>
        <w:right w:val="none" w:sz="0" w:space="0" w:color="auto"/>
      </w:divBdr>
    </w:div>
    <w:div w:id="1023022109">
      <w:bodyDiv w:val="1"/>
      <w:marLeft w:val="0"/>
      <w:marRight w:val="0"/>
      <w:marTop w:val="0"/>
      <w:marBottom w:val="0"/>
      <w:divBdr>
        <w:top w:val="none" w:sz="0" w:space="0" w:color="auto"/>
        <w:left w:val="none" w:sz="0" w:space="0" w:color="auto"/>
        <w:bottom w:val="none" w:sz="0" w:space="0" w:color="auto"/>
        <w:right w:val="none" w:sz="0" w:space="0" w:color="auto"/>
      </w:divBdr>
    </w:div>
    <w:div w:id="1110667735">
      <w:bodyDiv w:val="1"/>
      <w:marLeft w:val="0"/>
      <w:marRight w:val="0"/>
      <w:marTop w:val="0"/>
      <w:marBottom w:val="0"/>
      <w:divBdr>
        <w:top w:val="none" w:sz="0" w:space="0" w:color="auto"/>
        <w:left w:val="none" w:sz="0" w:space="0" w:color="auto"/>
        <w:bottom w:val="none" w:sz="0" w:space="0" w:color="auto"/>
        <w:right w:val="none" w:sz="0" w:space="0" w:color="auto"/>
      </w:divBdr>
    </w:div>
    <w:div w:id="1157763881">
      <w:bodyDiv w:val="1"/>
      <w:marLeft w:val="0"/>
      <w:marRight w:val="0"/>
      <w:marTop w:val="0"/>
      <w:marBottom w:val="0"/>
      <w:divBdr>
        <w:top w:val="none" w:sz="0" w:space="0" w:color="auto"/>
        <w:left w:val="none" w:sz="0" w:space="0" w:color="auto"/>
        <w:bottom w:val="none" w:sz="0" w:space="0" w:color="auto"/>
        <w:right w:val="none" w:sz="0" w:space="0" w:color="auto"/>
      </w:divBdr>
    </w:div>
    <w:div w:id="1179931394">
      <w:bodyDiv w:val="1"/>
      <w:marLeft w:val="0"/>
      <w:marRight w:val="0"/>
      <w:marTop w:val="0"/>
      <w:marBottom w:val="0"/>
      <w:divBdr>
        <w:top w:val="none" w:sz="0" w:space="0" w:color="auto"/>
        <w:left w:val="none" w:sz="0" w:space="0" w:color="auto"/>
        <w:bottom w:val="none" w:sz="0" w:space="0" w:color="auto"/>
        <w:right w:val="none" w:sz="0" w:space="0" w:color="auto"/>
      </w:divBdr>
    </w:div>
    <w:div w:id="1193885332">
      <w:bodyDiv w:val="1"/>
      <w:marLeft w:val="0"/>
      <w:marRight w:val="0"/>
      <w:marTop w:val="0"/>
      <w:marBottom w:val="0"/>
      <w:divBdr>
        <w:top w:val="none" w:sz="0" w:space="0" w:color="auto"/>
        <w:left w:val="none" w:sz="0" w:space="0" w:color="auto"/>
        <w:bottom w:val="none" w:sz="0" w:space="0" w:color="auto"/>
        <w:right w:val="none" w:sz="0" w:space="0" w:color="auto"/>
      </w:divBdr>
    </w:div>
    <w:div w:id="1230116780">
      <w:bodyDiv w:val="1"/>
      <w:marLeft w:val="0"/>
      <w:marRight w:val="0"/>
      <w:marTop w:val="0"/>
      <w:marBottom w:val="0"/>
      <w:divBdr>
        <w:top w:val="none" w:sz="0" w:space="0" w:color="auto"/>
        <w:left w:val="none" w:sz="0" w:space="0" w:color="auto"/>
        <w:bottom w:val="none" w:sz="0" w:space="0" w:color="auto"/>
        <w:right w:val="none" w:sz="0" w:space="0" w:color="auto"/>
      </w:divBdr>
    </w:div>
    <w:div w:id="1367830859">
      <w:bodyDiv w:val="1"/>
      <w:marLeft w:val="0"/>
      <w:marRight w:val="0"/>
      <w:marTop w:val="0"/>
      <w:marBottom w:val="0"/>
      <w:divBdr>
        <w:top w:val="none" w:sz="0" w:space="0" w:color="auto"/>
        <w:left w:val="none" w:sz="0" w:space="0" w:color="auto"/>
        <w:bottom w:val="none" w:sz="0" w:space="0" w:color="auto"/>
        <w:right w:val="none" w:sz="0" w:space="0" w:color="auto"/>
      </w:divBdr>
    </w:div>
    <w:div w:id="1421180305">
      <w:bodyDiv w:val="1"/>
      <w:marLeft w:val="0"/>
      <w:marRight w:val="0"/>
      <w:marTop w:val="0"/>
      <w:marBottom w:val="0"/>
      <w:divBdr>
        <w:top w:val="none" w:sz="0" w:space="0" w:color="auto"/>
        <w:left w:val="none" w:sz="0" w:space="0" w:color="auto"/>
        <w:bottom w:val="none" w:sz="0" w:space="0" w:color="auto"/>
        <w:right w:val="none" w:sz="0" w:space="0" w:color="auto"/>
      </w:divBdr>
    </w:div>
    <w:div w:id="1576162187">
      <w:bodyDiv w:val="1"/>
      <w:marLeft w:val="0"/>
      <w:marRight w:val="0"/>
      <w:marTop w:val="0"/>
      <w:marBottom w:val="0"/>
      <w:divBdr>
        <w:top w:val="none" w:sz="0" w:space="0" w:color="auto"/>
        <w:left w:val="none" w:sz="0" w:space="0" w:color="auto"/>
        <w:bottom w:val="none" w:sz="0" w:space="0" w:color="auto"/>
        <w:right w:val="none" w:sz="0" w:space="0" w:color="auto"/>
      </w:divBdr>
    </w:div>
    <w:div w:id="1611428499">
      <w:bodyDiv w:val="1"/>
      <w:marLeft w:val="0"/>
      <w:marRight w:val="0"/>
      <w:marTop w:val="0"/>
      <w:marBottom w:val="0"/>
      <w:divBdr>
        <w:top w:val="none" w:sz="0" w:space="0" w:color="auto"/>
        <w:left w:val="none" w:sz="0" w:space="0" w:color="auto"/>
        <w:bottom w:val="none" w:sz="0" w:space="0" w:color="auto"/>
        <w:right w:val="none" w:sz="0" w:space="0" w:color="auto"/>
      </w:divBdr>
    </w:div>
    <w:div w:id="1698462120">
      <w:bodyDiv w:val="1"/>
      <w:marLeft w:val="0"/>
      <w:marRight w:val="0"/>
      <w:marTop w:val="0"/>
      <w:marBottom w:val="0"/>
      <w:divBdr>
        <w:top w:val="none" w:sz="0" w:space="0" w:color="auto"/>
        <w:left w:val="none" w:sz="0" w:space="0" w:color="auto"/>
        <w:bottom w:val="none" w:sz="0" w:space="0" w:color="auto"/>
        <w:right w:val="none" w:sz="0" w:space="0" w:color="auto"/>
      </w:divBdr>
    </w:div>
    <w:div w:id="1720661782">
      <w:bodyDiv w:val="1"/>
      <w:marLeft w:val="0"/>
      <w:marRight w:val="0"/>
      <w:marTop w:val="0"/>
      <w:marBottom w:val="0"/>
      <w:divBdr>
        <w:top w:val="none" w:sz="0" w:space="0" w:color="auto"/>
        <w:left w:val="none" w:sz="0" w:space="0" w:color="auto"/>
        <w:bottom w:val="none" w:sz="0" w:space="0" w:color="auto"/>
        <w:right w:val="none" w:sz="0" w:space="0" w:color="auto"/>
      </w:divBdr>
    </w:div>
    <w:div w:id="1754427728">
      <w:bodyDiv w:val="1"/>
      <w:marLeft w:val="0"/>
      <w:marRight w:val="0"/>
      <w:marTop w:val="0"/>
      <w:marBottom w:val="0"/>
      <w:divBdr>
        <w:top w:val="none" w:sz="0" w:space="0" w:color="auto"/>
        <w:left w:val="none" w:sz="0" w:space="0" w:color="auto"/>
        <w:bottom w:val="none" w:sz="0" w:space="0" w:color="auto"/>
        <w:right w:val="none" w:sz="0" w:space="0" w:color="auto"/>
      </w:divBdr>
    </w:div>
    <w:div w:id="1755281379">
      <w:bodyDiv w:val="1"/>
      <w:marLeft w:val="0"/>
      <w:marRight w:val="0"/>
      <w:marTop w:val="0"/>
      <w:marBottom w:val="0"/>
      <w:divBdr>
        <w:top w:val="none" w:sz="0" w:space="0" w:color="auto"/>
        <w:left w:val="none" w:sz="0" w:space="0" w:color="auto"/>
        <w:bottom w:val="none" w:sz="0" w:space="0" w:color="auto"/>
        <w:right w:val="none" w:sz="0" w:space="0" w:color="auto"/>
      </w:divBdr>
    </w:div>
    <w:div w:id="1795555516">
      <w:bodyDiv w:val="1"/>
      <w:marLeft w:val="0"/>
      <w:marRight w:val="0"/>
      <w:marTop w:val="0"/>
      <w:marBottom w:val="0"/>
      <w:divBdr>
        <w:top w:val="none" w:sz="0" w:space="0" w:color="auto"/>
        <w:left w:val="none" w:sz="0" w:space="0" w:color="auto"/>
        <w:bottom w:val="none" w:sz="0" w:space="0" w:color="auto"/>
        <w:right w:val="none" w:sz="0" w:space="0" w:color="auto"/>
      </w:divBdr>
    </w:div>
    <w:div w:id="1799061091">
      <w:bodyDiv w:val="1"/>
      <w:marLeft w:val="0"/>
      <w:marRight w:val="0"/>
      <w:marTop w:val="0"/>
      <w:marBottom w:val="0"/>
      <w:divBdr>
        <w:top w:val="none" w:sz="0" w:space="0" w:color="auto"/>
        <w:left w:val="none" w:sz="0" w:space="0" w:color="auto"/>
        <w:bottom w:val="none" w:sz="0" w:space="0" w:color="auto"/>
        <w:right w:val="none" w:sz="0" w:space="0" w:color="auto"/>
      </w:divBdr>
    </w:div>
    <w:div w:id="1804617365">
      <w:bodyDiv w:val="1"/>
      <w:marLeft w:val="0"/>
      <w:marRight w:val="0"/>
      <w:marTop w:val="0"/>
      <w:marBottom w:val="0"/>
      <w:divBdr>
        <w:top w:val="none" w:sz="0" w:space="0" w:color="auto"/>
        <w:left w:val="none" w:sz="0" w:space="0" w:color="auto"/>
        <w:bottom w:val="none" w:sz="0" w:space="0" w:color="auto"/>
        <w:right w:val="none" w:sz="0" w:space="0" w:color="auto"/>
      </w:divBdr>
    </w:div>
    <w:div w:id="1812289510">
      <w:bodyDiv w:val="1"/>
      <w:marLeft w:val="0"/>
      <w:marRight w:val="0"/>
      <w:marTop w:val="0"/>
      <w:marBottom w:val="0"/>
      <w:divBdr>
        <w:top w:val="none" w:sz="0" w:space="0" w:color="auto"/>
        <w:left w:val="none" w:sz="0" w:space="0" w:color="auto"/>
        <w:bottom w:val="none" w:sz="0" w:space="0" w:color="auto"/>
        <w:right w:val="none" w:sz="0" w:space="0" w:color="auto"/>
      </w:divBdr>
    </w:div>
    <w:div w:id="1835221488">
      <w:bodyDiv w:val="1"/>
      <w:marLeft w:val="0"/>
      <w:marRight w:val="0"/>
      <w:marTop w:val="0"/>
      <w:marBottom w:val="0"/>
      <w:divBdr>
        <w:top w:val="none" w:sz="0" w:space="0" w:color="auto"/>
        <w:left w:val="none" w:sz="0" w:space="0" w:color="auto"/>
        <w:bottom w:val="none" w:sz="0" w:space="0" w:color="auto"/>
        <w:right w:val="none" w:sz="0" w:space="0" w:color="auto"/>
      </w:divBdr>
    </w:div>
    <w:div w:id="1905145713">
      <w:bodyDiv w:val="1"/>
      <w:marLeft w:val="0"/>
      <w:marRight w:val="0"/>
      <w:marTop w:val="0"/>
      <w:marBottom w:val="0"/>
      <w:divBdr>
        <w:top w:val="none" w:sz="0" w:space="0" w:color="auto"/>
        <w:left w:val="none" w:sz="0" w:space="0" w:color="auto"/>
        <w:bottom w:val="none" w:sz="0" w:space="0" w:color="auto"/>
        <w:right w:val="none" w:sz="0" w:space="0" w:color="auto"/>
      </w:divBdr>
    </w:div>
    <w:div w:id="1927810750">
      <w:bodyDiv w:val="1"/>
      <w:marLeft w:val="0"/>
      <w:marRight w:val="0"/>
      <w:marTop w:val="0"/>
      <w:marBottom w:val="0"/>
      <w:divBdr>
        <w:top w:val="none" w:sz="0" w:space="0" w:color="auto"/>
        <w:left w:val="none" w:sz="0" w:space="0" w:color="auto"/>
        <w:bottom w:val="none" w:sz="0" w:space="0" w:color="auto"/>
        <w:right w:val="none" w:sz="0" w:space="0" w:color="auto"/>
      </w:divBdr>
    </w:div>
    <w:div w:id="1946763454">
      <w:bodyDiv w:val="1"/>
      <w:marLeft w:val="0"/>
      <w:marRight w:val="0"/>
      <w:marTop w:val="0"/>
      <w:marBottom w:val="0"/>
      <w:divBdr>
        <w:top w:val="none" w:sz="0" w:space="0" w:color="auto"/>
        <w:left w:val="none" w:sz="0" w:space="0" w:color="auto"/>
        <w:bottom w:val="none" w:sz="0" w:space="0" w:color="auto"/>
        <w:right w:val="none" w:sz="0" w:space="0" w:color="auto"/>
      </w:divBdr>
    </w:div>
    <w:div w:id="1963462907">
      <w:bodyDiv w:val="1"/>
      <w:marLeft w:val="0"/>
      <w:marRight w:val="0"/>
      <w:marTop w:val="0"/>
      <w:marBottom w:val="0"/>
      <w:divBdr>
        <w:top w:val="none" w:sz="0" w:space="0" w:color="auto"/>
        <w:left w:val="none" w:sz="0" w:space="0" w:color="auto"/>
        <w:bottom w:val="none" w:sz="0" w:space="0" w:color="auto"/>
        <w:right w:val="none" w:sz="0" w:space="0" w:color="auto"/>
      </w:divBdr>
    </w:div>
    <w:div w:id="1972706141">
      <w:bodyDiv w:val="1"/>
      <w:marLeft w:val="0"/>
      <w:marRight w:val="0"/>
      <w:marTop w:val="0"/>
      <w:marBottom w:val="0"/>
      <w:divBdr>
        <w:top w:val="none" w:sz="0" w:space="0" w:color="auto"/>
        <w:left w:val="none" w:sz="0" w:space="0" w:color="auto"/>
        <w:bottom w:val="none" w:sz="0" w:space="0" w:color="auto"/>
        <w:right w:val="none" w:sz="0" w:space="0" w:color="auto"/>
      </w:divBdr>
    </w:div>
    <w:div w:id="1994599875">
      <w:bodyDiv w:val="1"/>
      <w:marLeft w:val="0"/>
      <w:marRight w:val="0"/>
      <w:marTop w:val="0"/>
      <w:marBottom w:val="0"/>
      <w:divBdr>
        <w:top w:val="none" w:sz="0" w:space="0" w:color="auto"/>
        <w:left w:val="none" w:sz="0" w:space="0" w:color="auto"/>
        <w:bottom w:val="none" w:sz="0" w:space="0" w:color="auto"/>
        <w:right w:val="none" w:sz="0" w:space="0" w:color="auto"/>
      </w:divBdr>
    </w:div>
    <w:div w:id="2096633408">
      <w:bodyDiv w:val="1"/>
      <w:marLeft w:val="0"/>
      <w:marRight w:val="0"/>
      <w:marTop w:val="0"/>
      <w:marBottom w:val="0"/>
      <w:divBdr>
        <w:top w:val="none" w:sz="0" w:space="0" w:color="auto"/>
        <w:left w:val="none" w:sz="0" w:space="0" w:color="auto"/>
        <w:bottom w:val="none" w:sz="0" w:space="0" w:color="auto"/>
        <w:right w:val="none" w:sz="0" w:space="0" w:color="auto"/>
      </w:divBdr>
    </w:div>
    <w:div w:id="21266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2543B01-A6B6-194B-BDF0-3FF6271B55C0}">
  <ds:schemaRefs>
    <ds:schemaRef ds:uri="http://schemas.openxmlformats.org/officeDocument/2006/bibliography"/>
  </ds:schemaRefs>
</ds:datastoreItem>
</file>

<file path=customXml/itemProps2.xml><?xml version="1.0" encoding="utf-8"?>
<ds:datastoreItem xmlns:ds="http://schemas.openxmlformats.org/officeDocument/2006/customXml" ds:itemID="{C0E31978-63B1-4344-97A6-D31F861B419E}"/>
</file>

<file path=customXml/itemProps3.xml><?xml version="1.0" encoding="utf-8"?>
<ds:datastoreItem xmlns:ds="http://schemas.openxmlformats.org/officeDocument/2006/customXml" ds:itemID="{A5BAE81D-2B0D-4EBB-91FA-7D2B82C1B2C3}"/>
</file>

<file path=customXml/itemProps4.xml><?xml version="1.0" encoding="utf-8"?>
<ds:datastoreItem xmlns:ds="http://schemas.openxmlformats.org/officeDocument/2006/customXml" ds:itemID="{37A991E0-44DB-480F-A215-1A2842D7EB01}"/>
</file>

<file path=docProps/app.xml><?xml version="1.0" encoding="utf-8"?>
<Properties xmlns="http://schemas.openxmlformats.org/officeDocument/2006/extended-properties" xmlns:vt="http://schemas.openxmlformats.org/officeDocument/2006/docPropsVTypes">
  <Template>Normal.dotm</Template>
  <TotalTime>0</TotalTime>
  <Pages>8</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Art external assessment report</dc:title>
  <dc:creator/>
  <cp:lastModifiedBy/>
  <cp:revision>1</cp:revision>
  <dcterms:created xsi:type="dcterms:W3CDTF">2023-04-12T12:07:00Z</dcterms:created>
  <dcterms:modified xsi:type="dcterms:W3CDTF">2023-04-12T12:09:00Z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