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360A" w14:textId="772E1F6E" w:rsidR="00F4525C" w:rsidRDefault="00024018" w:rsidP="009B61E5">
      <w:pPr>
        <w:pStyle w:val="VCAADocumenttitle"/>
      </w:pPr>
      <w:r>
        <w:t>202</w:t>
      </w:r>
      <w:r w:rsidR="004B6F17">
        <w:t>1</w:t>
      </w:r>
      <w:r>
        <w:t xml:space="preserve"> </w:t>
      </w:r>
      <w:r w:rsidR="0005445B">
        <w:t>VCE Extended Investigation</w:t>
      </w:r>
      <w:r>
        <w:t xml:space="preserve"> </w:t>
      </w:r>
      <w:r w:rsidR="00964195">
        <w:t>Critical Thinking Test</w:t>
      </w:r>
      <w:r w:rsidR="00400537">
        <w:t xml:space="preserve"> </w:t>
      </w:r>
      <w:r>
        <w:t>report</w:t>
      </w:r>
    </w:p>
    <w:p w14:paraId="1E3F44D5" w14:textId="77777777" w:rsidR="006663C6" w:rsidRDefault="00024018" w:rsidP="00C35203">
      <w:pPr>
        <w:pStyle w:val="VCAAHeading1"/>
      </w:pPr>
      <w:bookmarkStart w:id="0" w:name="TemplateOverview"/>
      <w:bookmarkEnd w:id="0"/>
      <w:r>
        <w:t>General comments</w:t>
      </w:r>
    </w:p>
    <w:p w14:paraId="6AC60FA0" w14:textId="3C649798" w:rsidR="00E87078" w:rsidRPr="00FC6DE7" w:rsidRDefault="00B32AAB" w:rsidP="00321250">
      <w:pPr>
        <w:pStyle w:val="VCAAbody"/>
      </w:pPr>
      <w:r w:rsidRPr="00FC6DE7">
        <w:t xml:space="preserve">Student responses to the Critical Thinking Test of 2021 demonstrated a general awareness of what was required to score at a reasonable level within the </w:t>
      </w:r>
      <w:r w:rsidR="00EB4CEB">
        <w:t>t</w:t>
      </w:r>
      <w:r w:rsidRPr="00FC6DE7">
        <w:t xml:space="preserve">est. </w:t>
      </w:r>
      <w:r w:rsidR="00EB4CEB">
        <w:t>T</w:t>
      </w:r>
      <w:r w:rsidRPr="00FC6DE7">
        <w:t xml:space="preserve">he </w:t>
      </w:r>
      <w:r w:rsidR="00EB4CEB">
        <w:t>t</w:t>
      </w:r>
      <w:r w:rsidRPr="00FC6DE7">
        <w:t>est is delib</w:t>
      </w:r>
      <w:r w:rsidR="00FC4A06" w:rsidRPr="00FC6DE7">
        <w:t>erately constructed to examine</w:t>
      </w:r>
      <w:r w:rsidRPr="00FC6DE7">
        <w:t xml:space="preserve"> different aspects</w:t>
      </w:r>
      <w:r w:rsidR="00FC4A06" w:rsidRPr="00FC6DE7">
        <w:t xml:space="preserve"> of critical thinking across its</w:t>
      </w:r>
      <w:r w:rsidRPr="00FC6DE7">
        <w:t xml:space="preserve"> </w:t>
      </w:r>
      <w:r w:rsidR="00112484">
        <w:t>10</w:t>
      </w:r>
      <w:r w:rsidR="00112484" w:rsidRPr="00FC6DE7">
        <w:t xml:space="preserve"> </w:t>
      </w:r>
      <w:r w:rsidRPr="00FC6DE7">
        <w:t>questions</w:t>
      </w:r>
      <w:r w:rsidR="00D16E18">
        <w:t>.</w:t>
      </w:r>
      <w:r w:rsidRPr="00FC6DE7">
        <w:t xml:space="preserve"> </w:t>
      </w:r>
      <w:r w:rsidR="00782A0E" w:rsidRPr="008248B2">
        <w:t xml:space="preserve">It is </w:t>
      </w:r>
      <w:r w:rsidR="00782A0E">
        <w:t>t</w:t>
      </w:r>
      <w:r w:rsidR="00782A0E" w:rsidRPr="008248B2">
        <w:t>he quality of thought and explanation</w:t>
      </w:r>
      <w:r w:rsidR="00782A0E">
        <w:t>,</w:t>
      </w:r>
      <w:r w:rsidR="00782A0E" w:rsidRPr="008248B2">
        <w:t xml:space="preserve"> rather than the quality of the writing </w:t>
      </w:r>
      <w:r w:rsidR="00782A0E">
        <w:t xml:space="preserve">or accuracy of keyboard skills, </w:t>
      </w:r>
      <w:r w:rsidR="00782A0E" w:rsidRPr="008248B2">
        <w:t>that is assessed.</w:t>
      </w:r>
      <w:r w:rsidR="00782A0E">
        <w:t xml:space="preserve"> </w:t>
      </w:r>
    </w:p>
    <w:p w14:paraId="52C368E9" w14:textId="78454808" w:rsidR="0039512E" w:rsidRPr="0039512E" w:rsidRDefault="0039512E" w:rsidP="00E87078">
      <w:pPr>
        <w:pStyle w:val="VCAAbody"/>
        <w:rPr>
          <w:rStyle w:val="VCAAbodyChar"/>
        </w:rPr>
      </w:pPr>
      <w:r w:rsidRPr="00A20DBC">
        <w:t>A debatable issue will allow at least t</w:t>
      </w:r>
      <w:r>
        <w:t>wo possible sides for argument</w:t>
      </w:r>
      <w:r w:rsidR="0008327E">
        <w:t>.</w:t>
      </w:r>
      <w:r>
        <w:t xml:space="preserve"> </w:t>
      </w:r>
      <w:r w:rsidR="0008327E">
        <w:t>S</w:t>
      </w:r>
      <w:r>
        <w:t xml:space="preserve">tudents should </w:t>
      </w:r>
      <w:r w:rsidRPr="00DF3D0E">
        <w:rPr>
          <w:lang w:val="en-AU"/>
        </w:rPr>
        <w:t>practise analysing</w:t>
      </w:r>
      <w:r w:rsidRPr="00A20DBC">
        <w:t xml:space="preserve">, critiquing and evaluating different points of view about issues and arguments </w:t>
      </w:r>
      <w:r w:rsidR="009E7E09">
        <w:t>in</w:t>
      </w:r>
      <w:r w:rsidRPr="00A20DBC">
        <w:t xml:space="preserve"> preparation for this test</w:t>
      </w:r>
      <w:r>
        <w:t xml:space="preserve"> and throughout their study of Extended Investigation</w:t>
      </w:r>
      <w:r w:rsidRPr="00A20DBC">
        <w:t>.</w:t>
      </w:r>
    </w:p>
    <w:p w14:paraId="071966E0" w14:textId="5819C9A3" w:rsidR="00321250" w:rsidRDefault="00321250" w:rsidP="00321250">
      <w:pPr>
        <w:pStyle w:val="VCAAbody"/>
      </w:pPr>
      <w:r>
        <w:t>The</w:t>
      </w:r>
      <w:r w:rsidRPr="00A20DBC">
        <w:t xml:space="preserve"> drag</w:t>
      </w:r>
      <w:r>
        <w:t>-</w:t>
      </w:r>
      <w:r w:rsidRPr="00A20DBC">
        <w:t>and</w:t>
      </w:r>
      <w:r>
        <w:t>-drop question</w:t>
      </w:r>
      <w:r w:rsidRPr="00A20DBC">
        <w:t xml:space="preserve"> involve</w:t>
      </w:r>
      <w:r>
        <w:t>s</w:t>
      </w:r>
      <w:r w:rsidRPr="00A20DBC">
        <w:t xml:space="preserve"> thinking about how statements become reasoned arguments. The idea of taking the different sides of an argument and the notion that every argument can, in theory, be countered </w:t>
      </w:r>
      <w:r w:rsidR="003E60EF">
        <w:t>are</w:t>
      </w:r>
      <w:r w:rsidR="003E60EF" w:rsidRPr="00A20DBC">
        <w:t xml:space="preserve"> </w:t>
      </w:r>
      <w:r w:rsidRPr="00A20DBC">
        <w:t xml:space="preserve">implicit in the critical thinking model of this test. </w:t>
      </w:r>
    </w:p>
    <w:p w14:paraId="43AB8439" w14:textId="4AB973CA" w:rsidR="007E7CDB" w:rsidRPr="007E7CDB" w:rsidRDefault="007E7CDB" w:rsidP="00917BAC">
      <w:pPr>
        <w:pStyle w:val="VCAAbody"/>
      </w:pPr>
      <w:r w:rsidRPr="007E7CDB">
        <w:t>Students</w:t>
      </w:r>
      <w:r w:rsidR="00E87078" w:rsidRPr="007E7CDB">
        <w:t xml:space="preserve"> offer</w:t>
      </w:r>
      <w:r w:rsidRPr="007E7CDB">
        <w:t>ed</w:t>
      </w:r>
      <w:r w:rsidR="00E87078" w:rsidRPr="007E7CDB">
        <w:t xml:space="preserve"> a range of answers</w:t>
      </w:r>
      <w:r w:rsidRPr="007E7CDB">
        <w:t xml:space="preserve"> and took different approaches</w:t>
      </w:r>
      <w:r w:rsidR="0039512E">
        <w:t xml:space="preserve"> in their responses to the questions</w:t>
      </w:r>
      <w:r w:rsidR="00E87078" w:rsidRPr="007E7CDB">
        <w:t xml:space="preserve">. The </w:t>
      </w:r>
      <w:r w:rsidRPr="007E7CDB">
        <w:t xml:space="preserve">quality of </w:t>
      </w:r>
      <w:r w:rsidR="00E87078" w:rsidRPr="007E7CDB">
        <w:t>reasons or explanations</w:t>
      </w:r>
      <w:r w:rsidR="00885429">
        <w:t xml:space="preserve"> </w:t>
      </w:r>
      <w:r w:rsidRPr="007E7CDB">
        <w:t xml:space="preserve">– whether explicit or implicit </w:t>
      </w:r>
      <w:r w:rsidR="009E7E09">
        <w:t>–</w:t>
      </w:r>
      <w:r w:rsidRPr="007E7CDB">
        <w:t xml:space="preserve"> were </w:t>
      </w:r>
      <w:r w:rsidR="00E87078" w:rsidRPr="007E7CDB">
        <w:t xml:space="preserve">judged on their </w:t>
      </w:r>
      <w:r w:rsidRPr="007E7CDB">
        <w:t xml:space="preserve">individual </w:t>
      </w:r>
      <w:r w:rsidR="00E87078" w:rsidRPr="007E7CDB">
        <w:t xml:space="preserve">merits. </w:t>
      </w:r>
      <w:r w:rsidR="0039512E">
        <w:t xml:space="preserve">It is important to stress that there is no prescribed way to demonstrate effective critical thinking and students are rewarded for finding suitable ways to evaluate the issues under discussion. </w:t>
      </w:r>
    </w:p>
    <w:p w14:paraId="0E2A61A8" w14:textId="70595FC2" w:rsidR="000728F4" w:rsidRPr="00772D0D" w:rsidRDefault="00FF2D88" w:rsidP="00772D0D">
      <w:pPr>
        <w:pStyle w:val="VCAAbody"/>
      </w:pPr>
      <w:r w:rsidRPr="00772D0D">
        <w:t xml:space="preserve">Responses that explained and justified a viewpoint scored </w:t>
      </w:r>
      <w:r w:rsidR="00464389">
        <w:t>more highly</w:t>
      </w:r>
      <w:r w:rsidR="00464389" w:rsidRPr="00772D0D">
        <w:t xml:space="preserve"> </w:t>
      </w:r>
      <w:r w:rsidRPr="00772D0D">
        <w:t xml:space="preserve">than those that offered </w:t>
      </w:r>
      <w:proofErr w:type="spellStart"/>
      <w:r w:rsidR="007E7CDB" w:rsidRPr="00772D0D">
        <w:t>generalised</w:t>
      </w:r>
      <w:proofErr w:type="spellEnd"/>
      <w:r w:rsidR="00E87078" w:rsidRPr="00772D0D">
        <w:t xml:space="preserve"> comments with little </w:t>
      </w:r>
      <w:r w:rsidR="007E7CDB" w:rsidRPr="00772D0D">
        <w:t xml:space="preserve">specific </w:t>
      </w:r>
      <w:r w:rsidR="006A2623" w:rsidRPr="00772D0D">
        <w:t>reference to the</w:t>
      </w:r>
      <w:r w:rsidR="00E87078" w:rsidRPr="00772D0D">
        <w:t xml:space="preserve"> issue</w:t>
      </w:r>
      <w:r w:rsidR="0039512E" w:rsidRPr="00772D0D">
        <w:t>s presented</w:t>
      </w:r>
      <w:r w:rsidR="007E7CDB" w:rsidRPr="00772D0D">
        <w:t>.</w:t>
      </w:r>
      <w:r w:rsidR="00BA214C" w:rsidRPr="00772D0D">
        <w:t xml:space="preserve"> </w:t>
      </w:r>
      <w:r w:rsidR="0021045B" w:rsidRPr="00772D0D">
        <w:t>W</w:t>
      </w:r>
      <w:r w:rsidR="00BA214C" w:rsidRPr="00772D0D">
        <w:t xml:space="preserve">ords associated with research such as ‘subjective’, ‘objective’, ‘valid’, ‘reliable’ and ‘variables’ </w:t>
      </w:r>
      <w:r w:rsidR="0021045B" w:rsidRPr="00772D0D">
        <w:t>were sometimes used incorrectly or out of context.</w:t>
      </w:r>
      <w:r w:rsidR="00BA214C" w:rsidRPr="00772D0D">
        <w:t xml:space="preserve"> </w:t>
      </w:r>
      <w:r w:rsidR="00917BAC" w:rsidRPr="00772D0D">
        <w:t>Too ma</w:t>
      </w:r>
      <w:r w:rsidR="0021045B" w:rsidRPr="00772D0D">
        <w:t>ny</w:t>
      </w:r>
      <w:r w:rsidR="00BA214C" w:rsidRPr="00772D0D">
        <w:t xml:space="preserve"> students attempt</w:t>
      </w:r>
      <w:r w:rsidR="008F7705" w:rsidRPr="00772D0D">
        <w:t>ed</w:t>
      </w:r>
      <w:r w:rsidR="00BA214C" w:rsidRPr="00772D0D">
        <w:t xml:space="preserve"> to </w:t>
      </w:r>
      <w:proofErr w:type="spellStart"/>
      <w:r w:rsidR="00BA214C" w:rsidRPr="00772D0D">
        <w:t>analyse</w:t>
      </w:r>
      <w:proofErr w:type="spellEnd"/>
      <w:r w:rsidR="00BA214C" w:rsidRPr="00772D0D">
        <w:t xml:space="preserve"> the </w:t>
      </w:r>
      <w:r w:rsidR="006A2623" w:rsidRPr="00772D0D">
        <w:t xml:space="preserve">persuasive features of </w:t>
      </w:r>
      <w:r w:rsidR="00BA214C" w:rsidRPr="00772D0D">
        <w:t>language</w:t>
      </w:r>
      <w:r w:rsidR="000728F4" w:rsidRPr="00772D0D">
        <w:t xml:space="preserve">, potentially derived from studies of English such as ‘appeal to the hip pocket’ or ‘use of an inclusive voice’ without any attempt to </w:t>
      </w:r>
      <w:proofErr w:type="spellStart"/>
      <w:r w:rsidR="000728F4" w:rsidRPr="00772D0D">
        <w:t>utilise</w:t>
      </w:r>
      <w:proofErr w:type="spellEnd"/>
      <w:r w:rsidR="000728F4" w:rsidRPr="00772D0D">
        <w:t xml:space="preserve"> these phrases to help </w:t>
      </w:r>
      <w:proofErr w:type="spellStart"/>
      <w:r w:rsidR="000728F4" w:rsidRPr="00772D0D">
        <w:t>analyse</w:t>
      </w:r>
      <w:proofErr w:type="spellEnd"/>
      <w:r w:rsidR="000728F4" w:rsidRPr="00772D0D">
        <w:t xml:space="preserve"> or appraise the actual argument under consideration. </w:t>
      </w:r>
    </w:p>
    <w:p w14:paraId="69E46763" w14:textId="259D40E9" w:rsidR="00B62480" w:rsidRPr="002C012A" w:rsidRDefault="00024018" w:rsidP="002C012A">
      <w:pPr>
        <w:pStyle w:val="VCAAHeading1"/>
      </w:pPr>
      <w:r w:rsidRPr="002C012A">
        <w:t>Specific information</w:t>
      </w:r>
    </w:p>
    <w:p w14:paraId="50727157" w14:textId="77777777" w:rsidR="009A1EF8" w:rsidRDefault="009A1EF8" w:rsidP="004A7A6A">
      <w:pPr>
        <w:pStyle w:val="VCAAbody"/>
        <w:rPr>
          <w:lang w:val="en-AU"/>
        </w:rPr>
      </w:pPr>
      <w:r>
        <w:rPr>
          <w:lang w:val="en-AU"/>
        </w:rPr>
        <w:t xml:space="preserve">Note: </w:t>
      </w:r>
      <w:r>
        <w:t>Student responses reproduced in this report have not been corrected for grammar, spelling or factual information.</w:t>
      </w:r>
      <w:r>
        <w:rPr>
          <w:lang w:val="en-AU"/>
        </w:rPr>
        <w:t xml:space="preserve"> </w:t>
      </w:r>
    </w:p>
    <w:p w14:paraId="002B3F39" w14:textId="7BD789AA" w:rsidR="004A7A6A" w:rsidRDefault="004A7A6A" w:rsidP="004A7A6A">
      <w:pPr>
        <w:pStyle w:val="VCAAbody"/>
        <w:rPr>
          <w:lang w:val="en-AU"/>
        </w:rPr>
      </w:pPr>
      <w:r>
        <w:rPr>
          <w:lang w:val="en-AU"/>
        </w:rPr>
        <w:t>This report provides sample answers or an indication of what answers may have included. Unless otherwise stated, these are not intended to be exemplary or complete responses.</w:t>
      </w:r>
      <w:r w:rsidR="00D5149E">
        <w:rPr>
          <w:lang w:val="en-AU"/>
        </w:rPr>
        <w:t xml:space="preserve"> </w:t>
      </w:r>
    </w:p>
    <w:p w14:paraId="69ACBC98" w14:textId="6655A9EF" w:rsidR="004B6F17" w:rsidRDefault="004A7A6A" w:rsidP="004B6F17">
      <w:pPr>
        <w:pStyle w:val="VCAAbody"/>
      </w:pPr>
      <w:r>
        <w:t>The statistics in this report may be subject to rounding resulting in a total more or less than 100 per cent.</w:t>
      </w:r>
    </w:p>
    <w:p w14:paraId="681A085D" w14:textId="6BB714FA" w:rsidR="00A1651D" w:rsidRPr="00A20DBC" w:rsidRDefault="00A1651D" w:rsidP="00A1651D">
      <w:pPr>
        <w:pStyle w:val="VCAAHeading2"/>
        <w:rPr>
          <w:lang w:eastAsia="en-AU"/>
        </w:rPr>
      </w:pPr>
      <w:r w:rsidRPr="00A20DBC">
        <w:rPr>
          <w:lang w:eastAsia="en-AU"/>
        </w:rPr>
        <w:t>Criteria for assessing arguments</w:t>
      </w:r>
    </w:p>
    <w:p w14:paraId="598C20E1" w14:textId="77777777" w:rsidR="000728F4" w:rsidRDefault="000728F4" w:rsidP="000728F4">
      <w:pPr>
        <w:pStyle w:val="VCAAbody"/>
        <w:rPr>
          <w:rFonts w:eastAsia="Times New Roman"/>
        </w:rPr>
      </w:pPr>
      <w:r>
        <w:t>In general terms, the marks for Questions 3 and 4 and 8 to 10 are allocated on the understanding of an issue, the comprehensiveness of the response and the validity of the reasoning and argument presented.</w:t>
      </w:r>
    </w:p>
    <w:p w14:paraId="240E9F9F" w14:textId="0649ED13" w:rsidR="004A7A6A" w:rsidRPr="00131A65" w:rsidRDefault="00F44506" w:rsidP="00B10700">
      <w:pPr>
        <w:pStyle w:val="VCAAbody"/>
      </w:pPr>
      <w:r w:rsidRPr="00F44506">
        <w:t xml:space="preserve">In assessing </w:t>
      </w:r>
      <w:r w:rsidR="006A2623">
        <w:t>argument</w:t>
      </w:r>
      <w:r w:rsidR="009A1EF8">
        <w:t>s</w:t>
      </w:r>
      <w:r w:rsidR="006A2623">
        <w:t xml:space="preserve"> </w:t>
      </w:r>
      <w:r w:rsidR="009A1EF8">
        <w:t>there is a premium</w:t>
      </w:r>
      <w:r w:rsidR="00DA525B">
        <w:t xml:space="preserve"> on explaining </w:t>
      </w:r>
      <w:r w:rsidR="006A2623">
        <w:t xml:space="preserve">why </w:t>
      </w:r>
      <w:r w:rsidR="00DA525B">
        <w:t xml:space="preserve">a </w:t>
      </w:r>
      <w:r w:rsidR="006A2623">
        <w:t>judgment</w:t>
      </w:r>
      <w:r w:rsidR="00DA525B">
        <w:t xml:space="preserve"> is</w:t>
      </w:r>
      <w:r w:rsidR="006A2623">
        <w:t xml:space="preserve"> made</w:t>
      </w:r>
      <w:r w:rsidR="00DA525B">
        <w:t xml:space="preserve">, </w:t>
      </w:r>
      <w:r w:rsidRPr="00F44506">
        <w:t xml:space="preserve">but it is </w:t>
      </w:r>
      <w:proofErr w:type="spellStart"/>
      <w:r w:rsidR="00DA525B">
        <w:t>recognised</w:t>
      </w:r>
      <w:proofErr w:type="spellEnd"/>
      <w:r w:rsidRPr="00F44506">
        <w:t xml:space="preserve"> that s</w:t>
      </w:r>
      <w:r w:rsidR="00131A65">
        <w:t xml:space="preserve">uch explanations </w:t>
      </w:r>
      <w:r w:rsidR="00DA525B">
        <w:t xml:space="preserve">can be </w:t>
      </w:r>
      <w:r w:rsidR="00131A65">
        <w:t>difficult</w:t>
      </w:r>
      <w:r w:rsidR="00DA525B">
        <w:t>,</w:t>
      </w:r>
      <w:r w:rsidR="00131A65">
        <w:t xml:space="preserve"> particularly under </w:t>
      </w:r>
      <w:r w:rsidR="00DA525B">
        <w:t>test conditions</w:t>
      </w:r>
      <w:r w:rsidR="00131A65">
        <w:t>.</w:t>
      </w:r>
      <w:r w:rsidR="009E7E09">
        <w:t xml:space="preserve"> Consequently</w:t>
      </w:r>
      <w:r w:rsidR="00772D0D">
        <w:t>,</w:t>
      </w:r>
      <w:r w:rsidR="009E7E09">
        <w:t xml:space="preserve"> t</w:t>
      </w:r>
      <w:r w:rsidRPr="00F44506">
        <w:t>he reasoning and explanations</w:t>
      </w:r>
      <w:r w:rsidR="00EA7A2C">
        <w:t xml:space="preserve"> of students</w:t>
      </w:r>
      <w:r w:rsidRPr="00F44506">
        <w:t xml:space="preserve"> </w:t>
      </w:r>
      <w:r w:rsidR="007E14B4">
        <w:t xml:space="preserve">can </w:t>
      </w:r>
      <w:r w:rsidRPr="00F44506">
        <w:t xml:space="preserve">often </w:t>
      </w:r>
      <w:r w:rsidR="007E14B4">
        <w:t xml:space="preserve">be </w:t>
      </w:r>
      <w:r w:rsidRPr="00F44506">
        <w:t xml:space="preserve">implicit, but such implied reasoning may be </w:t>
      </w:r>
      <w:r w:rsidR="00131A65">
        <w:t>rewarded.</w:t>
      </w:r>
    </w:p>
    <w:p w14:paraId="09DBEC97" w14:textId="0D1DFB59" w:rsidR="00F86EC3" w:rsidRDefault="008A5933" w:rsidP="00BF001F">
      <w:pPr>
        <w:pStyle w:val="VCAAHeading3"/>
      </w:pPr>
      <w:r w:rsidRPr="00A1651D">
        <w:lastRenderedPageBreak/>
        <w:t>Question 1</w:t>
      </w:r>
    </w:p>
    <w:tbl>
      <w:tblPr>
        <w:tblStyle w:val="VCAATableClosed"/>
        <w:tblW w:w="4350" w:type="dxa"/>
        <w:tblLook w:val="04A0" w:firstRow="1" w:lastRow="0" w:firstColumn="1" w:lastColumn="0" w:noHBand="0" w:noVBand="1"/>
        <w:tblCaption w:val="Table one"/>
        <w:tblDescription w:val="VCAA closed table style"/>
      </w:tblPr>
      <w:tblGrid>
        <w:gridCol w:w="953"/>
        <w:gridCol w:w="551"/>
        <w:gridCol w:w="551"/>
        <w:gridCol w:w="551"/>
        <w:gridCol w:w="551"/>
        <w:gridCol w:w="1193"/>
      </w:tblGrid>
      <w:tr w:rsidR="00DE7977" w:rsidRPr="00B13D3B" w14:paraId="68BC6C08" w14:textId="77777777" w:rsidTr="00DF3D0E">
        <w:trPr>
          <w:cnfStyle w:val="100000000000" w:firstRow="1" w:lastRow="0" w:firstColumn="0" w:lastColumn="0" w:oddVBand="0" w:evenVBand="0" w:oddHBand="0" w:evenHBand="0" w:firstRowFirstColumn="0" w:firstRowLastColumn="0" w:lastRowFirstColumn="0" w:lastRowLastColumn="0"/>
        </w:trPr>
        <w:tc>
          <w:tcPr>
            <w:tcW w:w="0" w:type="dxa"/>
          </w:tcPr>
          <w:p w14:paraId="516F033B" w14:textId="77777777" w:rsidR="00F366C5" w:rsidRPr="00AF3F1C" w:rsidRDefault="00F366C5" w:rsidP="00F366C5">
            <w:pPr>
              <w:pStyle w:val="VCAAtablecondensedheading"/>
              <w:rPr>
                <w:color w:val="F2F2F2" w:themeColor="background1" w:themeShade="F2"/>
              </w:rPr>
            </w:pPr>
            <w:r>
              <w:rPr>
                <w:color w:val="F2F2F2" w:themeColor="background1" w:themeShade="F2"/>
              </w:rPr>
              <w:t>Marks</w:t>
            </w:r>
            <w:r w:rsidRPr="00AF3F1C">
              <w:rPr>
                <w:color w:val="F2F2F2" w:themeColor="background1" w:themeShade="F2"/>
              </w:rPr>
              <w:t xml:space="preserve"> </w:t>
            </w:r>
          </w:p>
        </w:tc>
        <w:tc>
          <w:tcPr>
            <w:tcW w:w="0" w:type="dxa"/>
          </w:tcPr>
          <w:p w14:paraId="2ADBC102" w14:textId="77777777" w:rsidR="00F366C5" w:rsidRPr="00AF3F1C" w:rsidRDefault="00F366C5" w:rsidP="00F366C5">
            <w:pPr>
              <w:pStyle w:val="VCAAtablecondensedheading"/>
              <w:rPr>
                <w:color w:val="F2F2F2" w:themeColor="background1" w:themeShade="F2"/>
              </w:rPr>
            </w:pPr>
            <w:r>
              <w:rPr>
                <w:color w:val="F2F2F2" w:themeColor="background1" w:themeShade="F2"/>
              </w:rPr>
              <w:t>0</w:t>
            </w:r>
          </w:p>
        </w:tc>
        <w:tc>
          <w:tcPr>
            <w:tcW w:w="0" w:type="dxa"/>
          </w:tcPr>
          <w:p w14:paraId="4B8823A5" w14:textId="77777777" w:rsidR="00F366C5" w:rsidRDefault="00F366C5" w:rsidP="00F366C5">
            <w:pPr>
              <w:pStyle w:val="VCAAtablecondensedheading"/>
              <w:rPr>
                <w:color w:val="F2F2F2" w:themeColor="background1" w:themeShade="F2"/>
              </w:rPr>
            </w:pPr>
            <w:r>
              <w:rPr>
                <w:color w:val="F2F2F2" w:themeColor="background1" w:themeShade="F2"/>
              </w:rPr>
              <w:t>1</w:t>
            </w:r>
          </w:p>
        </w:tc>
        <w:tc>
          <w:tcPr>
            <w:tcW w:w="0" w:type="dxa"/>
          </w:tcPr>
          <w:p w14:paraId="40CC5A71" w14:textId="77777777" w:rsidR="00F366C5" w:rsidRDefault="00F366C5" w:rsidP="00F366C5">
            <w:pPr>
              <w:pStyle w:val="VCAAtablecondensedheading"/>
              <w:rPr>
                <w:color w:val="F2F2F2" w:themeColor="background1" w:themeShade="F2"/>
              </w:rPr>
            </w:pPr>
            <w:r>
              <w:rPr>
                <w:color w:val="F2F2F2" w:themeColor="background1" w:themeShade="F2"/>
              </w:rPr>
              <w:t>2</w:t>
            </w:r>
          </w:p>
        </w:tc>
        <w:tc>
          <w:tcPr>
            <w:tcW w:w="0" w:type="dxa"/>
          </w:tcPr>
          <w:p w14:paraId="7AB6714C" w14:textId="77777777" w:rsidR="00F366C5" w:rsidRDefault="00F366C5" w:rsidP="00F366C5">
            <w:pPr>
              <w:pStyle w:val="VCAAtablecondensedheading"/>
              <w:rPr>
                <w:color w:val="F2F2F2" w:themeColor="background1" w:themeShade="F2"/>
              </w:rPr>
            </w:pPr>
            <w:r>
              <w:rPr>
                <w:color w:val="F2F2F2" w:themeColor="background1" w:themeShade="F2"/>
              </w:rPr>
              <w:t>3</w:t>
            </w:r>
          </w:p>
        </w:tc>
        <w:tc>
          <w:tcPr>
            <w:tcW w:w="0" w:type="dxa"/>
          </w:tcPr>
          <w:p w14:paraId="44255F0E" w14:textId="77777777" w:rsidR="00F366C5" w:rsidRDefault="00F366C5" w:rsidP="00F366C5">
            <w:pPr>
              <w:pStyle w:val="VCAAtablecondensedheading"/>
              <w:rPr>
                <w:color w:val="F2F2F2" w:themeColor="background1" w:themeShade="F2"/>
              </w:rPr>
            </w:pPr>
            <w:r>
              <w:rPr>
                <w:color w:val="F2F2F2" w:themeColor="background1" w:themeShade="F2"/>
              </w:rPr>
              <w:t>Average</w:t>
            </w:r>
          </w:p>
        </w:tc>
      </w:tr>
      <w:tr w:rsidR="00F366C5" w14:paraId="513A92BD" w14:textId="77777777" w:rsidTr="00DF3D0E">
        <w:tc>
          <w:tcPr>
            <w:tcW w:w="0" w:type="dxa"/>
          </w:tcPr>
          <w:p w14:paraId="1F8967D8" w14:textId="77777777" w:rsidR="00F366C5" w:rsidRDefault="00F366C5" w:rsidP="00F366C5">
            <w:pPr>
              <w:pStyle w:val="VCAAtablecondensed"/>
            </w:pPr>
            <w:r>
              <w:t>%</w:t>
            </w:r>
          </w:p>
        </w:tc>
        <w:tc>
          <w:tcPr>
            <w:tcW w:w="0" w:type="dxa"/>
          </w:tcPr>
          <w:p w14:paraId="75618363" w14:textId="74A2507B" w:rsidR="00F366C5" w:rsidRDefault="00F366C5" w:rsidP="000A0554">
            <w:pPr>
              <w:pStyle w:val="VCAAtablecondensed"/>
            </w:pPr>
            <w:r w:rsidRPr="00813919">
              <w:t>15</w:t>
            </w:r>
          </w:p>
        </w:tc>
        <w:tc>
          <w:tcPr>
            <w:tcW w:w="0" w:type="dxa"/>
          </w:tcPr>
          <w:p w14:paraId="38FA5677" w14:textId="363575D2" w:rsidR="00F366C5" w:rsidRDefault="00F366C5" w:rsidP="000A0554">
            <w:pPr>
              <w:pStyle w:val="VCAAtablecondensed"/>
            </w:pPr>
            <w:r w:rsidRPr="00813919">
              <w:t>4</w:t>
            </w:r>
            <w:r w:rsidR="009C0D80">
              <w:t>5</w:t>
            </w:r>
          </w:p>
        </w:tc>
        <w:tc>
          <w:tcPr>
            <w:tcW w:w="0" w:type="dxa"/>
          </w:tcPr>
          <w:p w14:paraId="76D3E37A" w14:textId="3BF5BDA0" w:rsidR="00F366C5" w:rsidRDefault="00F366C5" w:rsidP="000A0554">
            <w:pPr>
              <w:pStyle w:val="VCAAtablecondensed"/>
            </w:pPr>
            <w:r w:rsidRPr="00813919">
              <w:t>24</w:t>
            </w:r>
          </w:p>
        </w:tc>
        <w:tc>
          <w:tcPr>
            <w:tcW w:w="0" w:type="dxa"/>
          </w:tcPr>
          <w:p w14:paraId="39CAADC4" w14:textId="7064F829" w:rsidR="00F366C5" w:rsidRDefault="00F366C5" w:rsidP="000A0554">
            <w:pPr>
              <w:pStyle w:val="VCAAtablecondensed"/>
            </w:pPr>
            <w:r w:rsidRPr="00813919">
              <w:t>16</w:t>
            </w:r>
          </w:p>
        </w:tc>
        <w:tc>
          <w:tcPr>
            <w:tcW w:w="0" w:type="dxa"/>
          </w:tcPr>
          <w:p w14:paraId="2F790827" w14:textId="77777777" w:rsidR="00F366C5" w:rsidRDefault="00F366C5" w:rsidP="001717C0">
            <w:pPr>
              <w:pStyle w:val="VCAAtablecondensed"/>
            </w:pPr>
            <w:r w:rsidRPr="003F6AD3">
              <w:t>1.4</w:t>
            </w:r>
          </w:p>
        </w:tc>
      </w:tr>
    </w:tbl>
    <w:p w14:paraId="7433D74D" w14:textId="13C23E37" w:rsidR="001E7BD9" w:rsidRPr="00A20DBC" w:rsidRDefault="001E7BD9" w:rsidP="001E7BD9">
      <w:pPr>
        <w:pStyle w:val="VCAAbody"/>
      </w:pPr>
      <w:r w:rsidRPr="00A20DBC">
        <w:t xml:space="preserve">This drag-and-drop item required students to see how statements relate to each other in terms of a proposition, and how they can be best aligned in opposition to statements provided in the table. Students were asked to consider </w:t>
      </w:r>
      <w:r>
        <w:t xml:space="preserve">the pros and cons </w:t>
      </w:r>
      <w:r w:rsidR="00917BAC">
        <w:t xml:space="preserve">of </w:t>
      </w:r>
      <w:r>
        <w:t xml:space="preserve">Australia becoming a </w:t>
      </w:r>
      <w:r w:rsidR="002C5F0C">
        <w:t>r</w:t>
      </w:r>
      <w:r>
        <w:t>epublic</w:t>
      </w:r>
      <w:r w:rsidR="00917BAC">
        <w:t>,</w:t>
      </w:r>
      <w:r>
        <w:t xml:space="preserve"> </w:t>
      </w:r>
      <w:r w:rsidR="006F512D">
        <w:t xml:space="preserve">and </w:t>
      </w:r>
      <w:r>
        <w:t xml:space="preserve">then </w:t>
      </w:r>
      <w:r w:rsidRPr="00A20DBC">
        <w:t xml:space="preserve">drag the three </w:t>
      </w:r>
      <w:proofErr w:type="spellStart"/>
      <w:r w:rsidRPr="00A20DBC">
        <w:t>italicised</w:t>
      </w:r>
      <w:proofErr w:type="spellEnd"/>
      <w:r w:rsidRPr="00A20DBC">
        <w:t xml:space="preserve"> statements into one of five empty cells in the table. </w:t>
      </w:r>
    </w:p>
    <w:p w14:paraId="2644D259" w14:textId="497F124A" w:rsidR="000C3DC4" w:rsidRDefault="001F0EE0" w:rsidP="001717C0">
      <w:pPr>
        <w:pStyle w:val="VCAAbody"/>
      </w:pPr>
      <w:r>
        <w:t>A</w:t>
      </w:r>
      <w:r w:rsidR="001E7BD9">
        <w:t xml:space="preserve"> recommended approach is </w:t>
      </w:r>
      <w:r w:rsidR="00B3658E">
        <w:t xml:space="preserve">for students </w:t>
      </w:r>
      <w:r w:rsidR="001E7BD9">
        <w:t>to start</w:t>
      </w:r>
      <w:r w:rsidR="001E7BD9" w:rsidRPr="00A20DBC">
        <w:t xml:space="preserve"> by classifying </w:t>
      </w:r>
      <w:r>
        <w:t xml:space="preserve">the </w:t>
      </w:r>
      <w:r w:rsidR="001E7BD9" w:rsidRPr="00A20DBC">
        <w:t xml:space="preserve">statements as potentially </w:t>
      </w:r>
      <w:r w:rsidR="00BC194F">
        <w:t>f</w:t>
      </w:r>
      <w:r w:rsidR="001E7BD9" w:rsidRPr="00A20DBC">
        <w:t xml:space="preserve">or or </w:t>
      </w:r>
      <w:r w:rsidR="00BC194F">
        <w:t>a</w:t>
      </w:r>
      <w:r w:rsidR="001E7BD9" w:rsidRPr="00A20DBC">
        <w:t>gainst arguments</w:t>
      </w:r>
      <w:r w:rsidR="00B3658E">
        <w:t xml:space="preserve">, and then </w:t>
      </w:r>
      <w:r w:rsidR="001E7BD9">
        <w:t xml:space="preserve">decide which statement from the other side of the argument most </w:t>
      </w:r>
      <w:r w:rsidR="00EA7A2C">
        <w:t>closely opposes</w:t>
      </w:r>
      <w:r w:rsidR="001E7BD9">
        <w:t xml:space="preserve"> the</w:t>
      </w:r>
      <w:r w:rsidR="00DB3C69">
        <w:t>m.</w:t>
      </w:r>
    </w:p>
    <w:tbl>
      <w:tblPr>
        <w:tblStyle w:val="VCAATableClosed"/>
        <w:tblW w:w="9351" w:type="dxa"/>
        <w:tblLayout w:type="fixed"/>
        <w:tblLook w:val="0000" w:firstRow="0" w:lastRow="0" w:firstColumn="0" w:lastColumn="0" w:noHBand="0" w:noVBand="0"/>
      </w:tblPr>
      <w:tblGrid>
        <w:gridCol w:w="4675"/>
        <w:gridCol w:w="4676"/>
      </w:tblGrid>
      <w:tr w:rsidR="000C3DC4" w:rsidRPr="00266F8E" w14:paraId="6D0FA9CE" w14:textId="77777777" w:rsidTr="001717C0">
        <w:tc>
          <w:tcPr>
            <w:tcW w:w="0" w:type="dxa"/>
            <w:shd w:val="clear" w:color="auto" w:fill="0F7EB4"/>
          </w:tcPr>
          <w:p w14:paraId="3946730E" w14:textId="77777777" w:rsidR="000C3DC4" w:rsidRPr="00266F8E" w:rsidRDefault="000C3DC4" w:rsidP="001717C0">
            <w:pPr>
              <w:pStyle w:val="VCAAtablecondensedheading"/>
            </w:pPr>
            <w:r w:rsidRPr="00266F8E">
              <w:t>For</w:t>
            </w:r>
          </w:p>
        </w:tc>
        <w:tc>
          <w:tcPr>
            <w:tcW w:w="0" w:type="dxa"/>
            <w:shd w:val="clear" w:color="auto" w:fill="0F7EB4"/>
          </w:tcPr>
          <w:p w14:paraId="5EB8A7F1" w14:textId="77777777" w:rsidR="000C3DC4" w:rsidRPr="00266F8E" w:rsidRDefault="000C3DC4" w:rsidP="001717C0">
            <w:pPr>
              <w:pStyle w:val="VCAAtablecondensedheading"/>
            </w:pPr>
            <w:r w:rsidRPr="00266F8E">
              <w:t>Against</w:t>
            </w:r>
          </w:p>
        </w:tc>
      </w:tr>
      <w:tr w:rsidR="000C3DC4" w:rsidRPr="00266F8E" w14:paraId="7D4B6B7F" w14:textId="77777777" w:rsidTr="001717C0">
        <w:tc>
          <w:tcPr>
            <w:tcW w:w="0" w:type="dxa"/>
          </w:tcPr>
          <w:p w14:paraId="0CF23B33" w14:textId="77777777" w:rsidR="000C3DC4" w:rsidRPr="008A45FE" w:rsidRDefault="000C3DC4" w:rsidP="001717C0">
            <w:pPr>
              <w:pStyle w:val="VCAAtablecondensed"/>
            </w:pPr>
            <w:r w:rsidRPr="008A45FE">
              <w:t>Many Australians come from countries with no association or with a negative association with the United Kingdom.</w:t>
            </w:r>
          </w:p>
        </w:tc>
        <w:tc>
          <w:tcPr>
            <w:tcW w:w="0" w:type="dxa"/>
          </w:tcPr>
          <w:p w14:paraId="43D5D4A4" w14:textId="77777777" w:rsidR="000C3DC4" w:rsidRPr="00266F8E" w:rsidRDefault="000C3DC4" w:rsidP="001717C0">
            <w:pPr>
              <w:pStyle w:val="VCAAtablecondensed"/>
            </w:pPr>
            <w:r w:rsidRPr="00266F8E">
              <w:t>British heritage is an important part of Australian culture.</w:t>
            </w:r>
          </w:p>
        </w:tc>
      </w:tr>
      <w:tr w:rsidR="000C3DC4" w:rsidRPr="00266F8E" w14:paraId="1311E7CC" w14:textId="77777777" w:rsidTr="001717C0">
        <w:tc>
          <w:tcPr>
            <w:tcW w:w="0" w:type="dxa"/>
          </w:tcPr>
          <w:p w14:paraId="5167D1C2" w14:textId="77777777" w:rsidR="000C3DC4" w:rsidRPr="00266F8E" w:rsidRDefault="000C3DC4" w:rsidP="001717C0">
            <w:pPr>
              <w:pStyle w:val="VCAAtablecondensed"/>
            </w:pPr>
            <w:r w:rsidRPr="00266F8E">
              <w:t>A mature nation should take full responsibility for its own directions and decisions.</w:t>
            </w:r>
          </w:p>
        </w:tc>
        <w:tc>
          <w:tcPr>
            <w:tcW w:w="0" w:type="dxa"/>
          </w:tcPr>
          <w:p w14:paraId="33E92A8B" w14:textId="5CAAA483" w:rsidR="000C3DC4" w:rsidRPr="00266F8E" w:rsidRDefault="000C3DC4" w:rsidP="001717C0">
            <w:pPr>
              <w:pStyle w:val="VCAAtablecondensed"/>
            </w:pPr>
            <w:r>
              <w:t xml:space="preserve">Internationally, </w:t>
            </w:r>
            <w:r w:rsidRPr="00266F8E">
              <w:t>Australi</w:t>
            </w:r>
            <w:r>
              <w:t xml:space="preserve">a is </w:t>
            </w:r>
            <w:proofErr w:type="spellStart"/>
            <w:r>
              <w:t>recognised</w:t>
            </w:r>
            <w:proofErr w:type="spellEnd"/>
            <w:r>
              <w:t xml:space="preserve"> as an independent country </w:t>
            </w:r>
            <w:r w:rsidRPr="00266F8E">
              <w:t>with</w:t>
            </w:r>
            <w:r>
              <w:t xml:space="preserve"> a</w:t>
            </w:r>
            <w:r w:rsidRPr="00266F8E">
              <w:t xml:space="preserve"> British heritage.</w:t>
            </w:r>
          </w:p>
        </w:tc>
      </w:tr>
      <w:tr w:rsidR="000C3DC4" w:rsidRPr="00266F8E" w14:paraId="6030662A" w14:textId="77777777" w:rsidTr="001717C0">
        <w:tc>
          <w:tcPr>
            <w:tcW w:w="0" w:type="dxa"/>
          </w:tcPr>
          <w:p w14:paraId="30F633A9" w14:textId="77777777" w:rsidR="000C3DC4" w:rsidRPr="00266F8E" w:rsidRDefault="000C3DC4" w:rsidP="001717C0">
            <w:pPr>
              <w:pStyle w:val="VCAAtablecondensed"/>
              <w:rPr>
                <w:highlight w:val="yellow"/>
              </w:rPr>
            </w:pPr>
          </w:p>
        </w:tc>
        <w:tc>
          <w:tcPr>
            <w:tcW w:w="0" w:type="dxa"/>
          </w:tcPr>
          <w:p w14:paraId="702896DC" w14:textId="77777777" w:rsidR="000C3DC4" w:rsidRPr="00680A3F" w:rsidRDefault="000C3DC4" w:rsidP="001717C0">
            <w:pPr>
              <w:pStyle w:val="VCAAtablecondensed"/>
            </w:pPr>
            <w:r w:rsidRPr="00680A3F">
              <w:t>A monarch is above party politics and is therefore a symbol of unity.</w:t>
            </w:r>
          </w:p>
        </w:tc>
      </w:tr>
      <w:tr w:rsidR="000C3DC4" w:rsidRPr="00266F8E" w14:paraId="7E310DA1" w14:textId="77777777" w:rsidTr="001717C0">
        <w:trPr>
          <w:trHeight w:val="250"/>
        </w:trPr>
        <w:tc>
          <w:tcPr>
            <w:tcW w:w="0" w:type="dxa"/>
          </w:tcPr>
          <w:p w14:paraId="3BCC36FE" w14:textId="77777777" w:rsidR="000C3DC4" w:rsidRPr="00266F8E" w:rsidRDefault="000C3DC4" w:rsidP="001717C0">
            <w:pPr>
              <w:pStyle w:val="VCAAtablecondensed"/>
              <w:rPr>
                <w:strike/>
                <w:highlight w:val="green"/>
              </w:rPr>
            </w:pPr>
          </w:p>
        </w:tc>
        <w:tc>
          <w:tcPr>
            <w:tcW w:w="0" w:type="dxa"/>
          </w:tcPr>
          <w:p w14:paraId="0DD6A2D2" w14:textId="5DD8AE7C" w:rsidR="000C3DC4" w:rsidRPr="00266F8E" w:rsidRDefault="000C3DC4" w:rsidP="001717C0">
            <w:pPr>
              <w:pStyle w:val="VCAAtablecondensed"/>
            </w:pPr>
            <w:r w:rsidRPr="00266F8E">
              <w:t>Austra</w:t>
            </w:r>
            <w:r>
              <w:t>lia is located in Oceania but,</w:t>
            </w:r>
            <w:r w:rsidRPr="00266F8E">
              <w:t xml:space="preserve"> culturally</w:t>
            </w:r>
            <w:r>
              <w:t>, it has a Western European background.</w:t>
            </w:r>
          </w:p>
        </w:tc>
      </w:tr>
      <w:tr w:rsidR="000C3DC4" w:rsidRPr="00266F8E" w14:paraId="006A9F81" w14:textId="77777777" w:rsidTr="001717C0">
        <w:tc>
          <w:tcPr>
            <w:tcW w:w="0" w:type="dxa"/>
          </w:tcPr>
          <w:p w14:paraId="3AE4D44C" w14:textId="77777777" w:rsidR="000C3DC4" w:rsidRPr="00266F8E" w:rsidRDefault="000C3DC4" w:rsidP="001717C0">
            <w:pPr>
              <w:pStyle w:val="VCAAtablecondensed"/>
            </w:pPr>
            <w:r w:rsidRPr="00266F8E">
              <w:t>Declaring a republic would be a breath of fresh air for Australians.</w:t>
            </w:r>
          </w:p>
        </w:tc>
        <w:tc>
          <w:tcPr>
            <w:tcW w:w="0" w:type="dxa"/>
          </w:tcPr>
          <w:p w14:paraId="647F3D96" w14:textId="10B3D400" w:rsidR="000C3DC4" w:rsidRPr="00266F8E" w:rsidRDefault="000C3DC4" w:rsidP="001717C0">
            <w:pPr>
              <w:pStyle w:val="VCAAtablecondensed"/>
            </w:pPr>
            <w:r>
              <w:t>It is better to leave things the way they</w:t>
            </w:r>
            <w:r w:rsidRPr="00266F8E">
              <w:t xml:space="preserve"> are than to invite instability.</w:t>
            </w:r>
          </w:p>
        </w:tc>
      </w:tr>
    </w:tbl>
    <w:p w14:paraId="45CDA20E" w14:textId="7B101FA0" w:rsidR="003B4B79" w:rsidRPr="008248B2" w:rsidRDefault="003B4B79" w:rsidP="003B4B79">
      <w:pPr>
        <w:pStyle w:val="VCAAbody"/>
      </w:pPr>
      <w:r>
        <w:t xml:space="preserve">For this issue, </w:t>
      </w:r>
      <w:r w:rsidRPr="008248B2">
        <w:t xml:space="preserve">the idea of British heritage in </w:t>
      </w:r>
      <w:r>
        <w:t xml:space="preserve">row </w:t>
      </w:r>
      <w:r w:rsidRPr="008248B2">
        <w:t>1</w:t>
      </w:r>
      <w:r w:rsidR="006A14E7">
        <w:t>,</w:t>
      </w:r>
      <w:r w:rsidRPr="008248B2">
        <w:t xml:space="preserve"> which is important to some</w:t>
      </w:r>
      <w:r w:rsidR="006A14E7">
        <w:t>,</w:t>
      </w:r>
      <w:r w:rsidRPr="008248B2">
        <w:t xml:space="preserve"> is, just as significantly</w:t>
      </w:r>
      <w:r>
        <w:t>,</w:t>
      </w:r>
      <w:r w:rsidRPr="008248B2">
        <w:t xml:space="preserve"> of no interest or perhaps even has negative implications to others. In </w:t>
      </w:r>
      <w:r>
        <w:t>row</w:t>
      </w:r>
      <w:r w:rsidRPr="008248B2">
        <w:t xml:space="preserve"> 2, the opposition is between the </w:t>
      </w:r>
      <w:r w:rsidR="00FB47EC">
        <w:t>‘for’</w:t>
      </w:r>
      <w:r w:rsidR="00FB47EC" w:rsidRPr="008248B2">
        <w:t xml:space="preserve"> </w:t>
      </w:r>
      <w:r w:rsidRPr="008248B2">
        <w:t xml:space="preserve">idea that Australia needs to become a republic to stand on its own feet and the </w:t>
      </w:r>
      <w:r w:rsidR="002C5F0C">
        <w:t>‘against’</w:t>
      </w:r>
      <w:r w:rsidR="002C5F0C" w:rsidRPr="008248B2">
        <w:t xml:space="preserve"> </w:t>
      </w:r>
      <w:r w:rsidRPr="008248B2">
        <w:t xml:space="preserve">idea that Australia is already an independent country that stands on its own feet (so </w:t>
      </w:r>
      <w:r>
        <w:t xml:space="preserve">it </w:t>
      </w:r>
      <w:r w:rsidRPr="008248B2">
        <w:t xml:space="preserve">doesn’t have to become a republic to do that). In this case the reference to British heritage was an intentionally irrelevant distraction. The statements in </w:t>
      </w:r>
      <w:r>
        <w:t>row</w:t>
      </w:r>
      <w:r w:rsidRPr="008248B2">
        <w:t xml:space="preserve">s 3 and 4 had no direct opposing statement. In </w:t>
      </w:r>
      <w:r>
        <w:t>row</w:t>
      </w:r>
      <w:r w:rsidRPr="008248B2">
        <w:t xml:space="preserve"> 5 the idea of instability was considered an effective counter argument to a breath of fresh air. </w:t>
      </w:r>
    </w:p>
    <w:p w14:paraId="0E201915" w14:textId="1D6BC30A" w:rsidR="00EA7A2C" w:rsidRPr="00EA7A2C" w:rsidRDefault="00DB3C69" w:rsidP="008248B2">
      <w:pPr>
        <w:pStyle w:val="VCAAbody"/>
        <w:rPr>
          <w:lang w:val="en-AU"/>
        </w:rPr>
      </w:pPr>
      <w:r>
        <w:rPr>
          <w:lang w:val="en-AU"/>
        </w:rPr>
        <w:t>Many</w:t>
      </w:r>
      <w:r w:rsidR="00EA7A2C" w:rsidRPr="00EA7A2C">
        <w:rPr>
          <w:lang w:val="en-AU"/>
        </w:rPr>
        <w:t xml:space="preserve"> students incorrectly assigned statement B</w:t>
      </w:r>
      <w:r w:rsidR="003F08A0">
        <w:rPr>
          <w:lang w:val="en-AU"/>
        </w:rPr>
        <w:t>,</w:t>
      </w:r>
      <w:r w:rsidR="00EA7A2C" w:rsidRPr="00EA7A2C">
        <w:rPr>
          <w:lang w:val="en-AU"/>
        </w:rPr>
        <w:t xml:space="preserve"> ‘Internationally, Australia is recognised as an independent country with a British heritage’</w:t>
      </w:r>
      <w:r w:rsidR="003F08A0">
        <w:rPr>
          <w:lang w:val="en-AU"/>
        </w:rPr>
        <w:t>,</w:t>
      </w:r>
      <w:r w:rsidR="00EA7A2C" w:rsidRPr="00EA7A2C">
        <w:rPr>
          <w:lang w:val="en-AU"/>
        </w:rPr>
        <w:t xml:space="preserve"> to the </w:t>
      </w:r>
      <w:r w:rsidR="00913C10">
        <w:rPr>
          <w:lang w:val="en-AU"/>
        </w:rPr>
        <w:t>‘for’</w:t>
      </w:r>
      <w:r w:rsidR="00913C10" w:rsidRPr="00EA7A2C">
        <w:rPr>
          <w:lang w:val="en-AU"/>
        </w:rPr>
        <w:t xml:space="preserve"> </w:t>
      </w:r>
      <w:r w:rsidR="00EA7A2C" w:rsidRPr="00EA7A2C">
        <w:rPr>
          <w:lang w:val="en-AU"/>
        </w:rPr>
        <w:t xml:space="preserve">side. Although the statement could generally be used for or against the proposition in argument, it does not oppose any of the </w:t>
      </w:r>
      <w:r w:rsidR="00913C10">
        <w:rPr>
          <w:lang w:val="en-AU"/>
        </w:rPr>
        <w:t>‘against’</w:t>
      </w:r>
      <w:r w:rsidR="00913C10" w:rsidRPr="00EA7A2C">
        <w:rPr>
          <w:lang w:val="en-AU"/>
        </w:rPr>
        <w:t xml:space="preserve"> </w:t>
      </w:r>
      <w:r w:rsidR="00EA7A2C" w:rsidRPr="00EA7A2C">
        <w:rPr>
          <w:lang w:val="en-AU"/>
        </w:rPr>
        <w:t>arguments in the table.</w:t>
      </w:r>
    </w:p>
    <w:p w14:paraId="0DA55516" w14:textId="7ADA02D8" w:rsidR="00EA7A2C" w:rsidRPr="00EA7A2C" w:rsidRDefault="00210AC0" w:rsidP="008248B2">
      <w:pPr>
        <w:pStyle w:val="VCAAbody"/>
        <w:rPr>
          <w:lang w:val="en-AU"/>
        </w:rPr>
      </w:pPr>
      <w:r>
        <w:t>A</w:t>
      </w:r>
      <w:r w:rsidR="00EA7A2C">
        <w:t xml:space="preserve">s </w:t>
      </w:r>
      <w:r w:rsidR="00EA7A2C" w:rsidRPr="00EA7A2C">
        <w:rPr>
          <w:lang w:val="en-AU"/>
        </w:rPr>
        <w:t>only 1</w:t>
      </w:r>
      <w:r w:rsidR="00913C10">
        <w:rPr>
          <w:lang w:val="en-AU"/>
        </w:rPr>
        <w:t>6</w:t>
      </w:r>
      <w:r w:rsidR="00EA7A2C" w:rsidRPr="00EA7A2C">
        <w:rPr>
          <w:lang w:val="en-AU"/>
        </w:rPr>
        <w:t xml:space="preserve">% of students </w:t>
      </w:r>
      <w:r w:rsidR="00913C10">
        <w:rPr>
          <w:lang w:val="en-AU"/>
        </w:rPr>
        <w:t>scored full marks for this question</w:t>
      </w:r>
      <w:r w:rsidR="00EA7A2C" w:rsidRPr="00EA7A2C">
        <w:rPr>
          <w:lang w:val="en-AU"/>
        </w:rPr>
        <w:t xml:space="preserve">, </w:t>
      </w:r>
      <w:r>
        <w:rPr>
          <w:lang w:val="en-AU"/>
        </w:rPr>
        <w:t xml:space="preserve">many may have underestimated its complexity, </w:t>
      </w:r>
      <w:r w:rsidR="00EA7A2C">
        <w:rPr>
          <w:lang w:val="en-AU"/>
        </w:rPr>
        <w:t>rushed it</w:t>
      </w:r>
      <w:r w:rsidR="007B2066">
        <w:rPr>
          <w:lang w:val="en-AU"/>
        </w:rPr>
        <w:t>,</w:t>
      </w:r>
      <w:r w:rsidR="00EA7A2C">
        <w:rPr>
          <w:lang w:val="en-AU"/>
        </w:rPr>
        <w:t xml:space="preserve"> did not read the introduction fully or </w:t>
      </w:r>
      <w:r w:rsidR="007B2066">
        <w:rPr>
          <w:lang w:val="en-AU"/>
        </w:rPr>
        <w:t>review</w:t>
      </w:r>
      <w:r w:rsidR="00EA7A2C" w:rsidRPr="00EA7A2C">
        <w:rPr>
          <w:lang w:val="en-AU"/>
        </w:rPr>
        <w:t xml:space="preserve"> their solution and initial allocation to the </w:t>
      </w:r>
      <w:r w:rsidR="00913C10">
        <w:rPr>
          <w:lang w:val="en-AU"/>
        </w:rPr>
        <w:t>‘for’</w:t>
      </w:r>
      <w:r w:rsidR="00913C10" w:rsidRPr="00EA7A2C">
        <w:rPr>
          <w:lang w:val="en-AU"/>
        </w:rPr>
        <w:t xml:space="preserve"> </w:t>
      </w:r>
      <w:r w:rsidR="00EA7A2C" w:rsidRPr="00EA7A2C">
        <w:rPr>
          <w:lang w:val="en-AU"/>
        </w:rPr>
        <w:t xml:space="preserve">or </w:t>
      </w:r>
      <w:r w:rsidR="00913C10">
        <w:rPr>
          <w:lang w:val="en-AU"/>
        </w:rPr>
        <w:t>‘against’</w:t>
      </w:r>
      <w:r w:rsidR="00913C10" w:rsidRPr="00EA7A2C">
        <w:rPr>
          <w:lang w:val="en-AU"/>
        </w:rPr>
        <w:t xml:space="preserve"> </w:t>
      </w:r>
      <w:r w:rsidR="00EA7A2C" w:rsidRPr="00EA7A2C">
        <w:rPr>
          <w:lang w:val="en-AU"/>
        </w:rPr>
        <w:t>side</w:t>
      </w:r>
      <w:r w:rsidR="000536C6">
        <w:rPr>
          <w:lang w:val="en-AU"/>
        </w:rPr>
        <w:t>s</w:t>
      </w:r>
      <w:r w:rsidR="00EA7A2C" w:rsidRPr="00EA7A2C">
        <w:rPr>
          <w:lang w:val="en-AU"/>
        </w:rPr>
        <w:t>.</w:t>
      </w:r>
    </w:p>
    <w:p w14:paraId="65A10048" w14:textId="2C4E584F" w:rsidR="00525D60" w:rsidRDefault="00972C13" w:rsidP="00BF001F">
      <w:pPr>
        <w:pStyle w:val="VCAAHeading3"/>
      </w:pPr>
      <w:r>
        <w:t>Question 2</w:t>
      </w:r>
    </w:p>
    <w:tbl>
      <w:tblPr>
        <w:tblStyle w:val="VCAATableClosed"/>
        <w:tblW w:w="4880" w:type="dxa"/>
        <w:tblLook w:val="04A0" w:firstRow="1" w:lastRow="0" w:firstColumn="1" w:lastColumn="0" w:noHBand="0" w:noVBand="1"/>
        <w:tblCaption w:val="Table one"/>
        <w:tblDescription w:val="VCAA closed table style"/>
      </w:tblPr>
      <w:tblGrid>
        <w:gridCol w:w="950"/>
        <w:gridCol w:w="547"/>
        <w:gridCol w:w="547"/>
        <w:gridCol w:w="547"/>
        <w:gridCol w:w="547"/>
        <w:gridCol w:w="547"/>
        <w:gridCol w:w="1195"/>
      </w:tblGrid>
      <w:tr w:rsidR="00DE7977" w:rsidRPr="00B13D3B" w14:paraId="70595164" w14:textId="77777777" w:rsidTr="001717C0">
        <w:trPr>
          <w:cnfStyle w:val="100000000000" w:firstRow="1" w:lastRow="0" w:firstColumn="0" w:lastColumn="0" w:oddVBand="0" w:evenVBand="0" w:oddHBand="0" w:evenHBand="0" w:firstRowFirstColumn="0" w:firstRowLastColumn="0" w:lastRowFirstColumn="0" w:lastRowLastColumn="0"/>
        </w:trPr>
        <w:tc>
          <w:tcPr>
            <w:tcW w:w="950" w:type="dxa"/>
          </w:tcPr>
          <w:p w14:paraId="36766043" w14:textId="77777777" w:rsidR="00F366C5" w:rsidRPr="00AF3F1C" w:rsidRDefault="00F366C5" w:rsidP="00F366C5">
            <w:pPr>
              <w:pStyle w:val="VCAAtablecondensedheading"/>
              <w:rPr>
                <w:color w:val="F2F2F2" w:themeColor="background1" w:themeShade="F2"/>
              </w:rPr>
            </w:pPr>
            <w:r>
              <w:rPr>
                <w:color w:val="F2F2F2" w:themeColor="background1" w:themeShade="F2"/>
              </w:rPr>
              <w:t>Marks</w:t>
            </w:r>
            <w:r w:rsidRPr="00AF3F1C">
              <w:rPr>
                <w:color w:val="F2F2F2" w:themeColor="background1" w:themeShade="F2"/>
              </w:rPr>
              <w:t xml:space="preserve"> </w:t>
            </w:r>
          </w:p>
        </w:tc>
        <w:tc>
          <w:tcPr>
            <w:tcW w:w="547" w:type="dxa"/>
          </w:tcPr>
          <w:p w14:paraId="7657CCDE" w14:textId="77777777" w:rsidR="00F366C5" w:rsidRPr="00AF3F1C" w:rsidRDefault="00F366C5" w:rsidP="00F366C5">
            <w:pPr>
              <w:pStyle w:val="VCAAtablecondensedheading"/>
              <w:rPr>
                <w:color w:val="F2F2F2" w:themeColor="background1" w:themeShade="F2"/>
              </w:rPr>
            </w:pPr>
            <w:r>
              <w:rPr>
                <w:color w:val="F2F2F2" w:themeColor="background1" w:themeShade="F2"/>
              </w:rPr>
              <w:t>0</w:t>
            </w:r>
          </w:p>
        </w:tc>
        <w:tc>
          <w:tcPr>
            <w:tcW w:w="547" w:type="dxa"/>
          </w:tcPr>
          <w:p w14:paraId="215B5B62" w14:textId="77777777" w:rsidR="00F366C5" w:rsidRDefault="00F366C5" w:rsidP="00F366C5">
            <w:pPr>
              <w:pStyle w:val="VCAAtablecondensedheading"/>
              <w:rPr>
                <w:color w:val="F2F2F2" w:themeColor="background1" w:themeShade="F2"/>
              </w:rPr>
            </w:pPr>
            <w:r>
              <w:rPr>
                <w:color w:val="F2F2F2" w:themeColor="background1" w:themeShade="F2"/>
              </w:rPr>
              <w:t>1</w:t>
            </w:r>
          </w:p>
        </w:tc>
        <w:tc>
          <w:tcPr>
            <w:tcW w:w="547" w:type="dxa"/>
          </w:tcPr>
          <w:p w14:paraId="48CD8675" w14:textId="77777777" w:rsidR="00F366C5" w:rsidRDefault="00F366C5" w:rsidP="00F366C5">
            <w:pPr>
              <w:pStyle w:val="VCAAtablecondensedheading"/>
              <w:rPr>
                <w:color w:val="F2F2F2" w:themeColor="background1" w:themeShade="F2"/>
              </w:rPr>
            </w:pPr>
            <w:r>
              <w:rPr>
                <w:color w:val="F2F2F2" w:themeColor="background1" w:themeShade="F2"/>
              </w:rPr>
              <w:t>2</w:t>
            </w:r>
          </w:p>
        </w:tc>
        <w:tc>
          <w:tcPr>
            <w:tcW w:w="547" w:type="dxa"/>
          </w:tcPr>
          <w:p w14:paraId="0FAC17C4" w14:textId="77777777" w:rsidR="00F366C5" w:rsidRDefault="00F366C5" w:rsidP="00F366C5">
            <w:pPr>
              <w:pStyle w:val="VCAAtablecondensedheading"/>
              <w:rPr>
                <w:color w:val="F2F2F2" w:themeColor="background1" w:themeShade="F2"/>
              </w:rPr>
            </w:pPr>
            <w:r>
              <w:rPr>
                <w:color w:val="F2F2F2" w:themeColor="background1" w:themeShade="F2"/>
              </w:rPr>
              <w:t>3</w:t>
            </w:r>
          </w:p>
        </w:tc>
        <w:tc>
          <w:tcPr>
            <w:tcW w:w="547" w:type="dxa"/>
          </w:tcPr>
          <w:p w14:paraId="581864D6" w14:textId="77777777" w:rsidR="00F366C5" w:rsidRDefault="00F366C5" w:rsidP="00F366C5">
            <w:pPr>
              <w:pStyle w:val="VCAAtablecondensedheading"/>
              <w:rPr>
                <w:color w:val="F2F2F2" w:themeColor="background1" w:themeShade="F2"/>
              </w:rPr>
            </w:pPr>
            <w:r>
              <w:rPr>
                <w:color w:val="F2F2F2" w:themeColor="background1" w:themeShade="F2"/>
              </w:rPr>
              <w:t>4</w:t>
            </w:r>
          </w:p>
        </w:tc>
        <w:tc>
          <w:tcPr>
            <w:tcW w:w="1195" w:type="dxa"/>
          </w:tcPr>
          <w:p w14:paraId="3AE14D25" w14:textId="77777777" w:rsidR="00F366C5" w:rsidRDefault="00F366C5" w:rsidP="00F366C5">
            <w:pPr>
              <w:pStyle w:val="VCAAtablecondensedheading"/>
              <w:rPr>
                <w:color w:val="F2F2F2" w:themeColor="background1" w:themeShade="F2"/>
              </w:rPr>
            </w:pPr>
            <w:r>
              <w:rPr>
                <w:color w:val="F2F2F2" w:themeColor="background1" w:themeShade="F2"/>
              </w:rPr>
              <w:t>Average</w:t>
            </w:r>
          </w:p>
        </w:tc>
      </w:tr>
      <w:tr w:rsidR="00F366C5" w14:paraId="1492EAF1" w14:textId="77777777" w:rsidTr="001717C0">
        <w:tc>
          <w:tcPr>
            <w:tcW w:w="950" w:type="dxa"/>
          </w:tcPr>
          <w:p w14:paraId="2D945813" w14:textId="77777777" w:rsidR="00F366C5" w:rsidRPr="00332089" w:rsidRDefault="00F366C5" w:rsidP="00F366C5">
            <w:pPr>
              <w:pStyle w:val="VCAAtablecondensed"/>
            </w:pPr>
            <w:r>
              <w:t>%</w:t>
            </w:r>
          </w:p>
        </w:tc>
        <w:tc>
          <w:tcPr>
            <w:tcW w:w="547" w:type="dxa"/>
          </w:tcPr>
          <w:p w14:paraId="2F03965D" w14:textId="1AA80FD3" w:rsidR="00F366C5" w:rsidRPr="00332089" w:rsidRDefault="00F366C5" w:rsidP="00F366C5">
            <w:pPr>
              <w:pStyle w:val="VCAAtablecondensed"/>
            </w:pPr>
            <w:r w:rsidRPr="00813919">
              <w:rPr>
                <w:lang w:val="en-AU"/>
              </w:rPr>
              <w:t>1</w:t>
            </w:r>
            <w:r w:rsidR="009C0D80">
              <w:rPr>
                <w:lang w:val="en-AU"/>
              </w:rPr>
              <w:t>1</w:t>
            </w:r>
          </w:p>
        </w:tc>
        <w:tc>
          <w:tcPr>
            <w:tcW w:w="547" w:type="dxa"/>
          </w:tcPr>
          <w:p w14:paraId="37AC2FDF" w14:textId="3C73CBA6" w:rsidR="00F366C5" w:rsidRPr="00332089" w:rsidRDefault="009C0D80" w:rsidP="00F366C5">
            <w:pPr>
              <w:pStyle w:val="VCAAtablecondensed"/>
            </w:pPr>
            <w:r>
              <w:rPr>
                <w:lang w:val="en-AU"/>
              </w:rPr>
              <w:t>10</w:t>
            </w:r>
          </w:p>
        </w:tc>
        <w:tc>
          <w:tcPr>
            <w:tcW w:w="547" w:type="dxa"/>
          </w:tcPr>
          <w:p w14:paraId="63B55FCB" w14:textId="41586969" w:rsidR="00F366C5" w:rsidRDefault="00F366C5" w:rsidP="00F366C5">
            <w:pPr>
              <w:pStyle w:val="VCAAtablecondensed"/>
            </w:pPr>
            <w:r w:rsidRPr="00813919">
              <w:rPr>
                <w:lang w:val="en-AU"/>
              </w:rPr>
              <w:t>35</w:t>
            </w:r>
          </w:p>
        </w:tc>
        <w:tc>
          <w:tcPr>
            <w:tcW w:w="547" w:type="dxa"/>
          </w:tcPr>
          <w:p w14:paraId="4028CA29" w14:textId="77D0AD45" w:rsidR="00F366C5" w:rsidRDefault="00F366C5" w:rsidP="00F366C5">
            <w:pPr>
              <w:pStyle w:val="VCAAtablecondensed"/>
            </w:pPr>
            <w:r w:rsidRPr="00813919">
              <w:rPr>
                <w:lang w:val="en-AU"/>
              </w:rPr>
              <w:t>1</w:t>
            </w:r>
            <w:r w:rsidR="009C0D80">
              <w:rPr>
                <w:lang w:val="en-AU"/>
              </w:rPr>
              <w:t>4</w:t>
            </w:r>
          </w:p>
        </w:tc>
        <w:tc>
          <w:tcPr>
            <w:tcW w:w="547" w:type="dxa"/>
          </w:tcPr>
          <w:p w14:paraId="77E05172" w14:textId="1B941EE3" w:rsidR="00F366C5" w:rsidRDefault="00F366C5" w:rsidP="00F366C5">
            <w:pPr>
              <w:pStyle w:val="VCAAtablecondensed"/>
            </w:pPr>
            <w:r w:rsidRPr="00813919">
              <w:rPr>
                <w:lang w:val="en-AU"/>
              </w:rPr>
              <w:t>30</w:t>
            </w:r>
          </w:p>
        </w:tc>
        <w:tc>
          <w:tcPr>
            <w:tcW w:w="1195" w:type="dxa"/>
          </w:tcPr>
          <w:p w14:paraId="73A17859" w14:textId="1C71B6D2" w:rsidR="00F366C5" w:rsidRPr="00332089" w:rsidRDefault="00F366C5" w:rsidP="001717C0">
            <w:pPr>
              <w:pStyle w:val="VCAAtablecondensed"/>
            </w:pPr>
            <w:r w:rsidRPr="003F6AD3">
              <w:t>2.4</w:t>
            </w:r>
          </w:p>
        </w:tc>
      </w:tr>
    </w:tbl>
    <w:p w14:paraId="4F025983" w14:textId="391679B3" w:rsidR="00972C13" w:rsidRDefault="00972C13" w:rsidP="0072687F">
      <w:pPr>
        <w:pStyle w:val="VCAAbody"/>
        <w:rPr>
          <w:lang w:eastAsia="en-AU"/>
        </w:rPr>
      </w:pPr>
      <w:r w:rsidRPr="00A20DBC">
        <w:t>Th</w:t>
      </w:r>
      <w:r>
        <w:t>is</w:t>
      </w:r>
      <w:r w:rsidRPr="00A20DBC">
        <w:t xml:space="preserve"> question shows a diagram representing a </w:t>
      </w:r>
      <w:r w:rsidR="00280EB4">
        <w:t xml:space="preserve">possible </w:t>
      </w:r>
      <w:r w:rsidRPr="00A20DBC">
        <w:t>line of reasoning</w:t>
      </w:r>
      <w:r w:rsidR="00280EB4" w:rsidRPr="00280EB4">
        <w:t xml:space="preserve"> </w:t>
      </w:r>
      <w:r w:rsidR="00280EB4" w:rsidRPr="00A20DBC">
        <w:t>about</w:t>
      </w:r>
      <w:r w:rsidR="00280EB4">
        <w:t xml:space="preserve"> the payment of surrogate mothers</w:t>
      </w:r>
      <w:r w:rsidRPr="00A20DBC">
        <w:t xml:space="preserve">. </w:t>
      </w:r>
      <w:r w:rsidR="009F6212">
        <w:t>S</w:t>
      </w:r>
      <w:r w:rsidRPr="00A20DBC">
        <w:t xml:space="preserve">tudents were given definitions of four terms and were asked to drag four of six </w:t>
      </w:r>
      <w:r w:rsidRPr="008248B2">
        <w:t>statements (A to F)</w:t>
      </w:r>
      <w:r w:rsidRPr="00A20DBC">
        <w:t xml:space="preserve"> </w:t>
      </w:r>
      <w:r w:rsidRPr="00A20DBC">
        <w:lastRenderedPageBreak/>
        <w:t>into the appropriate space for each of those terms. Two of the statements did not appropriately fit any of the spaces.</w:t>
      </w:r>
      <w:r w:rsidR="00280EB4">
        <w:t xml:space="preserve"> </w:t>
      </w:r>
      <w:r w:rsidRPr="00972C13">
        <w:t>One mark was awarded for each correct response</w:t>
      </w:r>
      <w:r w:rsidR="0072687F">
        <w:t>.</w:t>
      </w:r>
    </w:p>
    <w:tbl>
      <w:tblPr>
        <w:tblStyle w:val="TableGrid"/>
        <w:tblW w:w="0" w:type="auto"/>
        <w:tblLook w:val="04A0" w:firstRow="1" w:lastRow="0" w:firstColumn="1" w:lastColumn="0" w:noHBand="0" w:noVBand="1"/>
      </w:tblPr>
      <w:tblGrid>
        <w:gridCol w:w="2830"/>
        <w:gridCol w:w="6799"/>
      </w:tblGrid>
      <w:tr w:rsidR="00972C13" w:rsidRPr="00913C10" w14:paraId="6895DB7C" w14:textId="77777777" w:rsidTr="001717C0">
        <w:tc>
          <w:tcPr>
            <w:tcW w:w="2830" w:type="dxa"/>
          </w:tcPr>
          <w:p w14:paraId="3B49AAA9" w14:textId="6A3BC754" w:rsidR="00972C13" w:rsidRPr="00913C10" w:rsidRDefault="00A13307" w:rsidP="001717C0">
            <w:pPr>
              <w:pStyle w:val="VCAAtablecondensed"/>
              <w:rPr>
                <w:rStyle w:val="VCAAbold"/>
                <w:b w:val="0"/>
                <w:bCs w:val="0"/>
                <w:lang w:eastAsia="en-US"/>
              </w:rPr>
            </w:pPr>
            <w:r w:rsidRPr="00913C10">
              <w:rPr>
                <w:rStyle w:val="VCAAbold"/>
                <w:b w:val="0"/>
                <w:bCs w:val="0"/>
                <w:lang w:eastAsia="en-US"/>
              </w:rPr>
              <w:t>Elaboration</w:t>
            </w:r>
          </w:p>
        </w:tc>
        <w:tc>
          <w:tcPr>
            <w:tcW w:w="6799" w:type="dxa"/>
          </w:tcPr>
          <w:p w14:paraId="1424F348" w14:textId="5D385C7C" w:rsidR="00972C13" w:rsidRPr="001717C0" w:rsidRDefault="00A13307" w:rsidP="001717C0">
            <w:pPr>
              <w:pStyle w:val="VCAAtablecondensed"/>
            </w:pPr>
            <w:r w:rsidRPr="001717C0">
              <w:t>The sacrifices and risks in bearing a child are significant.</w:t>
            </w:r>
          </w:p>
        </w:tc>
      </w:tr>
      <w:tr w:rsidR="00972C13" w:rsidRPr="00913C10" w14:paraId="7A2A309B" w14:textId="77777777" w:rsidTr="001717C0">
        <w:tc>
          <w:tcPr>
            <w:tcW w:w="2830" w:type="dxa"/>
          </w:tcPr>
          <w:p w14:paraId="58120514" w14:textId="3F3D66D5" w:rsidR="00972C13" w:rsidRPr="00913C10" w:rsidRDefault="00A13307" w:rsidP="001717C0">
            <w:pPr>
              <w:pStyle w:val="VCAAtablecondensed"/>
              <w:rPr>
                <w:rStyle w:val="VCAAbold"/>
                <w:rFonts w:eastAsia="Arial" w:cs="Times New Roman"/>
                <w:b w:val="0"/>
                <w:bCs w:val="0"/>
                <w:sz w:val="22"/>
                <w:lang w:val="en-AU" w:eastAsia="en-US"/>
              </w:rPr>
            </w:pPr>
            <w:r w:rsidRPr="00913C10">
              <w:rPr>
                <w:rStyle w:val="VCAAbold"/>
                <w:b w:val="0"/>
                <w:bCs w:val="0"/>
                <w:lang w:eastAsia="en-US"/>
              </w:rPr>
              <w:t>Evidence</w:t>
            </w:r>
          </w:p>
        </w:tc>
        <w:tc>
          <w:tcPr>
            <w:tcW w:w="6799" w:type="dxa"/>
          </w:tcPr>
          <w:p w14:paraId="4659B2B9" w14:textId="56EE043F" w:rsidR="00972C13" w:rsidRPr="001717C0" w:rsidRDefault="00A13307" w:rsidP="001717C0">
            <w:pPr>
              <w:pStyle w:val="VCAAtablecondensed"/>
            </w:pPr>
            <w:r w:rsidRPr="001717C0">
              <w:t>In most cases, surrogacy involves many expenses other than just the cost of medical care.</w:t>
            </w:r>
          </w:p>
        </w:tc>
      </w:tr>
      <w:tr w:rsidR="00972C13" w:rsidRPr="00913C10" w14:paraId="7619CB2C" w14:textId="77777777" w:rsidTr="001717C0">
        <w:tc>
          <w:tcPr>
            <w:tcW w:w="2830" w:type="dxa"/>
          </w:tcPr>
          <w:p w14:paraId="3F979C80" w14:textId="49E93971" w:rsidR="00972C13" w:rsidRPr="00913C10" w:rsidRDefault="00A13307" w:rsidP="001717C0">
            <w:pPr>
              <w:pStyle w:val="VCAAtablecondensed"/>
              <w:rPr>
                <w:rStyle w:val="VCAAbold"/>
                <w:rFonts w:eastAsia="Arial" w:cs="Times New Roman"/>
                <w:b w:val="0"/>
                <w:bCs w:val="0"/>
                <w:sz w:val="22"/>
                <w:lang w:val="en-AU" w:eastAsia="en-US"/>
              </w:rPr>
            </w:pPr>
            <w:r w:rsidRPr="00913C10">
              <w:rPr>
                <w:rStyle w:val="VCAAbold"/>
                <w:b w:val="0"/>
                <w:bCs w:val="0"/>
                <w:lang w:eastAsia="en-US"/>
              </w:rPr>
              <w:t xml:space="preserve">Opposing </w:t>
            </w:r>
            <w:r w:rsidR="00913C10">
              <w:rPr>
                <w:rStyle w:val="VCAAbold"/>
                <w:b w:val="0"/>
                <w:bCs w:val="0"/>
                <w:lang w:eastAsia="en-US"/>
              </w:rPr>
              <w:t>a</w:t>
            </w:r>
            <w:r w:rsidRPr="00913C10">
              <w:rPr>
                <w:rStyle w:val="VCAAbold"/>
                <w:b w:val="0"/>
                <w:bCs w:val="0"/>
                <w:lang w:eastAsia="en-US"/>
              </w:rPr>
              <w:t>rgument</w:t>
            </w:r>
          </w:p>
        </w:tc>
        <w:tc>
          <w:tcPr>
            <w:tcW w:w="6799" w:type="dxa"/>
          </w:tcPr>
          <w:p w14:paraId="365BAD72" w14:textId="063641B1" w:rsidR="00972C13" w:rsidRPr="001717C0" w:rsidRDefault="00A13307" w:rsidP="001717C0">
            <w:pPr>
              <w:pStyle w:val="VCAAtablecondensed"/>
            </w:pPr>
            <w:proofErr w:type="spellStart"/>
            <w:r w:rsidRPr="001717C0">
              <w:t>Commercialisation</w:t>
            </w:r>
            <w:proofErr w:type="spellEnd"/>
            <w:r w:rsidRPr="001717C0">
              <w:t xml:space="preserve"> of surrogacy leads to exploitation of vulnerable women.</w:t>
            </w:r>
          </w:p>
        </w:tc>
      </w:tr>
      <w:tr w:rsidR="00972C13" w:rsidRPr="00913C10" w14:paraId="635704A5" w14:textId="77777777" w:rsidTr="001717C0">
        <w:tc>
          <w:tcPr>
            <w:tcW w:w="2830" w:type="dxa"/>
          </w:tcPr>
          <w:p w14:paraId="5694523E" w14:textId="134D7666" w:rsidR="00972C13" w:rsidRPr="00913C10" w:rsidRDefault="00A13307" w:rsidP="001717C0">
            <w:pPr>
              <w:pStyle w:val="VCAAtablecondensed"/>
              <w:rPr>
                <w:rStyle w:val="VCAAbold"/>
                <w:rFonts w:eastAsia="Arial" w:cs="Times New Roman"/>
                <w:b w:val="0"/>
                <w:bCs w:val="0"/>
                <w:sz w:val="22"/>
                <w:lang w:val="en-AU" w:eastAsia="en-US"/>
              </w:rPr>
            </w:pPr>
            <w:r w:rsidRPr="00913C10">
              <w:rPr>
                <w:rStyle w:val="VCAAbold"/>
                <w:b w:val="0"/>
                <w:bCs w:val="0"/>
                <w:lang w:eastAsia="en-US"/>
              </w:rPr>
              <w:t xml:space="preserve">Counter </w:t>
            </w:r>
            <w:r w:rsidR="00913C10">
              <w:rPr>
                <w:rStyle w:val="VCAAbold"/>
                <w:b w:val="0"/>
                <w:bCs w:val="0"/>
                <w:lang w:eastAsia="en-US"/>
              </w:rPr>
              <w:t>a</w:t>
            </w:r>
            <w:r w:rsidRPr="00913C10">
              <w:rPr>
                <w:rStyle w:val="VCAAbold"/>
                <w:b w:val="0"/>
                <w:bCs w:val="0"/>
                <w:lang w:eastAsia="en-US"/>
              </w:rPr>
              <w:t>rgument</w:t>
            </w:r>
          </w:p>
        </w:tc>
        <w:tc>
          <w:tcPr>
            <w:tcW w:w="6799" w:type="dxa"/>
          </w:tcPr>
          <w:p w14:paraId="1323E6B9" w14:textId="13C3A6C6" w:rsidR="00972C13" w:rsidRPr="001717C0" w:rsidRDefault="00A13307" w:rsidP="001717C0">
            <w:pPr>
              <w:pStyle w:val="VCAAtablecondensed"/>
            </w:pPr>
            <w:r w:rsidRPr="001717C0">
              <w:t>The surrogacy process can be effectively regulated.</w:t>
            </w:r>
          </w:p>
        </w:tc>
      </w:tr>
    </w:tbl>
    <w:p w14:paraId="68453167" w14:textId="734FDB2D" w:rsidR="007061D9" w:rsidRPr="007061D9" w:rsidRDefault="007061D9" w:rsidP="009342CC">
      <w:pPr>
        <w:pStyle w:val="VCAAbody"/>
        <w:rPr>
          <w:lang w:val="en-AU"/>
        </w:rPr>
      </w:pPr>
      <w:r w:rsidRPr="007061D9">
        <w:rPr>
          <w:lang w:val="en-AU"/>
        </w:rPr>
        <w:t xml:space="preserve">The </w:t>
      </w:r>
      <w:r w:rsidR="004459B3">
        <w:rPr>
          <w:lang w:val="en-AU"/>
        </w:rPr>
        <w:t>difference between an</w:t>
      </w:r>
      <w:r w:rsidR="004459B3" w:rsidRPr="007061D9">
        <w:rPr>
          <w:lang w:val="en-AU"/>
        </w:rPr>
        <w:t xml:space="preserve"> elaboration and </w:t>
      </w:r>
      <w:r w:rsidR="004459B3">
        <w:rPr>
          <w:lang w:val="en-AU"/>
        </w:rPr>
        <w:t>a</w:t>
      </w:r>
      <w:r w:rsidR="004459B3" w:rsidRPr="007061D9">
        <w:rPr>
          <w:lang w:val="en-AU"/>
        </w:rPr>
        <w:t xml:space="preserve"> counterargument</w:t>
      </w:r>
      <w:r w:rsidR="004459B3">
        <w:rPr>
          <w:lang w:val="en-AU"/>
        </w:rPr>
        <w:t xml:space="preserve"> </w:t>
      </w:r>
      <w:r w:rsidR="004459B3" w:rsidRPr="007061D9">
        <w:rPr>
          <w:lang w:val="en-AU"/>
        </w:rPr>
        <w:t xml:space="preserve">or </w:t>
      </w:r>
      <w:r w:rsidR="004459B3">
        <w:rPr>
          <w:lang w:val="en-AU"/>
        </w:rPr>
        <w:t xml:space="preserve">an </w:t>
      </w:r>
      <w:r w:rsidR="004459B3" w:rsidRPr="007061D9">
        <w:rPr>
          <w:lang w:val="en-AU"/>
        </w:rPr>
        <w:t xml:space="preserve">elaboration and evidence </w:t>
      </w:r>
      <w:r w:rsidR="00846C7E">
        <w:rPr>
          <w:lang w:val="en-AU"/>
        </w:rPr>
        <w:t xml:space="preserve">are the </w:t>
      </w:r>
      <w:r w:rsidRPr="007061D9">
        <w:rPr>
          <w:lang w:val="en-AU"/>
        </w:rPr>
        <w:t>most difficult distinction</w:t>
      </w:r>
      <w:r w:rsidR="00534B37">
        <w:rPr>
          <w:lang w:val="en-AU"/>
        </w:rPr>
        <w:t>s</w:t>
      </w:r>
      <w:r w:rsidR="004954C2">
        <w:rPr>
          <w:lang w:val="en-AU"/>
        </w:rPr>
        <w:t xml:space="preserve"> in most lines of argument</w:t>
      </w:r>
      <w:r w:rsidRPr="007061D9">
        <w:rPr>
          <w:lang w:val="en-AU"/>
        </w:rPr>
        <w:t xml:space="preserve">. </w:t>
      </w:r>
      <w:r w:rsidR="004954C2" w:rsidRPr="007061D9">
        <w:rPr>
          <w:lang w:val="en-AU"/>
        </w:rPr>
        <w:t>In this case, the elaboration extends the argument by explaining why a person who undertakes a surrogacy service deserves to be compensated, beyond reimbursement of medical expenses. The evidence is that the current arrangements do not reward fairly</w:t>
      </w:r>
      <w:r w:rsidR="000708C5">
        <w:rPr>
          <w:lang w:val="en-AU"/>
        </w:rPr>
        <w:t>.</w:t>
      </w:r>
      <w:r w:rsidRPr="007061D9">
        <w:rPr>
          <w:lang w:val="en-AU"/>
        </w:rPr>
        <w:t xml:space="preserve"> </w:t>
      </w:r>
    </w:p>
    <w:p w14:paraId="679B39BC" w14:textId="4CA4B336" w:rsidR="007061D9" w:rsidRPr="00772D0D" w:rsidRDefault="00F44506" w:rsidP="00772D0D">
      <w:pPr>
        <w:pStyle w:val="VCAAbody"/>
      </w:pPr>
      <w:r w:rsidRPr="00772D0D">
        <w:t xml:space="preserve">Of the two statements that did not fit into the line of argument, </w:t>
      </w:r>
      <w:r w:rsidR="00096940" w:rsidRPr="00772D0D">
        <w:t xml:space="preserve">many students </w:t>
      </w:r>
      <w:r w:rsidR="001503F8" w:rsidRPr="00772D0D">
        <w:t>incorrectly</w:t>
      </w:r>
      <w:r w:rsidR="00096940" w:rsidRPr="00772D0D">
        <w:t xml:space="preserve"> identified as evidence</w:t>
      </w:r>
      <w:r w:rsidRPr="00772D0D">
        <w:t xml:space="preserve"> </w:t>
      </w:r>
      <w:r w:rsidR="00096940" w:rsidRPr="00772D0D">
        <w:t>‘</w:t>
      </w:r>
      <w:r w:rsidRPr="00772D0D">
        <w:t>In 2019, the birth rate dropped to its lowest rate ever</w:t>
      </w:r>
      <w:r w:rsidR="00096940" w:rsidRPr="00772D0D">
        <w:t>’,</w:t>
      </w:r>
      <w:r w:rsidRPr="00772D0D">
        <w:t xml:space="preserve"> because it contained statistical data. </w:t>
      </w:r>
      <w:r w:rsidR="007061D9" w:rsidRPr="00772D0D">
        <w:t xml:space="preserve">Most students </w:t>
      </w:r>
      <w:r w:rsidR="00FC43C1" w:rsidRPr="00772D0D">
        <w:t>considered</w:t>
      </w:r>
      <w:r w:rsidR="007061D9" w:rsidRPr="00772D0D">
        <w:t xml:space="preserve"> the argument that </w:t>
      </w:r>
      <w:r w:rsidR="00FC43C1" w:rsidRPr="00772D0D">
        <w:t>‘</w:t>
      </w:r>
      <w:r w:rsidR="007061D9" w:rsidRPr="00772D0D">
        <w:t>surrogacy is not good for family relationships</w:t>
      </w:r>
      <w:r w:rsidR="00FC43C1" w:rsidRPr="00772D0D">
        <w:t>’</w:t>
      </w:r>
      <w:r w:rsidR="007061D9" w:rsidRPr="00772D0D">
        <w:t xml:space="preserve"> </w:t>
      </w:r>
      <w:r w:rsidR="00FC43C1" w:rsidRPr="00772D0D">
        <w:t>as</w:t>
      </w:r>
      <w:r w:rsidR="007061D9" w:rsidRPr="00772D0D">
        <w:t xml:space="preserve"> relevant to the broader question of whether surrogacy is a good thing in principle, but not to whether existing surrogate mothers should receive fair payment</w:t>
      </w:r>
      <w:r w:rsidR="004A2D46" w:rsidRPr="00772D0D">
        <w:t>, and thus were not tempted to use it to complete any line of argument</w:t>
      </w:r>
      <w:r w:rsidR="00653EC8">
        <w:t>.</w:t>
      </w:r>
    </w:p>
    <w:p w14:paraId="3F142459" w14:textId="1E297A2C" w:rsidR="007061D9" w:rsidRPr="007061D9" w:rsidRDefault="007061D9" w:rsidP="008248B2">
      <w:pPr>
        <w:pStyle w:val="VCAAbody"/>
        <w:rPr>
          <w:lang w:val="en-AU"/>
        </w:rPr>
      </w:pPr>
      <w:r>
        <w:rPr>
          <w:lang w:val="en-AU"/>
        </w:rPr>
        <w:t xml:space="preserve">Students are advised </w:t>
      </w:r>
      <w:r w:rsidR="009A21FD">
        <w:rPr>
          <w:lang w:val="en-AU"/>
        </w:rPr>
        <w:t xml:space="preserve">to read </w:t>
      </w:r>
      <w:r>
        <w:rPr>
          <w:lang w:val="en-AU"/>
        </w:rPr>
        <w:t xml:space="preserve">the introductory text to this </w:t>
      </w:r>
      <w:r w:rsidR="004459B3">
        <w:rPr>
          <w:lang w:val="en-AU"/>
        </w:rPr>
        <w:t xml:space="preserve">type of </w:t>
      </w:r>
      <w:r>
        <w:rPr>
          <w:lang w:val="en-AU"/>
        </w:rPr>
        <w:t xml:space="preserve">question </w:t>
      </w:r>
      <w:r w:rsidR="009A21FD">
        <w:rPr>
          <w:lang w:val="en-AU"/>
        </w:rPr>
        <w:t xml:space="preserve">carefully as it </w:t>
      </w:r>
      <w:r>
        <w:rPr>
          <w:lang w:val="en-AU"/>
        </w:rPr>
        <w:t>contains key background information.</w:t>
      </w:r>
    </w:p>
    <w:p w14:paraId="2B34F264" w14:textId="6332BB7E" w:rsidR="00F44506" w:rsidRDefault="00F44506" w:rsidP="00BF001F">
      <w:pPr>
        <w:pStyle w:val="VCAAHeading3"/>
      </w:pPr>
      <w:r>
        <w:t>Question 3</w:t>
      </w:r>
    </w:p>
    <w:tbl>
      <w:tblPr>
        <w:tblStyle w:val="VCAATableClosed"/>
        <w:tblW w:w="6046" w:type="dxa"/>
        <w:tblLook w:val="04A0" w:firstRow="1" w:lastRow="0" w:firstColumn="1" w:lastColumn="0" w:noHBand="0" w:noVBand="1"/>
        <w:tblCaption w:val="Table one"/>
        <w:tblDescription w:val="VCAA closed table style"/>
      </w:tblPr>
      <w:tblGrid>
        <w:gridCol w:w="950"/>
        <w:gridCol w:w="547"/>
        <w:gridCol w:w="547"/>
        <w:gridCol w:w="547"/>
        <w:gridCol w:w="547"/>
        <w:gridCol w:w="547"/>
        <w:gridCol w:w="547"/>
        <w:gridCol w:w="547"/>
        <w:gridCol w:w="1267"/>
      </w:tblGrid>
      <w:tr w:rsidR="00FF0B67" w:rsidRPr="00B13D3B" w14:paraId="0B45FA99" w14:textId="77777777" w:rsidTr="001717C0">
        <w:trPr>
          <w:cnfStyle w:val="100000000000" w:firstRow="1" w:lastRow="0" w:firstColumn="0" w:lastColumn="0" w:oddVBand="0" w:evenVBand="0" w:oddHBand="0" w:evenHBand="0" w:firstRowFirstColumn="0" w:firstRowLastColumn="0" w:lastRowFirstColumn="0" w:lastRowLastColumn="0"/>
        </w:trPr>
        <w:tc>
          <w:tcPr>
            <w:tcW w:w="950" w:type="dxa"/>
          </w:tcPr>
          <w:p w14:paraId="0AB92BCC" w14:textId="77777777" w:rsidR="00F366C5" w:rsidRPr="00AF3F1C" w:rsidRDefault="00F366C5" w:rsidP="00F366C5">
            <w:pPr>
              <w:pStyle w:val="VCAAtablecondensedheading"/>
              <w:rPr>
                <w:color w:val="F2F2F2" w:themeColor="background1" w:themeShade="F2"/>
              </w:rPr>
            </w:pPr>
            <w:r>
              <w:rPr>
                <w:color w:val="F2F2F2" w:themeColor="background1" w:themeShade="F2"/>
              </w:rPr>
              <w:t>Marks</w:t>
            </w:r>
            <w:r w:rsidRPr="00AF3F1C">
              <w:rPr>
                <w:color w:val="F2F2F2" w:themeColor="background1" w:themeShade="F2"/>
              </w:rPr>
              <w:t xml:space="preserve"> </w:t>
            </w:r>
          </w:p>
        </w:tc>
        <w:tc>
          <w:tcPr>
            <w:tcW w:w="547" w:type="dxa"/>
          </w:tcPr>
          <w:p w14:paraId="7CD1E1BC" w14:textId="77777777" w:rsidR="00F366C5" w:rsidRPr="00AF3F1C" w:rsidRDefault="00F366C5" w:rsidP="00F366C5">
            <w:pPr>
              <w:pStyle w:val="VCAAtablecondensedheading"/>
              <w:rPr>
                <w:color w:val="F2F2F2" w:themeColor="background1" w:themeShade="F2"/>
              </w:rPr>
            </w:pPr>
            <w:r>
              <w:rPr>
                <w:color w:val="F2F2F2" w:themeColor="background1" w:themeShade="F2"/>
              </w:rPr>
              <w:t>0</w:t>
            </w:r>
          </w:p>
        </w:tc>
        <w:tc>
          <w:tcPr>
            <w:tcW w:w="547" w:type="dxa"/>
          </w:tcPr>
          <w:p w14:paraId="1ACDE515" w14:textId="77777777" w:rsidR="00F366C5" w:rsidRDefault="00F366C5" w:rsidP="00F366C5">
            <w:pPr>
              <w:pStyle w:val="VCAAtablecondensedheading"/>
              <w:rPr>
                <w:color w:val="F2F2F2" w:themeColor="background1" w:themeShade="F2"/>
              </w:rPr>
            </w:pPr>
            <w:r>
              <w:rPr>
                <w:color w:val="F2F2F2" w:themeColor="background1" w:themeShade="F2"/>
              </w:rPr>
              <w:t>1</w:t>
            </w:r>
          </w:p>
        </w:tc>
        <w:tc>
          <w:tcPr>
            <w:tcW w:w="547" w:type="dxa"/>
          </w:tcPr>
          <w:p w14:paraId="67DA0CCD" w14:textId="77777777" w:rsidR="00F366C5" w:rsidRDefault="00F366C5" w:rsidP="00F366C5">
            <w:pPr>
              <w:pStyle w:val="VCAAtablecondensedheading"/>
              <w:rPr>
                <w:color w:val="F2F2F2" w:themeColor="background1" w:themeShade="F2"/>
              </w:rPr>
            </w:pPr>
            <w:r>
              <w:rPr>
                <w:color w:val="F2F2F2" w:themeColor="background1" w:themeShade="F2"/>
              </w:rPr>
              <w:t>2</w:t>
            </w:r>
          </w:p>
        </w:tc>
        <w:tc>
          <w:tcPr>
            <w:tcW w:w="547" w:type="dxa"/>
          </w:tcPr>
          <w:p w14:paraId="3329FAD3" w14:textId="77777777" w:rsidR="00F366C5" w:rsidRDefault="00F366C5" w:rsidP="00F366C5">
            <w:pPr>
              <w:pStyle w:val="VCAAtablecondensedheading"/>
              <w:rPr>
                <w:color w:val="F2F2F2" w:themeColor="background1" w:themeShade="F2"/>
              </w:rPr>
            </w:pPr>
            <w:r>
              <w:rPr>
                <w:color w:val="F2F2F2" w:themeColor="background1" w:themeShade="F2"/>
              </w:rPr>
              <w:t>3</w:t>
            </w:r>
          </w:p>
        </w:tc>
        <w:tc>
          <w:tcPr>
            <w:tcW w:w="547" w:type="dxa"/>
          </w:tcPr>
          <w:p w14:paraId="6C884F22" w14:textId="77777777" w:rsidR="00F366C5" w:rsidRDefault="00F366C5" w:rsidP="00F366C5">
            <w:pPr>
              <w:pStyle w:val="VCAAtablecondensedheading"/>
              <w:rPr>
                <w:color w:val="F2F2F2" w:themeColor="background1" w:themeShade="F2"/>
              </w:rPr>
            </w:pPr>
            <w:r>
              <w:rPr>
                <w:color w:val="F2F2F2" w:themeColor="background1" w:themeShade="F2"/>
              </w:rPr>
              <w:t>4</w:t>
            </w:r>
          </w:p>
        </w:tc>
        <w:tc>
          <w:tcPr>
            <w:tcW w:w="547" w:type="dxa"/>
          </w:tcPr>
          <w:p w14:paraId="4450CD6D" w14:textId="77777777" w:rsidR="00F366C5" w:rsidRDefault="00F366C5" w:rsidP="00F366C5">
            <w:pPr>
              <w:pStyle w:val="VCAAtablecondensedheading"/>
              <w:rPr>
                <w:color w:val="F2F2F2" w:themeColor="background1" w:themeShade="F2"/>
              </w:rPr>
            </w:pPr>
            <w:r>
              <w:rPr>
                <w:color w:val="F2F2F2" w:themeColor="background1" w:themeShade="F2"/>
              </w:rPr>
              <w:t>5</w:t>
            </w:r>
          </w:p>
        </w:tc>
        <w:tc>
          <w:tcPr>
            <w:tcW w:w="547" w:type="dxa"/>
          </w:tcPr>
          <w:p w14:paraId="6AE5B506" w14:textId="77777777" w:rsidR="00F366C5" w:rsidRDefault="00F366C5" w:rsidP="00F366C5">
            <w:pPr>
              <w:pStyle w:val="VCAAtablecondensedheading"/>
              <w:rPr>
                <w:color w:val="F2F2F2" w:themeColor="background1" w:themeShade="F2"/>
              </w:rPr>
            </w:pPr>
            <w:r>
              <w:rPr>
                <w:color w:val="F2F2F2" w:themeColor="background1" w:themeShade="F2"/>
              </w:rPr>
              <w:t>6</w:t>
            </w:r>
          </w:p>
        </w:tc>
        <w:tc>
          <w:tcPr>
            <w:tcW w:w="1267" w:type="dxa"/>
          </w:tcPr>
          <w:p w14:paraId="095E8CA3" w14:textId="77777777" w:rsidR="00F366C5" w:rsidRDefault="00F366C5" w:rsidP="00F366C5">
            <w:pPr>
              <w:pStyle w:val="VCAAtablecondensedheading"/>
              <w:rPr>
                <w:color w:val="F2F2F2" w:themeColor="background1" w:themeShade="F2"/>
              </w:rPr>
            </w:pPr>
            <w:r>
              <w:rPr>
                <w:color w:val="F2F2F2" w:themeColor="background1" w:themeShade="F2"/>
              </w:rPr>
              <w:t>Average</w:t>
            </w:r>
          </w:p>
        </w:tc>
      </w:tr>
      <w:tr w:rsidR="00F366C5" w14:paraId="0264E5CB" w14:textId="77777777" w:rsidTr="001717C0">
        <w:tc>
          <w:tcPr>
            <w:tcW w:w="950" w:type="dxa"/>
          </w:tcPr>
          <w:p w14:paraId="16AB6799" w14:textId="77777777" w:rsidR="00F366C5" w:rsidRPr="00332089" w:rsidRDefault="00F366C5" w:rsidP="00F366C5">
            <w:pPr>
              <w:pStyle w:val="VCAAtablecondensed"/>
            </w:pPr>
            <w:r>
              <w:t>%</w:t>
            </w:r>
          </w:p>
        </w:tc>
        <w:tc>
          <w:tcPr>
            <w:tcW w:w="547" w:type="dxa"/>
          </w:tcPr>
          <w:p w14:paraId="48B20BE8" w14:textId="72B55FCF" w:rsidR="00F366C5" w:rsidRPr="00332089" w:rsidRDefault="003A6F6F" w:rsidP="00F366C5">
            <w:pPr>
              <w:pStyle w:val="VCAAtablecondensed"/>
            </w:pPr>
            <w:r>
              <w:rPr>
                <w:lang w:val="en-AU"/>
              </w:rPr>
              <w:t>2</w:t>
            </w:r>
          </w:p>
        </w:tc>
        <w:tc>
          <w:tcPr>
            <w:tcW w:w="547" w:type="dxa"/>
          </w:tcPr>
          <w:p w14:paraId="717FAD61" w14:textId="33297EBD" w:rsidR="00F366C5" w:rsidRPr="00332089" w:rsidRDefault="00F366C5" w:rsidP="00F366C5">
            <w:pPr>
              <w:pStyle w:val="VCAAtablecondensed"/>
            </w:pPr>
            <w:r w:rsidRPr="00813919">
              <w:rPr>
                <w:lang w:val="en-AU"/>
              </w:rPr>
              <w:t>6</w:t>
            </w:r>
          </w:p>
        </w:tc>
        <w:tc>
          <w:tcPr>
            <w:tcW w:w="547" w:type="dxa"/>
          </w:tcPr>
          <w:p w14:paraId="4A2B43DF" w14:textId="59EFD9EC" w:rsidR="00F366C5" w:rsidRDefault="00F366C5" w:rsidP="00F366C5">
            <w:pPr>
              <w:pStyle w:val="VCAAtablecondensed"/>
            </w:pPr>
            <w:r w:rsidRPr="00813919">
              <w:rPr>
                <w:lang w:val="en-AU"/>
              </w:rPr>
              <w:t>20</w:t>
            </w:r>
          </w:p>
        </w:tc>
        <w:tc>
          <w:tcPr>
            <w:tcW w:w="547" w:type="dxa"/>
          </w:tcPr>
          <w:p w14:paraId="78D78F8F" w14:textId="77777777" w:rsidR="00F366C5" w:rsidRDefault="00F366C5" w:rsidP="00F366C5">
            <w:pPr>
              <w:pStyle w:val="VCAAtablecondensed"/>
            </w:pPr>
            <w:r w:rsidRPr="00813919">
              <w:rPr>
                <w:lang w:val="en-AU"/>
              </w:rPr>
              <w:t>27</w:t>
            </w:r>
          </w:p>
        </w:tc>
        <w:tc>
          <w:tcPr>
            <w:tcW w:w="547" w:type="dxa"/>
          </w:tcPr>
          <w:p w14:paraId="00AB6115" w14:textId="3C8AC73D" w:rsidR="00F366C5" w:rsidRDefault="00F366C5" w:rsidP="00F366C5">
            <w:pPr>
              <w:pStyle w:val="VCAAtablecondensed"/>
            </w:pPr>
            <w:r w:rsidRPr="00813919">
              <w:rPr>
                <w:lang w:val="en-AU"/>
              </w:rPr>
              <w:t>2</w:t>
            </w:r>
            <w:r w:rsidR="003A6F6F">
              <w:rPr>
                <w:lang w:val="en-AU"/>
              </w:rPr>
              <w:t>6</w:t>
            </w:r>
          </w:p>
        </w:tc>
        <w:tc>
          <w:tcPr>
            <w:tcW w:w="547" w:type="dxa"/>
          </w:tcPr>
          <w:p w14:paraId="49B8071E" w14:textId="29B6D82B" w:rsidR="00F366C5" w:rsidRDefault="00F366C5" w:rsidP="00F366C5">
            <w:pPr>
              <w:pStyle w:val="VCAAtablecondensed"/>
            </w:pPr>
            <w:r w:rsidRPr="00813919">
              <w:rPr>
                <w:lang w:val="en-AU"/>
              </w:rPr>
              <w:t>1</w:t>
            </w:r>
            <w:r w:rsidR="003A6F6F">
              <w:rPr>
                <w:lang w:val="en-AU"/>
              </w:rPr>
              <w:t>4</w:t>
            </w:r>
          </w:p>
        </w:tc>
        <w:tc>
          <w:tcPr>
            <w:tcW w:w="547" w:type="dxa"/>
          </w:tcPr>
          <w:p w14:paraId="33F5F559" w14:textId="668FBC31" w:rsidR="00F366C5" w:rsidRPr="00332089" w:rsidRDefault="00F366C5" w:rsidP="00F366C5">
            <w:pPr>
              <w:pStyle w:val="VCAAtablecondensed"/>
            </w:pPr>
            <w:r w:rsidRPr="00813919">
              <w:rPr>
                <w:lang w:val="en-AU"/>
              </w:rPr>
              <w:t>5</w:t>
            </w:r>
          </w:p>
        </w:tc>
        <w:tc>
          <w:tcPr>
            <w:tcW w:w="1267" w:type="dxa"/>
          </w:tcPr>
          <w:p w14:paraId="7DD22867" w14:textId="77777777" w:rsidR="00F366C5" w:rsidRPr="00332089" w:rsidRDefault="00F366C5" w:rsidP="001717C0">
            <w:pPr>
              <w:pStyle w:val="VCAAtablecondensed"/>
            </w:pPr>
            <w:r w:rsidRPr="003F6AD3">
              <w:t>3.3</w:t>
            </w:r>
          </w:p>
        </w:tc>
      </w:tr>
    </w:tbl>
    <w:p w14:paraId="21DA26CE" w14:textId="651A9A11" w:rsidR="00C64DB3" w:rsidRPr="007061D9" w:rsidRDefault="0091531F" w:rsidP="00E96A09">
      <w:pPr>
        <w:pStyle w:val="VCAAbody"/>
        <w:rPr>
          <w:lang w:val="en-AU"/>
        </w:rPr>
      </w:pPr>
      <w:r>
        <w:t xml:space="preserve">Students were presented with a </w:t>
      </w:r>
      <w:r w:rsidR="00657C3C">
        <w:t>p</w:t>
      </w:r>
      <w:r>
        <w:t>ro</w:t>
      </w:r>
      <w:r w:rsidR="00657C3C">
        <w:t>/c</w:t>
      </w:r>
      <w:r>
        <w:t>on table that considered the complex issue of live animal export and Australia’s place within this international practice. Individual statements on each side of the table were labe</w:t>
      </w:r>
      <w:r w:rsidR="00D62CC8">
        <w:t>l</w:t>
      </w:r>
      <w:r>
        <w:t>led and student</w:t>
      </w:r>
      <w:r w:rsidR="00DB164A">
        <w:t>s</w:t>
      </w:r>
      <w:r>
        <w:t xml:space="preserve"> were asked to explain which of the</w:t>
      </w:r>
      <w:r w:rsidR="00DB164A">
        <w:t>se</w:t>
      </w:r>
      <w:r>
        <w:t xml:space="preserve"> statements was most convincing and why</w:t>
      </w:r>
      <w:r w:rsidR="00C64DB3">
        <w:t xml:space="preserve">, </w:t>
      </w:r>
      <w:r w:rsidR="00C64DB3" w:rsidRPr="007061D9">
        <w:rPr>
          <w:lang w:val="en-AU"/>
        </w:rPr>
        <w:t xml:space="preserve">in terms of its ideas and reasoning, not its rhetorical appeal to others or its use of persuasive devices. </w:t>
      </w:r>
    </w:p>
    <w:p w14:paraId="2C9664D9" w14:textId="48957C0E" w:rsidR="00F44506" w:rsidRDefault="00442C4F" w:rsidP="00972C13">
      <w:pPr>
        <w:pStyle w:val="VCAAbody"/>
        <w:keepNext/>
        <w:keepLines/>
      </w:pPr>
      <w:r>
        <w:t>R</w:t>
      </w:r>
      <w:r w:rsidR="00E96A09">
        <w:t>esponses</w:t>
      </w:r>
      <w:r>
        <w:t xml:space="preserve"> that scored highly</w:t>
      </w:r>
      <w:r w:rsidR="00E96A09">
        <w:t xml:space="preserve"> </w:t>
      </w:r>
      <w:r w:rsidR="0091531F">
        <w:t>display</w:t>
      </w:r>
      <w:r w:rsidR="00E96A09">
        <w:t>ed</w:t>
      </w:r>
      <w:r w:rsidR="0091531F">
        <w:t xml:space="preserve"> a clear understanding of the issue within an evaluative response that was comprehensive and contained a plausible interpretation</w:t>
      </w:r>
      <w:r w:rsidR="00885549">
        <w:t>, as in the following example:</w:t>
      </w:r>
    </w:p>
    <w:p w14:paraId="3076ED07" w14:textId="12F20C39" w:rsidR="001717C0" w:rsidRDefault="00E551D8" w:rsidP="00DF3D0E">
      <w:pPr>
        <w:pStyle w:val="VCAAstudentresponse"/>
      </w:pPr>
      <w:r w:rsidRPr="00DF3D0E">
        <w:t xml:space="preserve">Arguments B, H and J all revolve around the benefit to humans that the animal exportation industry does or does not provide, rather than looking towards the welfare of animals. This human-centric argument will resound more with your average Australian, as it has been found that humans do not consider animal lives to be worth the same amount as human lives. </w:t>
      </w:r>
      <w:proofErr w:type="gramStart"/>
      <w:r w:rsidRPr="00DF3D0E">
        <w:t>Therefore</w:t>
      </w:r>
      <w:proofErr w:type="gramEnd"/>
      <w:r w:rsidRPr="00DF3D0E">
        <w:t xml:space="preserve"> these arguments are more likely to get the attention of the public. For vegans, vegetarians or animal rights advocates, the arguments that </w:t>
      </w:r>
      <w:proofErr w:type="spellStart"/>
      <w:r w:rsidRPr="00DF3D0E">
        <w:t>centre</w:t>
      </w:r>
      <w:proofErr w:type="spellEnd"/>
      <w:r w:rsidRPr="00DF3D0E">
        <w:t xml:space="preserve"> around the safety of the animals will be more convincing, this is true for arguments A, D and I, which speak towards the safety of the animals during this process. Of these arguments, E fundamentally raises the best argument that does not have a rebuttal on the against side, it is not reasonable to assume that every country around the world will follow suit for humane treatment, which has been shown through the NIKE sweatshop scandal where third party manufacturers were using unlawful slaves to create the products.</w:t>
      </w:r>
    </w:p>
    <w:p w14:paraId="6ACB971C" w14:textId="77777777" w:rsidR="001717C0" w:rsidRDefault="001717C0">
      <w:pPr>
        <w:rPr>
          <w:rFonts w:eastAsiaTheme="minorHAnsi" w:cs="Arial"/>
          <w:i/>
          <w:iCs/>
          <w:color w:val="000000" w:themeColor="text1"/>
          <w:sz w:val="20"/>
          <w:lang w:val="en-US"/>
        </w:rPr>
      </w:pPr>
      <w:r>
        <w:br w:type="page"/>
      </w:r>
    </w:p>
    <w:p w14:paraId="08A332AF" w14:textId="07C9BB35" w:rsidR="00E551D8" w:rsidRDefault="00E551D8" w:rsidP="00BF001F">
      <w:pPr>
        <w:pStyle w:val="VCAAHeading3"/>
      </w:pPr>
      <w:r>
        <w:lastRenderedPageBreak/>
        <w:t>Question 4</w:t>
      </w:r>
    </w:p>
    <w:tbl>
      <w:tblPr>
        <w:tblStyle w:val="VCAATableClosed"/>
        <w:tblW w:w="0" w:type="auto"/>
        <w:tblLayout w:type="fixed"/>
        <w:tblLook w:val="04A0" w:firstRow="1" w:lastRow="0" w:firstColumn="1" w:lastColumn="0" w:noHBand="0" w:noVBand="1"/>
        <w:tblCaption w:val="Table one"/>
        <w:tblDescription w:val="VCAA closed table style"/>
      </w:tblPr>
      <w:tblGrid>
        <w:gridCol w:w="950"/>
        <w:gridCol w:w="547"/>
        <w:gridCol w:w="547"/>
        <w:gridCol w:w="547"/>
        <w:gridCol w:w="547"/>
        <w:gridCol w:w="547"/>
        <w:gridCol w:w="547"/>
        <w:gridCol w:w="547"/>
        <w:gridCol w:w="1195"/>
      </w:tblGrid>
      <w:tr w:rsidR="00FF0B67" w:rsidRPr="00B13D3B" w14:paraId="51450465" w14:textId="77777777" w:rsidTr="001717C0">
        <w:trPr>
          <w:cnfStyle w:val="100000000000" w:firstRow="1" w:lastRow="0" w:firstColumn="0" w:lastColumn="0" w:oddVBand="0" w:evenVBand="0" w:oddHBand="0" w:evenHBand="0" w:firstRowFirstColumn="0" w:firstRowLastColumn="0" w:lastRowFirstColumn="0" w:lastRowLastColumn="0"/>
        </w:trPr>
        <w:tc>
          <w:tcPr>
            <w:tcW w:w="950" w:type="dxa"/>
          </w:tcPr>
          <w:p w14:paraId="29CCC415" w14:textId="77777777" w:rsidR="00F366C5" w:rsidRPr="00AF3F1C" w:rsidRDefault="00F366C5" w:rsidP="00F366C5">
            <w:pPr>
              <w:pStyle w:val="VCAAtablecondensedheading"/>
              <w:rPr>
                <w:color w:val="F2F2F2" w:themeColor="background1" w:themeShade="F2"/>
              </w:rPr>
            </w:pPr>
            <w:r>
              <w:rPr>
                <w:color w:val="F2F2F2" w:themeColor="background1" w:themeShade="F2"/>
              </w:rPr>
              <w:t>Marks</w:t>
            </w:r>
            <w:r w:rsidRPr="00AF3F1C">
              <w:rPr>
                <w:color w:val="F2F2F2" w:themeColor="background1" w:themeShade="F2"/>
              </w:rPr>
              <w:t xml:space="preserve"> </w:t>
            </w:r>
          </w:p>
        </w:tc>
        <w:tc>
          <w:tcPr>
            <w:tcW w:w="547" w:type="dxa"/>
          </w:tcPr>
          <w:p w14:paraId="2F8B223C" w14:textId="77777777" w:rsidR="00F366C5" w:rsidRDefault="00F366C5" w:rsidP="00F366C5">
            <w:pPr>
              <w:pStyle w:val="VCAAtablecondensedheading"/>
              <w:rPr>
                <w:color w:val="F2F2F2" w:themeColor="background1" w:themeShade="F2"/>
              </w:rPr>
            </w:pPr>
            <w:r>
              <w:rPr>
                <w:color w:val="F2F2F2" w:themeColor="background1" w:themeShade="F2"/>
              </w:rPr>
              <w:t>0</w:t>
            </w:r>
          </w:p>
        </w:tc>
        <w:tc>
          <w:tcPr>
            <w:tcW w:w="547" w:type="dxa"/>
          </w:tcPr>
          <w:p w14:paraId="07AD3204" w14:textId="77777777" w:rsidR="00F366C5" w:rsidRDefault="00F366C5" w:rsidP="00F366C5">
            <w:pPr>
              <w:pStyle w:val="VCAAtablecondensedheading"/>
              <w:rPr>
                <w:color w:val="F2F2F2" w:themeColor="background1" w:themeShade="F2"/>
              </w:rPr>
            </w:pPr>
            <w:r>
              <w:rPr>
                <w:color w:val="F2F2F2" w:themeColor="background1" w:themeShade="F2"/>
              </w:rPr>
              <w:t>1</w:t>
            </w:r>
          </w:p>
        </w:tc>
        <w:tc>
          <w:tcPr>
            <w:tcW w:w="547" w:type="dxa"/>
          </w:tcPr>
          <w:p w14:paraId="1A646B3E" w14:textId="77777777" w:rsidR="00F366C5" w:rsidRDefault="00F366C5" w:rsidP="00F366C5">
            <w:pPr>
              <w:pStyle w:val="VCAAtablecondensedheading"/>
              <w:rPr>
                <w:color w:val="F2F2F2" w:themeColor="background1" w:themeShade="F2"/>
              </w:rPr>
            </w:pPr>
            <w:r>
              <w:rPr>
                <w:color w:val="F2F2F2" w:themeColor="background1" w:themeShade="F2"/>
              </w:rPr>
              <w:t>2</w:t>
            </w:r>
          </w:p>
        </w:tc>
        <w:tc>
          <w:tcPr>
            <w:tcW w:w="547" w:type="dxa"/>
          </w:tcPr>
          <w:p w14:paraId="1972EE4F" w14:textId="77777777" w:rsidR="00F366C5" w:rsidRDefault="00F366C5" w:rsidP="00F366C5">
            <w:pPr>
              <w:pStyle w:val="VCAAtablecondensedheading"/>
              <w:rPr>
                <w:color w:val="F2F2F2" w:themeColor="background1" w:themeShade="F2"/>
              </w:rPr>
            </w:pPr>
            <w:r>
              <w:rPr>
                <w:color w:val="F2F2F2" w:themeColor="background1" w:themeShade="F2"/>
              </w:rPr>
              <w:t>3</w:t>
            </w:r>
          </w:p>
        </w:tc>
        <w:tc>
          <w:tcPr>
            <w:tcW w:w="547" w:type="dxa"/>
          </w:tcPr>
          <w:p w14:paraId="692D1CCC" w14:textId="77777777" w:rsidR="00F366C5" w:rsidRDefault="00F366C5" w:rsidP="00F366C5">
            <w:pPr>
              <w:pStyle w:val="VCAAtablecondensedheading"/>
              <w:rPr>
                <w:color w:val="F2F2F2" w:themeColor="background1" w:themeShade="F2"/>
              </w:rPr>
            </w:pPr>
            <w:r>
              <w:rPr>
                <w:color w:val="F2F2F2" w:themeColor="background1" w:themeShade="F2"/>
              </w:rPr>
              <w:t>4</w:t>
            </w:r>
          </w:p>
        </w:tc>
        <w:tc>
          <w:tcPr>
            <w:tcW w:w="547" w:type="dxa"/>
          </w:tcPr>
          <w:p w14:paraId="02B69E9F" w14:textId="77777777" w:rsidR="00F366C5" w:rsidRDefault="00F366C5" w:rsidP="00F366C5">
            <w:pPr>
              <w:pStyle w:val="VCAAtablecondensedheading"/>
              <w:rPr>
                <w:color w:val="F2F2F2" w:themeColor="background1" w:themeShade="F2"/>
              </w:rPr>
            </w:pPr>
            <w:r>
              <w:rPr>
                <w:color w:val="F2F2F2" w:themeColor="background1" w:themeShade="F2"/>
              </w:rPr>
              <w:t>5</w:t>
            </w:r>
          </w:p>
        </w:tc>
        <w:tc>
          <w:tcPr>
            <w:tcW w:w="547" w:type="dxa"/>
          </w:tcPr>
          <w:p w14:paraId="32EFEB71" w14:textId="77777777" w:rsidR="00F366C5" w:rsidRDefault="00F366C5" w:rsidP="00F366C5">
            <w:pPr>
              <w:pStyle w:val="VCAAtablecondensedheading"/>
              <w:rPr>
                <w:color w:val="F2F2F2" w:themeColor="background1" w:themeShade="F2"/>
              </w:rPr>
            </w:pPr>
            <w:r>
              <w:rPr>
                <w:color w:val="F2F2F2" w:themeColor="background1" w:themeShade="F2"/>
              </w:rPr>
              <w:t>6</w:t>
            </w:r>
          </w:p>
        </w:tc>
        <w:tc>
          <w:tcPr>
            <w:tcW w:w="1195" w:type="dxa"/>
          </w:tcPr>
          <w:p w14:paraId="392811F0" w14:textId="77777777" w:rsidR="00F366C5" w:rsidRDefault="00F366C5" w:rsidP="00F366C5">
            <w:pPr>
              <w:pStyle w:val="VCAAtablecondensedheading"/>
              <w:rPr>
                <w:color w:val="F2F2F2" w:themeColor="background1" w:themeShade="F2"/>
              </w:rPr>
            </w:pPr>
            <w:r>
              <w:rPr>
                <w:color w:val="F2F2F2" w:themeColor="background1" w:themeShade="F2"/>
              </w:rPr>
              <w:t>Average</w:t>
            </w:r>
          </w:p>
        </w:tc>
      </w:tr>
      <w:tr w:rsidR="00F366C5" w:rsidRPr="0056257C" w14:paraId="0844AE3C" w14:textId="77777777" w:rsidTr="001717C0">
        <w:tc>
          <w:tcPr>
            <w:tcW w:w="950" w:type="dxa"/>
          </w:tcPr>
          <w:p w14:paraId="5FC67938" w14:textId="77777777" w:rsidR="00F366C5" w:rsidRPr="00332089" w:rsidRDefault="00F366C5" w:rsidP="00F366C5">
            <w:pPr>
              <w:pStyle w:val="VCAAtablecondensed"/>
            </w:pPr>
            <w:r>
              <w:t>%</w:t>
            </w:r>
          </w:p>
        </w:tc>
        <w:tc>
          <w:tcPr>
            <w:tcW w:w="547" w:type="dxa"/>
          </w:tcPr>
          <w:p w14:paraId="5C255413" w14:textId="29728727" w:rsidR="00F366C5" w:rsidRPr="00332089" w:rsidRDefault="00F366C5" w:rsidP="00F366C5">
            <w:pPr>
              <w:pStyle w:val="VCAAtablecondensed"/>
            </w:pPr>
            <w:r w:rsidRPr="0056257C">
              <w:t>1</w:t>
            </w:r>
          </w:p>
        </w:tc>
        <w:tc>
          <w:tcPr>
            <w:tcW w:w="547" w:type="dxa"/>
          </w:tcPr>
          <w:p w14:paraId="1F174AF9" w14:textId="29B7A0C3" w:rsidR="00F366C5" w:rsidRDefault="00F366C5" w:rsidP="00F366C5">
            <w:pPr>
              <w:pStyle w:val="VCAAtablecondensed"/>
            </w:pPr>
            <w:r w:rsidRPr="0056257C">
              <w:t>5</w:t>
            </w:r>
          </w:p>
        </w:tc>
        <w:tc>
          <w:tcPr>
            <w:tcW w:w="547" w:type="dxa"/>
          </w:tcPr>
          <w:p w14:paraId="5BA405C7" w14:textId="049F23A9" w:rsidR="00F366C5" w:rsidRDefault="00F366C5" w:rsidP="00F366C5">
            <w:pPr>
              <w:pStyle w:val="VCAAtablecondensed"/>
            </w:pPr>
            <w:r w:rsidRPr="0056257C">
              <w:t>11</w:t>
            </w:r>
          </w:p>
        </w:tc>
        <w:tc>
          <w:tcPr>
            <w:tcW w:w="547" w:type="dxa"/>
          </w:tcPr>
          <w:p w14:paraId="3E7E7C88" w14:textId="6827B8CF" w:rsidR="00F366C5" w:rsidRDefault="00F366C5" w:rsidP="00F366C5">
            <w:pPr>
              <w:pStyle w:val="VCAAtablecondensed"/>
            </w:pPr>
            <w:r w:rsidRPr="0056257C">
              <w:t>2</w:t>
            </w:r>
            <w:r w:rsidR="003A6F6F">
              <w:t>6</w:t>
            </w:r>
          </w:p>
        </w:tc>
        <w:tc>
          <w:tcPr>
            <w:tcW w:w="547" w:type="dxa"/>
          </w:tcPr>
          <w:p w14:paraId="157C5410" w14:textId="56E9DE69" w:rsidR="00F366C5" w:rsidRDefault="00F366C5" w:rsidP="00F366C5">
            <w:pPr>
              <w:pStyle w:val="VCAAtablecondensed"/>
            </w:pPr>
            <w:r w:rsidRPr="0056257C">
              <w:t>2</w:t>
            </w:r>
            <w:r w:rsidR="003A6F6F">
              <w:t>6</w:t>
            </w:r>
          </w:p>
        </w:tc>
        <w:tc>
          <w:tcPr>
            <w:tcW w:w="547" w:type="dxa"/>
          </w:tcPr>
          <w:p w14:paraId="5DB19771" w14:textId="3F797334" w:rsidR="00F366C5" w:rsidRPr="00332089" w:rsidRDefault="00F366C5" w:rsidP="00F366C5">
            <w:pPr>
              <w:pStyle w:val="VCAAtablecondensed"/>
            </w:pPr>
            <w:r w:rsidRPr="0056257C">
              <w:t>19</w:t>
            </w:r>
          </w:p>
        </w:tc>
        <w:tc>
          <w:tcPr>
            <w:tcW w:w="547" w:type="dxa"/>
          </w:tcPr>
          <w:p w14:paraId="010BBBA5" w14:textId="3145764C" w:rsidR="00F366C5" w:rsidRPr="003F6AD3" w:rsidRDefault="00F366C5" w:rsidP="001717C0">
            <w:pPr>
              <w:pStyle w:val="VCAAtablecondensed"/>
            </w:pPr>
            <w:r>
              <w:t>11</w:t>
            </w:r>
          </w:p>
        </w:tc>
        <w:tc>
          <w:tcPr>
            <w:tcW w:w="1195" w:type="dxa"/>
          </w:tcPr>
          <w:p w14:paraId="3A2A6A81" w14:textId="77777777" w:rsidR="00F366C5" w:rsidRPr="00332089" w:rsidRDefault="00F366C5" w:rsidP="001717C0">
            <w:pPr>
              <w:pStyle w:val="VCAAtablecondensed"/>
            </w:pPr>
            <w:r w:rsidRPr="003F6AD3">
              <w:t>3.7</w:t>
            </w:r>
          </w:p>
        </w:tc>
      </w:tr>
    </w:tbl>
    <w:p w14:paraId="78824394" w14:textId="3251DF4C" w:rsidR="00885549" w:rsidRDefault="00F366C5" w:rsidP="008248B2">
      <w:pPr>
        <w:pStyle w:val="VCAAbody"/>
      </w:pPr>
      <w:r>
        <w:t xml:space="preserve">In this question, students were </w:t>
      </w:r>
      <w:r w:rsidR="00885549">
        <w:t xml:space="preserve">asked to consider arguments for and against the proposition that </w:t>
      </w:r>
      <w:r w:rsidR="00845E7F">
        <w:t xml:space="preserve">internet </w:t>
      </w:r>
      <w:r w:rsidR="00992172">
        <w:t xml:space="preserve">access </w:t>
      </w:r>
      <w:r w:rsidR="00845E7F">
        <w:t xml:space="preserve">should be </w:t>
      </w:r>
      <w:proofErr w:type="spellStart"/>
      <w:r w:rsidR="00845E7F">
        <w:t>subsidised</w:t>
      </w:r>
      <w:proofErr w:type="spellEnd"/>
      <w:r w:rsidR="00845E7F">
        <w:t xml:space="preserve"> by the government</w:t>
      </w:r>
      <w:r w:rsidR="007061D9" w:rsidRPr="007061D9">
        <w:rPr>
          <w:lang w:val="en-AU"/>
        </w:rPr>
        <w:t xml:space="preserve"> </w:t>
      </w:r>
      <w:r w:rsidR="007061D9">
        <w:rPr>
          <w:lang w:val="en-AU"/>
        </w:rPr>
        <w:t>for low-income families with school-aged children</w:t>
      </w:r>
      <w:r w:rsidR="00845E7F">
        <w:t xml:space="preserve">. </w:t>
      </w:r>
    </w:p>
    <w:p w14:paraId="01009128" w14:textId="5B18B08D" w:rsidR="00E551D8" w:rsidRPr="008248B2" w:rsidRDefault="007061D9" w:rsidP="008248B2">
      <w:pPr>
        <w:pStyle w:val="VCAAbody"/>
      </w:pPr>
      <w:r w:rsidRPr="008248B2">
        <w:t xml:space="preserve">In 2021 a system malfunction resulted in the text of Question 4 and a repetition of the Question 3 text appearing on the same screen. This was addressed in the marking process by scoring in terms of Question 4, Question 3 or any combination of the two. </w:t>
      </w:r>
      <w:r w:rsidR="00FA68CC">
        <w:t>To the students’ credit, m</w:t>
      </w:r>
      <w:r w:rsidRPr="008248B2">
        <w:t xml:space="preserve">ost responses appeared unaffected by </w:t>
      </w:r>
      <w:r w:rsidR="00992172">
        <w:t>the</w:t>
      </w:r>
      <w:r w:rsidRPr="008248B2">
        <w:t xml:space="preserve"> confusion and students were able to complete the task effectively.</w:t>
      </w:r>
      <w:r w:rsidR="00845E7F" w:rsidRPr="008248B2">
        <w:t xml:space="preserve"> </w:t>
      </w:r>
    </w:p>
    <w:p w14:paraId="5CC031EB" w14:textId="1A4D61E6" w:rsidR="00845E7F" w:rsidRPr="008248B2" w:rsidRDefault="00845E7F" w:rsidP="00E551D8">
      <w:pPr>
        <w:pStyle w:val="VCAAbody"/>
      </w:pPr>
      <w:r>
        <w:t xml:space="preserve">The following student response </w:t>
      </w:r>
      <w:r w:rsidRPr="008248B2">
        <w:t xml:space="preserve">addressed almost exclusively </w:t>
      </w:r>
      <w:r w:rsidR="007061D9" w:rsidRPr="008248B2">
        <w:t>the requirements of</w:t>
      </w:r>
      <w:r w:rsidRPr="008248B2">
        <w:t xml:space="preserve"> Question 4</w:t>
      </w:r>
      <w:r w:rsidR="007061D9" w:rsidRPr="008248B2">
        <w:t xml:space="preserve"> as intended</w:t>
      </w:r>
      <w:r w:rsidRPr="008248B2">
        <w:t xml:space="preserve">. The first two paragraphs </w:t>
      </w:r>
      <w:r w:rsidR="004667FB" w:rsidRPr="008248B2">
        <w:t xml:space="preserve">thoroughly </w:t>
      </w:r>
      <w:r w:rsidRPr="008248B2">
        <w:t>cover a range of interconnected issues</w:t>
      </w:r>
      <w:r w:rsidR="00FA68CC">
        <w:t>; w</w:t>
      </w:r>
      <w:r w:rsidRPr="008248B2">
        <w:t>ithin each paragraph the development is clear and sequential and the reasoning sound</w:t>
      </w:r>
      <w:r w:rsidR="00FA68CC">
        <w:t>;</w:t>
      </w:r>
      <w:r w:rsidR="00DA394C">
        <w:t xml:space="preserve"> and i</w:t>
      </w:r>
      <w:r w:rsidRPr="008248B2">
        <w:t xml:space="preserve">n the final paragraph the student </w:t>
      </w:r>
      <w:r w:rsidR="00255B7D">
        <w:t>use</w:t>
      </w:r>
      <w:r w:rsidR="00DA394C">
        <w:t>s</w:t>
      </w:r>
      <w:r w:rsidR="00255B7D">
        <w:t xml:space="preserve"> the </w:t>
      </w:r>
      <w:r w:rsidR="00842837">
        <w:t xml:space="preserve">arguments in the </w:t>
      </w:r>
      <w:r w:rsidRPr="008248B2">
        <w:t xml:space="preserve">table to justify, </w:t>
      </w:r>
      <w:proofErr w:type="spellStart"/>
      <w:r w:rsidRPr="008248B2">
        <w:t>contextualise</w:t>
      </w:r>
      <w:proofErr w:type="spellEnd"/>
      <w:r w:rsidRPr="008248B2">
        <w:t xml:space="preserve"> and clarify their own position.</w:t>
      </w:r>
    </w:p>
    <w:p w14:paraId="794E58FE" w14:textId="5CF2B9DC" w:rsidR="00845E7F" w:rsidRPr="00DF3D0E" w:rsidRDefault="00845E7F" w:rsidP="00DF3D0E">
      <w:pPr>
        <w:pStyle w:val="VCAAstudentresponse"/>
      </w:pPr>
      <w:r w:rsidRPr="00DF3D0E">
        <w:t>I am for the proposition due to the fact that it will likely reduce income inequality in t</w:t>
      </w:r>
      <w:r w:rsidR="00C75CF3">
        <w:t>h</w:t>
      </w:r>
      <w:r w:rsidRPr="00DF3D0E">
        <w:t xml:space="preserve">e long run, based on the fact that school-aged children will have more access to their education and will be able to study what they are passionate about and get a job in that field, lessening the cycle of poverty and creating a better, more equal Australia. It will also benefit many rural communities and Indigenous peoples who do not currently have access to the same education as inner-city </w:t>
      </w:r>
      <w:proofErr w:type="gramStart"/>
      <w:r w:rsidRPr="00DF3D0E">
        <w:t>middle class</w:t>
      </w:r>
      <w:proofErr w:type="gramEnd"/>
      <w:r w:rsidRPr="00DF3D0E">
        <w:t xml:space="preserve"> families. </w:t>
      </w:r>
    </w:p>
    <w:p w14:paraId="4DB90C26" w14:textId="66D11F43" w:rsidR="00845E7F" w:rsidRPr="00DF3D0E" w:rsidRDefault="00845E7F" w:rsidP="00DF3D0E">
      <w:pPr>
        <w:pStyle w:val="VCAAstudentresponse"/>
      </w:pPr>
      <w:r w:rsidRPr="00DF3D0E">
        <w:t>I believe that free internet access should be provided to all low-income households with school aged children because the financial stress on low-income households with school-aged children would be reduced. Without this worry for the families to think about, the children would be free to per</w:t>
      </w:r>
      <w:r w:rsidR="00C75CF3">
        <w:t>us</w:t>
      </w:r>
      <w:r w:rsidRPr="00DF3D0E">
        <w:t>e the education they wish for, creating more opportunities for them in the future. It also frees up the time that families need to spend educating their own children as they will have access to their own school curriculum, allowing more time for the parents to work to provide for their children.</w:t>
      </w:r>
    </w:p>
    <w:p w14:paraId="4F13DBA8" w14:textId="58203E93" w:rsidR="00845E7F" w:rsidRPr="00DF3D0E" w:rsidRDefault="00845E7F" w:rsidP="00DF3D0E">
      <w:pPr>
        <w:pStyle w:val="VCAAstudentresponse"/>
      </w:pPr>
      <w:r w:rsidRPr="00DF3D0E">
        <w:t>The arguments against the proposition are not focused on the benefit of those in low-income households, rather the fact that other households may experience disadvantage because of this, making these arguments appealing to high-income families who feel they have worked hard to earn their money compared to the low-income families. The propositions for the argument will appeal to the sense of justice that many people have. Many Australians believe that it is not fair that children have to suffer because of the errors of their parents and will want them to receive a good education. The For arguments are justice/ human based while the against are fiscal/hip pocket based.</w:t>
      </w:r>
    </w:p>
    <w:p w14:paraId="656C4BBD" w14:textId="77777777" w:rsidR="00FD3E11" w:rsidRPr="007C451E" w:rsidRDefault="00FD3E11" w:rsidP="001717C0">
      <w:pPr>
        <w:pStyle w:val="VCAAHeading2"/>
      </w:pPr>
      <w:r w:rsidRPr="007C451E">
        <w:t>Criteria for assessing research-related responses</w:t>
      </w:r>
    </w:p>
    <w:p w14:paraId="2FB1E62C" w14:textId="77777777" w:rsidR="007061D9" w:rsidRPr="00FD3E11" w:rsidRDefault="007061D9" w:rsidP="008248B2">
      <w:pPr>
        <w:pStyle w:val="VCAAbody"/>
        <w:rPr>
          <w:lang w:val="en-AU"/>
        </w:rPr>
      </w:pPr>
      <w:r w:rsidRPr="00FD3E11">
        <w:rPr>
          <w:lang w:val="en-AU"/>
        </w:rPr>
        <w:t>Considerations in evaluating research questions and conducting data collection include:</w:t>
      </w:r>
    </w:p>
    <w:p w14:paraId="343998F6" w14:textId="77777777" w:rsidR="007061D9" w:rsidRPr="007C451E" w:rsidRDefault="007061D9" w:rsidP="00D019E4">
      <w:pPr>
        <w:pStyle w:val="VCAAbullet"/>
      </w:pPr>
      <w:r w:rsidRPr="007C451E">
        <w:t>clarity and focus of the question</w:t>
      </w:r>
    </w:p>
    <w:p w14:paraId="20ADD25C" w14:textId="77777777" w:rsidR="007061D9" w:rsidRPr="007C451E" w:rsidRDefault="007061D9" w:rsidP="00D019E4">
      <w:pPr>
        <w:pStyle w:val="VCAAbullet"/>
      </w:pPr>
      <w:r w:rsidRPr="007C451E">
        <w:t>substance and significance of the question</w:t>
      </w:r>
    </w:p>
    <w:p w14:paraId="476BE7B7" w14:textId="77777777" w:rsidR="007061D9" w:rsidRPr="007C451E" w:rsidRDefault="007061D9" w:rsidP="00D019E4">
      <w:pPr>
        <w:pStyle w:val="VCAAbullet"/>
      </w:pPr>
      <w:r w:rsidRPr="007C451E">
        <w:t>impartiality and objectivity of the question and available research methods</w:t>
      </w:r>
    </w:p>
    <w:p w14:paraId="11A53E96" w14:textId="77777777" w:rsidR="007061D9" w:rsidRPr="007C451E" w:rsidRDefault="007061D9" w:rsidP="00D019E4">
      <w:pPr>
        <w:pStyle w:val="VCAAbullet"/>
      </w:pPr>
      <w:r w:rsidRPr="007C451E">
        <w:t>opportunities for ethically gathering useful data</w:t>
      </w:r>
    </w:p>
    <w:p w14:paraId="0B5EB193" w14:textId="77777777" w:rsidR="007061D9" w:rsidRPr="007C451E" w:rsidRDefault="007061D9" w:rsidP="00D019E4">
      <w:pPr>
        <w:pStyle w:val="VCAAbullet"/>
      </w:pPr>
      <w:r w:rsidRPr="007C451E">
        <w:t>practicality and manageability</w:t>
      </w:r>
    </w:p>
    <w:p w14:paraId="4ACF06E7" w14:textId="77777777" w:rsidR="007061D9" w:rsidRPr="007C451E" w:rsidRDefault="007061D9" w:rsidP="00D019E4">
      <w:pPr>
        <w:pStyle w:val="VCAAbullet"/>
      </w:pPr>
      <w:r w:rsidRPr="007C451E">
        <w:t>likelihood of an answer from the research.</w:t>
      </w:r>
    </w:p>
    <w:p w14:paraId="4497DA59" w14:textId="1B1D16B5" w:rsidR="00A04FDE" w:rsidRPr="008248B2" w:rsidRDefault="00A04FDE" w:rsidP="00DF3D0E">
      <w:pPr>
        <w:pStyle w:val="VCAAbody"/>
      </w:pPr>
      <w:r w:rsidRPr="00FD3E11">
        <w:t xml:space="preserve">Responses </w:t>
      </w:r>
      <w:r>
        <w:t xml:space="preserve">to Question 5 </w:t>
      </w:r>
      <w:r w:rsidRPr="00FD3E11">
        <w:t xml:space="preserve">were assessed </w:t>
      </w:r>
      <w:r>
        <w:t>on</w:t>
      </w:r>
      <w:r w:rsidRPr="00FD3E11">
        <w:t xml:space="preserve"> the qualit</w:t>
      </w:r>
      <w:r>
        <w:t>y</w:t>
      </w:r>
      <w:r w:rsidRPr="00FD3E11">
        <w:t xml:space="preserve"> of the question, the plausibility of the proposed data collection methods and the connection between them. </w:t>
      </w:r>
    </w:p>
    <w:p w14:paraId="178DBDB5" w14:textId="6E4C08F2" w:rsidR="00DA394C" w:rsidRPr="00FD3E11" w:rsidRDefault="007061D9" w:rsidP="008248B2">
      <w:pPr>
        <w:pStyle w:val="VCAAbody"/>
        <w:rPr>
          <w:lang w:val="en-AU"/>
        </w:rPr>
      </w:pPr>
      <w:r w:rsidRPr="00FD3E11">
        <w:rPr>
          <w:lang w:val="en-AU"/>
        </w:rPr>
        <w:lastRenderedPageBreak/>
        <w:t xml:space="preserve">Responses </w:t>
      </w:r>
      <w:r w:rsidR="00A04FDE">
        <w:rPr>
          <w:lang w:val="en-AU"/>
        </w:rPr>
        <w:t>t</w:t>
      </w:r>
      <w:r w:rsidRPr="00FD3E11">
        <w:rPr>
          <w:lang w:val="en-AU"/>
        </w:rPr>
        <w:t>o Questions 6 and 7, which in 2021 focused on manageability, were assessed in terms of how well they critically evaluated the selected question against the considerations outlined above, with particular reference to practicality and the broader issue of manageability.</w:t>
      </w:r>
    </w:p>
    <w:p w14:paraId="625FE49F" w14:textId="77777777" w:rsidR="00DA394C" w:rsidRDefault="00DA394C" w:rsidP="00BF001F">
      <w:pPr>
        <w:pStyle w:val="VCAAHeading3"/>
      </w:pPr>
      <w:r>
        <w:t>Question 5</w:t>
      </w:r>
    </w:p>
    <w:tbl>
      <w:tblPr>
        <w:tblStyle w:val="VCAATableClosed"/>
        <w:tblW w:w="0" w:type="auto"/>
        <w:tblLayout w:type="fixed"/>
        <w:tblLook w:val="04A0" w:firstRow="1" w:lastRow="0" w:firstColumn="1" w:lastColumn="0" w:noHBand="0" w:noVBand="1"/>
        <w:tblCaption w:val="Table one"/>
        <w:tblDescription w:val="VCAA closed table style"/>
      </w:tblPr>
      <w:tblGrid>
        <w:gridCol w:w="923"/>
        <w:gridCol w:w="547"/>
        <w:gridCol w:w="547"/>
        <w:gridCol w:w="547"/>
        <w:gridCol w:w="547"/>
        <w:gridCol w:w="547"/>
        <w:gridCol w:w="547"/>
        <w:gridCol w:w="547"/>
        <w:gridCol w:w="1080"/>
      </w:tblGrid>
      <w:tr w:rsidR="003A6F6F" w:rsidRPr="00B13D3B" w14:paraId="65F669B1" w14:textId="77777777" w:rsidTr="001717C0">
        <w:trPr>
          <w:cnfStyle w:val="100000000000" w:firstRow="1" w:lastRow="0" w:firstColumn="0" w:lastColumn="0" w:oddVBand="0" w:evenVBand="0" w:oddHBand="0" w:evenHBand="0" w:firstRowFirstColumn="0" w:firstRowLastColumn="0" w:lastRowFirstColumn="0" w:lastRowLastColumn="0"/>
        </w:trPr>
        <w:tc>
          <w:tcPr>
            <w:tcW w:w="0" w:type="dxa"/>
          </w:tcPr>
          <w:p w14:paraId="10665A5C" w14:textId="77777777" w:rsidR="00911261" w:rsidRPr="00AF3F1C" w:rsidRDefault="00911261" w:rsidP="00911261">
            <w:pPr>
              <w:pStyle w:val="VCAAtablecondensedheading"/>
              <w:rPr>
                <w:color w:val="F2F2F2" w:themeColor="background1" w:themeShade="F2"/>
              </w:rPr>
            </w:pPr>
            <w:r>
              <w:rPr>
                <w:color w:val="F2F2F2" w:themeColor="background1" w:themeShade="F2"/>
              </w:rPr>
              <w:t>Marks</w:t>
            </w:r>
            <w:r w:rsidRPr="00AF3F1C">
              <w:rPr>
                <w:color w:val="F2F2F2" w:themeColor="background1" w:themeShade="F2"/>
              </w:rPr>
              <w:t xml:space="preserve"> </w:t>
            </w:r>
          </w:p>
        </w:tc>
        <w:tc>
          <w:tcPr>
            <w:tcW w:w="547" w:type="dxa"/>
          </w:tcPr>
          <w:p w14:paraId="41A53C03" w14:textId="77777777" w:rsidR="00911261" w:rsidRPr="00AF3F1C" w:rsidRDefault="00911261" w:rsidP="00911261">
            <w:pPr>
              <w:pStyle w:val="VCAAtablecondensedheading"/>
              <w:rPr>
                <w:color w:val="F2F2F2" w:themeColor="background1" w:themeShade="F2"/>
              </w:rPr>
            </w:pPr>
            <w:r>
              <w:rPr>
                <w:color w:val="F2F2F2" w:themeColor="background1" w:themeShade="F2"/>
              </w:rPr>
              <w:t>0</w:t>
            </w:r>
          </w:p>
        </w:tc>
        <w:tc>
          <w:tcPr>
            <w:tcW w:w="547" w:type="dxa"/>
          </w:tcPr>
          <w:p w14:paraId="7AFC0897" w14:textId="77777777" w:rsidR="00911261" w:rsidRDefault="00911261" w:rsidP="00911261">
            <w:pPr>
              <w:pStyle w:val="VCAAtablecondensedheading"/>
              <w:rPr>
                <w:color w:val="F2F2F2" w:themeColor="background1" w:themeShade="F2"/>
              </w:rPr>
            </w:pPr>
            <w:r>
              <w:rPr>
                <w:color w:val="F2F2F2" w:themeColor="background1" w:themeShade="F2"/>
              </w:rPr>
              <w:t>1</w:t>
            </w:r>
          </w:p>
        </w:tc>
        <w:tc>
          <w:tcPr>
            <w:tcW w:w="547" w:type="dxa"/>
          </w:tcPr>
          <w:p w14:paraId="31E29054" w14:textId="77777777" w:rsidR="00911261" w:rsidRDefault="00911261" w:rsidP="00911261">
            <w:pPr>
              <w:pStyle w:val="VCAAtablecondensedheading"/>
              <w:rPr>
                <w:color w:val="F2F2F2" w:themeColor="background1" w:themeShade="F2"/>
              </w:rPr>
            </w:pPr>
            <w:r>
              <w:rPr>
                <w:color w:val="F2F2F2" w:themeColor="background1" w:themeShade="F2"/>
              </w:rPr>
              <w:t>2</w:t>
            </w:r>
          </w:p>
        </w:tc>
        <w:tc>
          <w:tcPr>
            <w:tcW w:w="547" w:type="dxa"/>
          </w:tcPr>
          <w:p w14:paraId="5BC7A993" w14:textId="77777777" w:rsidR="00911261" w:rsidRDefault="00911261" w:rsidP="00911261">
            <w:pPr>
              <w:pStyle w:val="VCAAtablecondensedheading"/>
              <w:rPr>
                <w:color w:val="F2F2F2" w:themeColor="background1" w:themeShade="F2"/>
              </w:rPr>
            </w:pPr>
            <w:r>
              <w:rPr>
                <w:color w:val="F2F2F2" w:themeColor="background1" w:themeShade="F2"/>
              </w:rPr>
              <w:t>3</w:t>
            </w:r>
          </w:p>
        </w:tc>
        <w:tc>
          <w:tcPr>
            <w:tcW w:w="547" w:type="dxa"/>
          </w:tcPr>
          <w:p w14:paraId="15C15C0C" w14:textId="77777777" w:rsidR="00911261" w:rsidRDefault="00911261" w:rsidP="00911261">
            <w:pPr>
              <w:pStyle w:val="VCAAtablecondensedheading"/>
              <w:rPr>
                <w:color w:val="F2F2F2" w:themeColor="background1" w:themeShade="F2"/>
              </w:rPr>
            </w:pPr>
            <w:r>
              <w:rPr>
                <w:color w:val="F2F2F2" w:themeColor="background1" w:themeShade="F2"/>
              </w:rPr>
              <w:t>4</w:t>
            </w:r>
          </w:p>
        </w:tc>
        <w:tc>
          <w:tcPr>
            <w:tcW w:w="547" w:type="dxa"/>
          </w:tcPr>
          <w:p w14:paraId="35F50490" w14:textId="77777777" w:rsidR="00911261" w:rsidRDefault="00911261" w:rsidP="00911261">
            <w:pPr>
              <w:pStyle w:val="VCAAtablecondensedheading"/>
              <w:rPr>
                <w:color w:val="F2F2F2" w:themeColor="background1" w:themeShade="F2"/>
              </w:rPr>
            </w:pPr>
            <w:r>
              <w:rPr>
                <w:color w:val="F2F2F2" w:themeColor="background1" w:themeShade="F2"/>
              </w:rPr>
              <w:t>5</w:t>
            </w:r>
          </w:p>
        </w:tc>
        <w:tc>
          <w:tcPr>
            <w:tcW w:w="547" w:type="dxa"/>
          </w:tcPr>
          <w:p w14:paraId="13BCD7BD" w14:textId="77777777" w:rsidR="00911261" w:rsidRDefault="00911261" w:rsidP="00911261">
            <w:pPr>
              <w:pStyle w:val="VCAAtablecondensedheading"/>
              <w:rPr>
                <w:color w:val="F2F2F2" w:themeColor="background1" w:themeShade="F2"/>
              </w:rPr>
            </w:pPr>
            <w:r>
              <w:rPr>
                <w:color w:val="F2F2F2" w:themeColor="background1" w:themeShade="F2"/>
              </w:rPr>
              <w:t>6</w:t>
            </w:r>
          </w:p>
        </w:tc>
        <w:tc>
          <w:tcPr>
            <w:tcW w:w="0" w:type="dxa"/>
          </w:tcPr>
          <w:p w14:paraId="4EAD35D1" w14:textId="77777777" w:rsidR="00911261" w:rsidRDefault="00911261" w:rsidP="00911261">
            <w:pPr>
              <w:pStyle w:val="VCAAtablecondensedheading"/>
              <w:rPr>
                <w:color w:val="F2F2F2" w:themeColor="background1" w:themeShade="F2"/>
              </w:rPr>
            </w:pPr>
            <w:r>
              <w:rPr>
                <w:color w:val="F2F2F2" w:themeColor="background1" w:themeShade="F2"/>
              </w:rPr>
              <w:t>Average</w:t>
            </w:r>
          </w:p>
        </w:tc>
      </w:tr>
      <w:tr w:rsidR="00911261" w:rsidRPr="0056257C" w14:paraId="011AC8FC" w14:textId="77777777" w:rsidTr="001717C0">
        <w:tc>
          <w:tcPr>
            <w:tcW w:w="923" w:type="dxa"/>
          </w:tcPr>
          <w:p w14:paraId="3941922E" w14:textId="77777777" w:rsidR="00911261" w:rsidRPr="00332089" w:rsidRDefault="00911261" w:rsidP="00911261">
            <w:pPr>
              <w:pStyle w:val="VCAAtablecondensed"/>
            </w:pPr>
            <w:r>
              <w:t>%</w:t>
            </w:r>
          </w:p>
        </w:tc>
        <w:tc>
          <w:tcPr>
            <w:tcW w:w="547" w:type="dxa"/>
          </w:tcPr>
          <w:p w14:paraId="2391B140" w14:textId="7B7A6434" w:rsidR="00911261" w:rsidRPr="00332089" w:rsidRDefault="003A6F6F" w:rsidP="00911261">
            <w:pPr>
              <w:pStyle w:val="VCAAtablecondensed"/>
            </w:pPr>
            <w:r>
              <w:t>1</w:t>
            </w:r>
          </w:p>
        </w:tc>
        <w:tc>
          <w:tcPr>
            <w:tcW w:w="547" w:type="dxa"/>
          </w:tcPr>
          <w:p w14:paraId="2749A31E" w14:textId="2163264A" w:rsidR="00911261" w:rsidRPr="00332089" w:rsidRDefault="003A6F6F" w:rsidP="00911261">
            <w:pPr>
              <w:pStyle w:val="VCAAtablecondensed"/>
            </w:pPr>
            <w:r>
              <w:t>6</w:t>
            </w:r>
          </w:p>
        </w:tc>
        <w:tc>
          <w:tcPr>
            <w:tcW w:w="547" w:type="dxa"/>
          </w:tcPr>
          <w:p w14:paraId="4F037896" w14:textId="73C0A10C" w:rsidR="00911261" w:rsidRDefault="003A6F6F" w:rsidP="00911261">
            <w:pPr>
              <w:pStyle w:val="VCAAtablecondensed"/>
            </w:pPr>
            <w:r>
              <w:t>15</w:t>
            </w:r>
          </w:p>
        </w:tc>
        <w:tc>
          <w:tcPr>
            <w:tcW w:w="547" w:type="dxa"/>
          </w:tcPr>
          <w:p w14:paraId="5335DF4B" w14:textId="3FEF4418" w:rsidR="00911261" w:rsidRDefault="003A6F6F" w:rsidP="00911261">
            <w:pPr>
              <w:pStyle w:val="VCAAtablecondensed"/>
            </w:pPr>
            <w:r>
              <w:t>34</w:t>
            </w:r>
          </w:p>
        </w:tc>
        <w:tc>
          <w:tcPr>
            <w:tcW w:w="547" w:type="dxa"/>
          </w:tcPr>
          <w:p w14:paraId="54C4210D" w14:textId="59141493" w:rsidR="00911261" w:rsidRDefault="003A6F6F" w:rsidP="00911261">
            <w:pPr>
              <w:pStyle w:val="VCAAtablecondensed"/>
            </w:pPr>
            <w:r>
              <w:t>26</w:t>
            </w:r>
          </w:p>
        </w:tc>
        <w:tc>
          <w:tcPr>
            <w:tcW w:w="547" w:type="dxa"/>
          </w:tcPr>
          <w:p w14:paraId="0334E3A4" w14:textId="72662CA8" w:rsidR="00911261" w:rsidRDefault="003A6F6F" w:rsidP="00911261">
            <w:pPr>
              <w:pStyle w:val="VCAAtablecondensed"/>
            </w:pPr>
            <w:r>
              <w:t>13</w:t>
            </w:r>
          </w:p>
        </w:tc>
        <w:tc>
          <w:tcPr>
            <w:tcW w:w="547" w:type="dxa"/>
          </w:tcPr>
          <w:p w14:paraId="1F0DBDFB" w14:textId="54CC2064" w:rsidR="00911261" w:rsidRPr="00332089" w:rsidRDefault="003A6F6F" w:rsidP="00911261">
            <w:pPr>
              <w:pStyle w:val="VCAAtablecondensed"/>
            </w:pPr>
            <w:r>
              <w:t>5</w:t>
            </w:r>
          </w:p>
        </w:tc>
        <w:tc>
          <w:tcPr>
            <w:tcW w:w="1080" w:type="dxa"/>
          </w:tcPr>
          <w:p w14:paraId="6D3E10E3" w14:textId="77777777" w:rsidR="00911261" w:rsidRPr="00332089" w:rsidRDefault="00911261" w:rsidP="001717C0">
            <w:pPr>
              <w:pStyle w:val="VCAAtablecondensed"/>
            </w:pPr>
            <w:r w:rsidRPr="003F6AD3">
              <w:t>3.4</w:t>
            </w:r>
          </w:p>
        </w:tc>
      </w:tr>
    </w:tbl>
    <w:p w14:paraId="457625C2" w14:textId="04318169" w:rsidR="004A2D46" w:rsidRDefault="00A53FFB" w:rsidP="00772D0D">
      <w:pPr>
        <w:pStyle w:val="VCAAbody"/>
        <w:rPr>
          <w:color w:val="1F497D"/>
        </w:rPr>
      </w:pPr>
      <w:r>
        <w:t>S</w:t>
      </w:r>
      <w:r w:rsidR="00911261">
        <w:t>tudents</w:t>
      </w:r>
      <w:r w:rsidR="00911261" w:rsidRPr="00A20DBC">
        <w:t xml:space="preserve"> were asked to write a research question on one of the issues dealt with in Questions 1 to 4</w:t>
      </w:r>
      <w:r w:rsidR="00FD3E11" w:rsidRPr="00FD3E11">
        <w:rPr>
          <w:lang w:val="en-AU"/>
        </w:rPr>
        <w:t xml:space="preserve"> </w:t>
      </w:r>
      <w:r w:rsidR="00FD3E11">
        <w:rPr>
          <w:lang w:val="en-AU"/>
        </w:rPr>
        <w:t>and indicate how good data might be collected to address it</w:t>
      </w:r>
      <w:r w:rsidR="00911261" w:rsidRPr="00A20DBC">
        <w:t xml:space="preserve">. </w:t>
      </w:r>
      <w:r w:rsidR="00FB135C">
        <w:t>T</w:t>
      </w:r>
      <w:r w:rsidR="00911261">
        <w:t>he range of responses covered questions that were considered</w:t>
      </w:r>
      <w:r w:rsidR="00911261" w:rsidRPr="00A20DBC">
        <w:t xml:space="preserve"> </w:t>
      </w:r>
      <w:r w:rsidR="00911261">
        <w:t>v</w:t>
      </w:r>
      <w:r w:rsidR="00911261" w:rsidRPr="00A20DBC">
        <w:t xml:space="preserve">ery impractical to </w:t>
      </w:r>
      <w:r w:rsidR="00911261">
        <w:t>i</w:t>
      </w:r>
      <w:r w:rsidR="00911261" w:rsidRPr="00A20DBC">
        <w:t>mpractical</w:t>
      </w:r>
      <w:r w:rsidR="00911261">
        <w:t>,</w:t>
      </w:r>
      <w:r w:rsidR="00911261" w:rsidRPr="00A20DBC">
        <w:t xml:space="preserve"> through </w:t>
      </w:r>
      <w:r w:rsidR="00911261">
        <w:t>to m</w:t>
      </w:r>
      <w:r w:rsidR="00911261" w:rsidRPr="00A20DBC">
        <w:t xml:space="preserve">anageable to </w:t>
      </w:r>
      <w:r w:rsidR="00911261">
        <w:t>e</w:t>
      </w:r>
      <w:r w:rsidR="00911261" w:rsidRPr="00A20DBC">
        <w:t>asily managed</w:t>
      </w:r>
      <w:r w:rsidR="00911261" w:rsidRPr="00332F33">
        <w:t>.</w:t>
      </w:r>
      <w:r w:rsidR="004A2D46" w:rsidRPr="00332F33">
        <w:t xml:space="preserve"> </w:t>
      </w:r>
      <w:r w:rsidR="004A2D46" w:rsidRPr="001717C0">
        <w:t>Students are encouraged to consider the significance of their potential research question, evaluate who potential stakeholders may be and link the wording of their proposed question to appropriate methods.</w:t>
      </w:r>
    </w:p>
    <w:p w14:paraId="223D5FA8" w14:textId="502FDE8E" w:rsidR="002C34E5" w:rsidRPr="00C666C9" w:rsidRDefault="00AC18F0" w:rsidP="00A04FDE">
      <w:pPr>
        <w:pStyle w:val="VCAAbody"/>
      </w:pPr>
      <w:r>
        <w:t>R</w:t>
      </w:r>
      <w:r w:rsidR="00911261" w:rsidRPr="00A20DBC">
        <w:t>esponses</w:t>
      </w:r>
      <w:r>
        <w:t xml:space="preserve"> that scored highly</w:t>
      </w:r>
      <w:r w:rsidR="00911261" w:rsidRPr="00A20DBC">
        <w:t xml:space="preserve"> were cle</w:t>
      </w:r>
      <w:r w:rsidR="00911261">
        <w:t>ar, substantial and</w:t>
      </w:r>
      <w:r w:rsidR="00911261" w:rsidRPr="00A20DBC">
        <w:t xml:space="preserve"> comprehensive. They envisaged manageable and productive questions and </w:t>
      </w:r>
      <w:r w:rsidR="00911261">
        <w:t>suitable methods</w:t>
      </w:r>
      <w:r w:rsidR="00911261" w:rsidRPr="00A20DBC">
        <w:t xml:space="preserve"> </w:t>
      </w:r>
      <w:r w:rsidR="00911261">
        <w:t>for</w:t>
      </w:r>
      <w:r w:rsidR="00911261" w:rsidRPr="00A20DBC">
        <w:t xml:space="preserve"> answering them. </w:t>
      </w:r>
      <w:r w:rsidR="002C34E5">
        <w:t xml:space="preserve">Responses that did not score well </w:t>
      </w:r>
      <w:r w:rsidR="002C34E5" w:rsidRPr="00C666C9">
        <w:t>suppli</w:t>
      </w:r>
      <w:r w:rsidR="002C34E5">
        <w:t>ed</w:t>
      </w:r>
      <w:r w:rsidR="002C34E5" w:rsidRPr="00C666C9">
        <w:t xml:space="preserve"> formulaic and </w:t>
      </w:r>
      <w:proofErr w:type="spellStart"/>
      <w:r w:rsidR="002C34E5" w:rsidRPr="00C666C9">
        <w:t>generalised</w:t>
      </w:r>
      <w:proofErr w:type="spellEnd"/>
      <w:r w:rsidR="002C34E5" w:rsidRPr="00C666C9">
        <w:t xml:space="preserve"> comments about the chosen methods that did not address the specific circumstances of the</w:t>
      </w:r>
      <w:r w:rsidR="002C34E5">
        <w:t xml:space="preserve"> </w:t>
      </w:r>
      <w:r w:rsidR="002C34E5" w:rsidRPr="00C666C9">
        <w:t>intended research. Some of the questions were unanswerable and simply listed a variety of data collection methods without consideration of their practicability.</w:t>
      </w:r>
    </w:p>
    <w:p w14:paraId="56FBE9C5" w14:textId="1C12C268" w:rsidR="00911261" w:rsidRPr="00A20DBC" w:rsidRDefault="007026B6" w:rsidP="00911261">
      <w:pPr>
        <w:pStyle w:val="VCAAbody"/>
      </w:pPr>
      <w:r>
        <w:t>I</w:t>
      </w:r>
      <w:r w:rsidR="00911261" w:rsidRPr="00A20DBC">
        <w:t xml:space="preserve">t is possible for a </w:t>
      </w:r>
      <w:r w:rsidR="00911261">
        <w:t>student</w:t>
      </w:r>
      <w:r w:rsidR="00911261" w:rsidRPr="00A20DBC">
        <w:t xml:space="preserve"> to score </w:t>
      </w:r>
      <w:r w:rsidR="00911261">
        <w:t>highly</w:t>
      </w:r>
      <w:r w:rsidR="00911261" w:rsidRPr="00A20DBC">
        <w:t xml:space="preserve"> with a clearly or precisely phrased question that could be answered well, but</w:t>
      </w:r>
      <w:r w:rsidR="00911261">
        <w:t xml:space="preserve"> if</w:t>
      </w:r>
      <w:r w:rsidR="00911261" w:rsidRPr="00A20DBC">
        <w:t xml:space="preserve"> the </w:t>
      </w:r>
      <w:r w:rsidR="00911261">
        <w:t>student</w:t>
      </w:r>
      <w:r w:rsidR="00911261" w:rsidRPr="00A20DBC">
        <w:t xml:space="preserve"> </w:t>
      </w:r>
      <w:r w:rsidR="00911261">
        <w:t>does not envisage a realistic</w:t>
      </w:r>
      <w:r w:rsidR="00911261" w:rsidRPr="00A20DBC">
        <w:t xml:space="preserve"> way of answering the question</w:t>
      </w:r>
      <w:r w:rsidR="0090427B">
        <w:t>,</w:t>
      </w:r>
      <w:r w:rsidR="00911261">
        <w:t xml:space="preserve"> they will</w:t>
      </w:r>
      <w:r w:rsidR="00911261" w:rsidRPr="00A20DBC">
        <w:t xml:space="preserve"> not</w:t>
      </w:r>
      <w:r w:rsidR="00911261">
        <w:t xml:space="preserve"> be able to</w:t>
      </w:r>
      <w:r w:rsidR="00911261" w:rsidRPr="00A20DBC">
        <w:t xml:space="preserve"> score highly overall. On the other hand, a simple and obvious question could score highly when a</w:t>
      </w:r>
      <w:r w:rsidR="00911261">
        <w:t xml:space="preserve">n appropriate </w:t>
      </w:r>
      <w:r w:rsidR="00911261" w:rsidRPr="00A20DBC">
        <w:t>way of answering it is envisaged.</w:t>
      </w:r>
    </w:p>
    <w:p w14:paraId="1944218E" w14:textId="331D98F2" w:rsidR="00911261" w:rsidRPr="00A20DBC" w:rsidRDefault="00911261" w:rsidP="00911261">
      <w:pPr>
        <w:pStyle w:val="VCAAbody"/>
      </w:pPr>
      <w:r w:rsidRPr="00A20DBC">
        <w:t xml:space="preserve">Some questions and answers offered by </w:t>
      </w:r>
      <w:r>
        <w:t>students</w:t>
      </w:r>
      <w:r w:rsidRPr="00A20DBC">
        <w:t xml:space="preserve"> </w:t>
      </w:r>
      <w:r>
        <w:t>were devised within the scope of the Extended Investigation</w:t>
      </w:r>
      <w:r w:rsidR="00FB135C">
        <w:t xml:space="preserve"> (</w:t>
      </w:r>
      <w:r>
        <w:t>with a limited timeframe</w:t>
      </w:r>
      <w:r w:rsidR="00FB135C">
        <w:t>)</w:t>
      </w:r>
      <w:r>
        <w:t xml:space="preserve"> whil</w:t>
      </w:r>
      <w:r w:rsidR="00915EA0">
        <w:t>e</w:t>
      </w:r>
      <w:r>
        <w:t xml:space="preserve"> others were conceived as more hypothetical within a broader academic setting. It may be helpful for stude</w:t>
      </w:r>
      <w:r w:rsidR="00BD61B3">
        <w:t>nts to identify the situation for</w:t>
      </w:r>
      <w:r>
        <w:t xml:space="preserve"> which their </w:t>
      </w:r>
      <w:r w:rsidR="00BD61B3">
        <w:t>research question is best suited as this would justify their choice of methods in a clear and explicit way.</w:t>
      </w:r>
      <w:r>
        <w:t xml:space="preserve"> </w:t>
      </w:r>
    </w:p>
    <w:p w14:paraId="7CD794A4" w14:textId="5779C075" w:rsidR="00BD61B3" w:rsidRDefault="0008480B" w:rsidP="00911261">
      <w:pPr>
        <w:pStyle w:val="VCAAbody"/>
      </w:pPr>
      <w:r>
        <w:t>T</w:t>
      </w:r>
      <w:r w:rsidR="00BD61B3">
        <w:t xml:space="preserve">he following </w:t>
      </w:r>
      <w:r w:rsidR="00246EFD">
        <w:t xml:space="preserve">example of a high-scoring </w:t>
      </w:r>
      <w:r w:rsidR="00BD61B3">
        <w:t>response</w:t>
      </w:r>
      <w:r w:rsidR="00CB5B8B">
        <w:t xml:space="preserve"> </w:t>
      </w:r>
      <w:r w:rsidR="00BD61B3">
        <w:t>identifie</w:t>
      </w:r>
      <w:r>
        <w:t>s</w:t>
      </w:r>
      <w:r w:rsidR="00BD61B3">
        <w:t xml:space="preserve"> several ways in which the</w:t>
      </w:r>
      <w:r>
        <w:t xml:space="preserve"> </w:t>
      </w:r>
      <w:r w:rsidR="00BD61B3">
        <w:t>question could be addressed and practical issues that would help in finding an answer to the question.</w:t>
      </w:r>
    </w:p>
    <w:p w14:paraId="39304A71" w14:textId="1395995A" w:rsidR="00BD61B3" w:rsidRPr="00DF3D0E" w:rsidRDefault="00BD61B3" w:rsidP="00DF3D0E">
      <w:pPr>
        <w:pStyle w:val="VCAAstudentresponse"/>
      </w:pPr>
      <w:r w:rsidRPr="00DF3D0E">
        <w:t xml:space="preserve">A good research question to explore issue D would be "does access to the internet increase the academic performance of Victorian school-aged children?". The scope, population and variables </w:t>
      </w:r>
      <w:proofErr w:type="gramStart"/>
      <w:r w:rsidRPr="00DF3D0E">
        <w:t>makes</w:t>
      </w:r>
      <w:proofErr w:type="gramEnd"/>
      <w:r w:rsidRPr="00DF3D0E">
        <w:t xml:space="preserve"> for the collection of good data in order to answer this research question. The scope of only addressing </w:t>
      </w:r>
      <w:r w:rsidR="00C75CF3">
        <w:t>V</w:t>
      </w:r>
      <w:r w:rsidRPr="00DF3D0E">
        <w:t xml:space="preserve">ictorian, school age children </w:t>
      </w:r>
      <w:proofErr w:type="gramStart"/>
      <w:r w:rsidRPr="00DF3D0E">
        <w:t>makes</w:t>
      </w:r>
      <w:proofErr w:type="gramEnd"/>
      <w:r w:rsidRPr="00DF3D0E">
        <w:t xml:space="preserve"> for the easily determined selection of a population which could consist of strat</w:t>
      </w:r>
      <w:r w:rsidR="00C75CF3">
        <w:t>e</w:t>
      </w:r>
      <w:r w:rsidRPr="00DF3D0E">
        <w:t>gically sampled students from around Victoria. Students could be proportiona</w:t>
      </w:r>
      <w:r w:rsidR="00C75CF3">
        <w:t>l</w:t>
      </w:r>
      <w:r w:rsidRPr="00DF3D0E">
        <w:t>ly chosen in relation to the number of students in each year level. The group could then be divided into "low-income households" and "</w:t>
      </w:r>
      <w:proofErr w:type="gramStart"/>
      <w:r w:rsidRPr="00DF3D0E">
        <w:t>non low-income</w:t>
      </w:r>
      <w:proofErr w:type="gramEnd"/>
      <w:r w:rsidRPr="00DF3D0E">
        <w:t xml:space="preserve"> households". This information would be easily rec</w:t>
      </w:r>
      <w:r w:rsidR="00C75CF3">
        <w:t>ei</w:t>
      </w:r>
      <w:r w:rsidRPr="00DF3D0E">
        <w:t>ved as it is lik</w:t>
      </w:r>
      <w:r w:rsidR="00C75CF3">
        <w:t>el</w:t>
      </w:r>
      <w:r w:rsidRPr="00DF3D0E">
        <w:t xml:space="preserve">y already know by the school due to </w:t>
      </w:r>
      <w:r w:rsidR="00C75CF3">
        <w:t>M</w:t>
      </w:r>
      <w:r w:rsidRPr="00DF3D0E">
        <w:t xml:space="preserve">edicare arrangements </w:t>
      </w:r>
      <w:r w:rsidR="00C75CF3">
        <w:t>etc</w:t>
      </w:r>
      <w:r w:rsidRPr="00DF3D0E">
        <w:t xml:space="preserve">. The </w:t>
      </w:r>
      <w:proofErr w:type="spellStart"/>
      <w:r w:rsidRPr="00DF3D0E">
        <w:t>Independant</w:t>
      </w:r>
      <w:proofErr w:type="spellEnd"/>
      <w:r w:rsidRPr="00DF3D0E">
        <w:t xml:space="preserve"> variable would be the presence or absence of internet in 50% of the students in each of the two groups. The depend</w:t>
      </w:r>
      <w:r w:rsidR="00C75CF3">
        <w:t>e</w:t>
      </w:r>
      <w:r w:rsidRPr="00DF3D0E">
        <w:t>nt variable would be the academic growth measured from a</w:t>
      </w:r>
      <w:r w:rsidR="00C75CF3">
        <w:t>n</w:t>
      </w:r>
      <w:r w:rsidRPr="00DF3D0E">
        <w:t xml:space="preserve"> a</w:t>
      </w:r>
      <w:r w:rsidR="00C75CF3">
        <w:t>c</w:t>
      </w:r>
      <w:r w:rsidRPr="00DF3D0E">
        <w:t xml:space="preserve">ademic test taken before and after the </w:t>
      </w:r>
      <w:r w:rsidR="00C75CF3">
        <w:t>period</w:t>
      </w:r>
      <w:r w:rsidR="00C75CF3" w:rsidRPr="00DF3D0E">
        <w:t xml:space="preserve"> </w:t>
      </w:r>
      <w:r w:rsidRPr="00DF3D0E">
        <w:t>of learning with/without internet. The results could then be compared to see which group showed the most growth. An extraneous variable that must be considered is the quality of education provided through the online methods, such as child</w:t>
      </w:r>
      <w:r w:rsidR="00C75CF3">
        <w:t>r</w:t>
      </w:r>
      <w:r w:rsidRPr="00DF3D0E">
        <w:t>en who go to public as opposed to private schools.</w:t>
      </w:r>
    </w:p>
    <w:p w14:paraId="0586CB30" w14:textId="74D91E4B" w:rsidR="00BD61B3" w:rsidRDefault="00BD61B3" w:rsidP="00BF001F">
      <w:pPr>
        <w:pStyle w:val="VCAAHeading3"/>
      </w:pPr>
      <w:r w:rsidRPr="00772D0D">
        <w:lastRenderedPageBreak/>
        <w:t>Questions</w:t>
      </w:r>
      <w:r>
        <w:t xml:space="preserve"> 6 </w:t>
      </w:r>
      <w:r w:rsidR="00AF0391">
        <w:t>and</w:t>
      </w:r>
      <w:r>
        <w:t xml:space="preserve"> 7</w:t>
      </w:r>
    </w:p>
    <w:tbl>
      <w:tblPr>
        <w:tblStyle w:val="VCAATableClosed"/>
        <w:tblW w:w="0" w:type="auto"/>
        <w:tblLayout w:type="fixed"/>
        <w:tblLook w:val="04A0" w:firstRow="1" w:lastRow="0" w:firstColumn="1" w:lastColumn="0" w:noHBand="0" w:noVBand="1"/>
        <w:tblCaption w:val="Table one"/>
        <w:tblDescription w:val="VCAA closed table style"/>
      </w:tblPr>
      <w:tblGrid>
        <w:gridCol w:w="1315"/>
        <w:gridCol w:w="547"/>
        <w:gridCol w:w="547"/>
        <w:gridCol w:w="547"/>
        <w:gridCol w:w="547"/>
        <w:gridCol w:w="1227"/>
      </w:tblGrid>
      <w:tr w:rsidR="00DE7977" w:rsidRPr="00B13D3B" w14:paraId="1A2E2957" w14:textId="77777777" w:rsidTr="001717C0">
        <w:trPr>
          <w:cnfStyle w:val="100000000000" w:firstRow="1" w:lastRow="0" w:firstColumn="0" w:lastColumn="0" w:oddVBand="0" w:evenVBand="0" w:oddHBand="0" w:evenHBand="0" w:firstRowFirstColumn="0" w:firstRowLastColumn="0" w:lastRowFirstColumn="0" w:lastRowLastColumn="0"/>
        </w:trPr>
        <w:tc>
          <w:tcPr>
            <w:tcW w:w="1315" w:type="dxa"/>
          </w:tcPr>
          <w:p w14:paraId="05B951BB" w14:textId="416E8AE1" w:rsidR="00BD61B3" w:rsidRPr="00DE7977" w:rsidRDefault="00BD61B3" w:rsidP="00DE7977">
            <w:pPr>
              <w:pStyle w:val="VCAAtablecondensedheading"/>
              <w:rPr>
                <w:color w:val="F2F2F2" w:themeColor="background1" w:themeShade="F2"/>
              </w:rPr>
            </w:pPr>
            <w:r w:rsidRPr="00DE7977">
              <w:rPr>
                <w:color w:val="F2F2F2" w:themeColor="background1" w:themeShade="F2"/>
              </w:rPr>
              <w:t xml:space="preserve">Marks </w:t>
            </w:r>
            <w:r w:rsidR="00FD0F57">
              <w:rPr>
                <w:color w:val="F2F2F2" w:themeColor="background1" w:themeShade="F2"/>
              </w:rPr>
              <w:t xml:space="preserve">– Question </w:t>
            </w:r>
            <w:r w:rsidR="0084417D" w:rsidRPr="00DE7977">
              <w:rPr>
                <w:color w:val="F2F2F2" w:themeColor="background1" w:themeShade="F2"/>
              </w:rPr>
              <w:t>6</w:t>
            </w:r>
          </w:p>
        </w:tc>
        <w:tc>
          <w:tcPr>
            <w:tcW w:w="547" w:type="dxa"/>
          </w:tcPr>
          <w:p w14:paraId="31811B19" w14:textId="77777777" w:rsidR="00BD61B3" w:rsidRPr="00DE7977" w:rsidRDefault="00BD61B3" w:rsidP="00DE7977">
            <w:pPr>
              <w:pStyle w:val="VCAAtablecondensedheading"/>
              <w:rPr>
                <w:color w:val="F2F2F2" w:themeColor="background1" w:themeShade="F2"/>
              </w:rPr>
            </w:pPr>
            <w:r w:rsidRPr="00DE7977">
              <w:rPr>
                <w:color w:val="F2F2F2" w:themeColor="background1" w:themeShade="F2"/>
              </w:rPr>
              <w:t>0</w:t>
            </w:r>
          </w:p>
        </w:tc>
        <w:tc>
          <w:tcPr>
            <w:tcW w:w="547" w:type="dxa"/>
          </w:tcPr>
          <w:p w14:paraId="40F94F58" w14:textId="77777777" w:rsidR="00BD61B3" w:rsidRPr="00DE7977" w:rsidRDefault="00BD61B3" w:rsidP="00DE7977">
            <w:pPr>
              <w:pStyle w:val="VCAAtablecondensedheading"/>
              <w:rPr>
                <w:color w:val="F2F2F2" w:themeColor="background1" w:themeShade="F2"/>
              </w:rPr>
            </w:pPr>
            <w:r w:rsidRPr="00DE7977">
              <w:rPr>
                <w:color w:val="F2F2F2" w:themeColor="background1" w:themeShade="F2"/>
              </w:rPr>
              <w:t>1</w:t>
            </w:r>
          </w:p>
        </w:tc>
        <w:tc>
          <w:tcPr>
            <w:tcW w:w="547" w:type="dxa"/>
          </w:tcPr>
          <w:p w14:paraId="3765C4D3" w14:textId="77777777" w:rsidR="00BD61B3" w:rsidRPr="00DE7977" w:rsidRDefault="00BD61B3" w:rsidP="00DE7977">
            <w:pPr>
              <w:pStyle w:val="VCAAtablecondensedheading"/>
              <w:rPr>
                <w:color w:val="F2F2F2" w:themeColor="background1" w:themeShade="F2"/>
              </w:rPr>
            </w:pPr>
            <w:r w:rsidRPr="00DE7977">
              <w:rPr>
                <w:color w:val="F2F2F2" w:themeColor="background1" w:themeShade="F2"/>
              </w:rPr>
              <w:t>2</w:t>
            </w:r>
          </w:p>
        </w:tc>
        <w:tc>
          <w:tcPr>
            <w:tcW w:w="547" w:type="dxa"/>
          </w:tcPr>
          <w:p w14:paraId="563CB508" w14:textId="77777777" w:rsidR="00BD61B3" w:rsidRPr="00DE7977" w:rsidRDefault="00BD61B3" w:rsidP="00DE7977">
            <w:pPr>
              <w:pStyle w:val="VCAAtablecondensedheading"/>
              <w:rPr>
                <w:color w:val="F2F2F2" w:themeColor="background1" w:themeShade="F2"/>
              </w:rPr>
            </w:pPr>
            <w:r w:rsidRPr="00DE7977">
              <w:rPr>
                <w:color w:val="F2F2F2" w:themeColor="background1" w:themeShade="F2"/>
              </w:rPr>
              <w:t>3</w:t>
            </w:r>
          </w:p>
        </w:tc>
        <w:tc>
          <w:tcPr>
            <w:tcW w:w="1227" w:type="dxa"/>
          </w:tcPr>
          <w:p w14:paraId="71F9E0B3" w14:textId="77777777" w:rsidR="00BD61B3" w:rsidRPr="00DE7977" w:rsidRDefault="00BD61B3" w:rsidP="00DE7977">
            <w:pPr>
              <w:pStyle w:val="VCAAtablecondensedheading"/>
              <w:rPr>
                <w:color w:val="F2F2F2" w:themeColor="background1" w:themeShade="F2"/>
              </w:rPr>
            </w:pPr>
            <w:r w:rsidRPr="00DE7977">
              <w:rPr>
                <w:color w:val="F2F2F2" w:themeColor="background1" w:themeShade="F2"/>
              </w:rPr>
              <w:t>Average</w:t>
            </w:r>
          </w:p>
        </w:tc>
      </w:tr>
      <w:tr w:rsidR="00BD61B3" w:rsidRPr="0056257C" w14:paraId="264ADB4A" w14:textId="77777777" w:rsidTr="001717C0">
        <w:tc>
          <w:tcPr>
            <w:tcW w:w="1315" w:type="dxa"/>
          </w:tcPr>
          <w:p w14:paraId="77F4C140" w14:textId="77777777" w:rsidR="00BD61B3" w:rsidRPr="00DE7977" w:rsidRDefault="00BD61B3" w:rsidP="00DE7977">
            <w:pPr>
              <w:pStyle w:val="VCAAtablecondensed"/>
            </w:pPr>
            <w:r w:rsidRPr="00DE7977">
              <w:t>%</w:t>
            </w:r>
          </w:p>
        </w:tc>
        <w:tc>
          <w:tcPr>
            <w:tcW w:w="547" w:type="dxa"/>
          </w:tcPr>
          <w:p w14:paraId="03A69B81" w14:textId="76667A03" w:rsidR="00BD61B3" w:rsidRPr="00DE7977" w:rsidRDefault="00BD61B3" w:rsidP="00DE7977">
            <w:pPr>
              <w:pStyle w:val="VCAAtablecondensed"/>
            </w:pPr>
            <w:r w:rsidRPr="00DE7977">
              <w:t>4</w:t>
            </w:r>
          </w:p>
        </w:tc>
        <w:tc>
          <w:tcPr>
            <w:tcW w:w="547" w:type="dxa"/>
          </w:tcPr>
          <w:p w14:paraId="29A86308" w14:textId="5463B0E9" w:rsidR="00BD61B3" w:rsidRPr="00DE7977" w:rsidRDefault="00BD61B3" w:rsidP="00DE7977">
            <w:pPr>
              <w:pStyle w:val="VCAAtablecondensed"/>
            </w:pPr>
            <w:r w:rsidRPr="00DE7977">
              <w:t>28</w:t>
            </w:r>
          </w:p>
        </w:tc>
        <w:tc>
          <w:tcPr>
            <w:tcW w:w="547" w:type="dxa"/>
          </w:tcPr>
          <w:p w14:paraId="3BEBE21A" w14:textId="0F86C32C" w:rsidR="00BD61B3" w:rsidRPr="00DE7977" w:rsidRDefault="00BD61B3" w:rsidP="00DE7977">
            <w:pPr>
              <w:pStyle w:val="VCAAtablecondensed"/>
            </w:pPr>
            <w:r w:rsidRPr="00DE7977">
              <w:t>4</w:t>
            </w:r>
            <w:r w:rsidR="00145E4D">
              <w:t>9</w:t>
            </w:r>
          </w:p>
        </w:tc>
        <w:tc>
          <w:tcPr>
            <w:tcW w:w="547" w:type="dxa"/>
          </w:tcPr>
          <w:p w14:paraId="634DE220" w14:textId="3FFA315F" w:rsidR="00BD61B3" w:rsidRPr="00DE7977" w:rsidRDefault="00BD61B3" w:rsidP="00DE7977">
            <w:pPr>
              <w:pStyle w:val="VCAAtablecondensed"/>
            </w:pPr>
            <w:r w:rsidRPr="00DE7977">
              <w:t>1</w:t>
            </w:r>
            <w:r w:rsidR="00145E4D">
              <w:t>9</w:t>
            </w:r>
          </w:p>
        </w:tc>
        <w:tc>
          <w:tcPr>
            <w:tcW w:w="1227" w:type="dxa"/>
          </w:tcPr>
          <w:p w14:paraId="3DE8C7EE" w14:textId="7C44E0CD" w:rsidR="00BD61B3" w:rsidRPr="00DE7977" w:rsidRDefault="00BD61B3" w:rsidP="001717C0">
            <w:pPr>
              <w:pStyle w:val="VCAAtablecondensed"/>
            </w:pPr>
            <w:r w:rsidRPr="00DE7977">
              <w:t>1.8</w:t>
            </w:r>
          </w:p>
        </w:tc>
      </w:tr>
    </w:tbl>
    <w:p w14:paraId="0D148954" w14:textId="77777777" w:rsidR="00BD61B3" w:rsidRPr="00BD61B3" w:rsidRDefault="00BD61B3" w:rsidP="00BD61B3">
      <w:pPr>
        <w:pStyle w:val="VCAAbody"/>
      </w:pPr>
    </w:p>
    <w:tbl>
      <w:tblPr>
        <w:tblStyle w:val="VCAATableClosed"/>
        <w:tblW w:w="0" w:type="auto"/>
        <w:tblLayout w:type="fixed"/>
        <w:tblLook w:val="04A0" w:firstRow="1" w:lastRow="0" w:firstColumn="1" w:lastColumn="0" w:noHBand="0" w:noVBand="1"/>
        <w:tblCaption w:val="Table one"/>
        <w:tblDescription w:val="VCAA closed table style"/>
      </w:tblPr>
      <w:tblGrid>
        <w:gridCol w:w="1368"/>
        <w:gridCol w:w="547"/>
        <w:gridCol w:w="547"/>
        <w:gridCol w:w="547"/>
        <w:gridCol w:w="547"/>
        <w:gridCol w:w="1274"/>
      </w:tblGrid>
      <w:tr w:rsidR="00DE7977" w:rsidRPr="00B13D3B" w14:paraId="14C5B1CE" w14:textId="77777777" w:rsidTr="001717C0">
        <w:trPr>
          <w:cnfStyle w:val="100000000000" w:firstRow="1" w:lastRow="0" w:firstColumn="0" w:lastColumn="0" w:oddVBand="0" w:evenVBand="0" w:oddHBand="0" w:evenHBand="0" w:firstRowFirstColumn="0" w:firstRowLastColumn="0" w:lastRowFirstColumn="0" w:lastRowLastColumn="0"/>
        </w:trPr>
        <w:tc>
          <w:tcPr>
            <w:tcW w:w="1368" w:type="dxa"/>
          </w:tcPr>
          <w:p w14:paraId="4033CD89" w14:textId="784A01FB" w:rsidR="00240BD2" w:rsidRPr="00AF3F1C" w:rsidRDefault="00240BD2" w:rsidP="00240BD2">
            <w:pPr>
              <w:pStyle w:val="VCAAtablecondensedheading"/>
              <w:rPr>
                <w:color w:val="F2F2F2" w:themeColor="background1" w:themeShade="F2"/>
              </w:rPr>
            </w:pPr>
            <w:r>
              <w:rPr>
                <w:color w:val="F2F2F2" w:themeColor="background1" w:themeShade="F2"/>
              </w:rPr>
              <w:t>Marks</w:t>
            </w:r>
            <w:r w:rsidR="00FD0F57">
              <w:rPr>
                <w:color w:val="F2F2F2" w:themeColor="background1" w:themeShade="F2"/>
              </w:rPr>
              <w:t xml:space="preserve"> – Question</w:t>
            </w:r>
            <w:r w:rsidRPr="00AF3F1C">
              <w:rPr>
                <w:color w:val="F2F2F2" w:themeColor="background1" w:themeShade="F2"/>
              </w:rPr>
              <w:t xml:space="preserve"> </w:t>
            </w:r>
            <w:r w:rsidR="0084417D">
              <w:rPr>
                <w:color w:val="F2F2F2" w:themeColor="background1" w:themeShade="F2"/>
              </w:rPr>
              <w:t>7</w:t>
            </w:r>
          </w:p>
        </w:tc>
        <w:tc>
          <w:tcPr>
            <w:tcW w:w="547" w:type="dxa"/>
          </w:tcPr>
          <w:p w14:paraId="1E60C8EE" w14:textId="77777777" w:rsidR="00240BD2" w:rsidRDefault="00240BD2" w:rsidP="00240BD2">
            <w:pPr>
              <w:pStyle w:val="VCAAtablecondensedheading"/>
              <w:rPr>
                <w:color w:val="F2F2F2" w:themeColor="background1" w:themeShade="F2"/>
              </w:rPr>
            </w:pPr>
            <w:r>
              <w:rPr>
                <w:color w:val="F2F2F2" w:themeColor="background1" w:themeShade="F2"/>
              </w:rPr>
              <w:t>0</w:t>
            </w:r>
          </w:p>
        </w:tc>
        <w:tc>
          <w:tcPr>
            <w:tcW w:w="547" w:type="dxa"/>
          </w:tcPr>
          <w:p w14:paraId="020902DE" w14:textId="77777777" w:rsidR="00240BD2" w:rsidRDefault="00240BD2" w:rsidP="00240BD2">
            <w:pPr>
              <w:pStyle w:val="VCAAtablecondensedheading"/>
              <w:rPr>
                <w:color w:val="F2F2F2" w:themeColor="background1" w:themeShade="F2"/>
              </w:rPr>
            </w:pPr>
            <w:r>
              <w:rPr>
                <w:color w:val="F2F2F2" w:themeColor="background1" w:themeShade="F2"/>
              </w:rPr>
              <w:t>1</w:t>
            </w:r>
          </w:p>
        </w:tc>
        <w:tc>
          <w:tcPr>
            <w:tcW w:w="547" w:type="dxa"/>
          </w:tcPr>
          <w:p w14:paraId="2EBFBF2A" w14:textId="77777777" w:rsidR="00240BD2" w:rsidRDefault="00240BD2" w:rsidP="00240BD2">
            <w:pPr>
              <w:pStyle w:val="VCAAtablecondensedheading"/>
              <w:rPr>
                <w:color w:val="F2F2F2" w:themeColor="background1" w:themeShade="F2"/>
              </w:rPr>
            </w:pPr>
            <w:r>
              <w:rPr>
                <w:color w:val="F2F2F2" w:themeColor="background1" w:themeShade="F2"/>
              </w:rPr>
              <w:t>2</w:t>
            </w:r>
          </w:p>
        </w:tc>
        <w:tc>
          <w:tcPr>
            <w:tcW w:w="547" w:type="dxa"/>
          </w:tcPr>
          <w:p w14:paraId="0D1570CD" w14:textId="77777777" w:rsidR="00240BD2" w:rsidRDefault="00240BD2" w:rsidP="00240BD2">
            <w:pPr>
              <w:pStyle w:val="VCAAtablecondensedheading"/>
              <w:rPr>
                <w:color w:val="F2F2F2" w:themeColor="background1" w:themeShade="F2"/>
              </w:rPr>
            </w:pPr>
            <w:r>
              <w:rPr>
                <w:color w:val="F2F2F2" w:themeColor="background1" w:themeShade="F2"/>
              </w:rPr>
              <w:t>3</w:t>
            </w:r>
          </w:p>
        </w:tc>
        <w:tc>
          <w:tcPr>
            <w:tcW w:w="1274" w:type="dxa"/>
          </w:tcPr>
          <w:p w14:paraId="0A9517FB" w14:textId="77777777" w:rsidR="00240BD2" w:rsidRDefault="00240BD2" w:rsidP="00240BD2">
            <w:pPr>
              <w:pStyle w:val="VCAAtablecondensedheading"/>
              <w:rPr>
                <w:color w:val="F2F2F2" w:themeColor="background1" w:themeShade="F2"/>
              </w:rPr>
            </w:pPr>
            <w:r>
              <w:rPr>
                <w:color w:val="F2F2F2" w:themeColor="background1" w:themeShade="F2"/>
              </w:rPr>
              <w:t>Average</w:t>
            </w:r>
          </w:p>
        </w:tc>
      </w:tr>
      <w:tr w:rsidR="00240BD2" w:rsidRPr="0056257C" w14:paraId="0546A456" w14:textId="77777777" w:rsidTr="001717C0">
        <w:tc>
          <w:tcPr>
            <w:tcW w:w="1368" w:type="dxa"/>
          </w:tcPr>
          <w:p w14:paraId="7F42F975" w14:textId="77777777" w:rsidR="00240BD2" w:rsidRPr="00332089" w:rsidRDefault="00240BD2" w:rsidP="00240BD2">
            <w:pPr>
              <w:pStyle w:val="VCAAtablecondensed"/>
            </w:pPr>
            <w:r>
              <w:t>%</w:t>
            </w:r>
          </w:p>
        </w:tc>
        <w:tc>
          <w:tcPr>
            <w:tcW w:w="547" w:type="dxa"/>
          </w:tcPr>
          <w:p w14:paraId="47690499" w14:textId="591A8339" w:rsidR="00240BD2" w:rsidRPr="00332089" w:rsidRDefault="00145E4D" w:rsidP="00240BD2">
            <w:pPr>
              <w:pStyle w:val="VCAAtablecondensed"/>
            </w:pPr>
            <w:r>
              <w:t>4</w:t>
            </w:r>
          </w:p>
        </w:tc>
        <w:tc>
          <w:tcPr>
            <w:tcW w:w="547" w:type="dxa"/>
          </w:tcPr>
          <w:p w14:paraId="22E24E9B" w14:textId="69290EE0" w:rsidR="00240BD2" w:rsidRDefault="00240BD2" w:rsidP="00240BD2">
            <w:pPr>
              <w:pStyle w:val="VCAAtablecondensed"/>
            </w:pPr>
            <w:r w:rsidRPr="0056257C">
              <w:t>34</w:t>
            </w:r>
          </w:p>
        </w:tc>
        <w:tc>
          <w:tcPr>
            <w:tcW w:w="547" w:type="dxa"/>
          </w:tcPr>
          <w:p w14:paraId="5EEE4ECC" w14:textId="672C9A2A" w:rsidR="00240BD2" w:rsidRDefault="00240BD2" w:rsidP="00240BD2">
            <w:pPr>
              <w:pStyle w:val="VCAAtablecondensed"/>
            </w:pPr>
            <w:r w:rsidRPr="0056257C">
              <w:t>44</w:t>
            </w:r>
          </w:p>
        </w:tc>
        <w:tc>
          <w:tcPr>
            <w:tcW w:w="547" w:type="dxa"/>
          </w:tcPr>
          <w:p w14:paraId="7751D4AD" w14:textId="35232196" w:rsidR="00240BD2" w:rsidRDefault="00240BD2" w:rsidP="00240BD2">
            <w:pPr>
              <w:pStyle w:val="VCAAtablecondensed"/>
            </w:pPr>
            <w:r w:rsidRPr="0056257C">
              <w:t>1</w:t>
            </w:r>
            <w:r w:rsidR="00145E4D">
              <w:t>8</w:t>
            </w:r>
          </w:p>
        </w:tc>
        <w:tc>
          <w:tcPr>
            <w:tcW w:w="1274" w:type="dxa"/>
          </w:tcPr>
          <w:p w14:paraId="1958F89F" w14:textId="1FCC59A7" w:rsidR="00240BD2" w:rsidRPr="00332089" w:rsidRDefault="00240BD2" w:rsidP="001717C0">
            <w:pPr>
              <w:pStyle w:val="VCAAtablecondensed"/>
            </w:pPr>
            <w:r w:rsidRPr="003F6AD3">
              <w:t>1.</w:t>
            </w:r>
            <w:r w:rsidR="00145E4D">
              <w:t>8</w:t>
            </w:r>
          </w:p>
        </w:tc>
      </w:tr>
    </w:tbl>
    <w:p w14:paraId="0ECFBA32" w14:textId="6D28DAD3" w:rsidR="00B74252" w:rsidRPr="003A198E" w:rsidRDefault="00240BD2" w:rsidP="001717C0">
      <w:pPr>
        <w:pStyle w:val="VCAAbody"/>
      </w:pPr>
      <w:r w:rsidRPr="003A198E">
        <w:t xml:space="preserve">These two questions involved analysis and assessment of research questions and envisaging how a research question might be answered. </w:t>
      </w:r>
      <w:r w:rsidR="0051383F" w:rsidRPr="003A198E">
        <w:t>They</w:t>
      </w:r>
      <w:r w:rsidRPr="003A198E">
        <w:t xml:space="preserve"> are designed to assess what students have learned from their own Extended Investigation and how the</w:t>
      </w:r>
      <w:r w:rsidR="0051383F" w:rsidRPr="003A198E">
        <w:t>y</w:t>
      </w:r>
      <w:r w:rsidRPr="003A198E">
        <w:t xml:space="preserve"> transfer their own experience to another hypothetical context. </w:t>
      </w:r>
      <w:r w:rsidR="006B66F5">
        <w:t>Marks are</w:t>
      </w:r>
      <w:r w:rsidR="00B74252" w:rsidRPr="003A198E">
        <w:t xml:space="preserve"> awarded to students who can see the limitations or strengths within their chosen question.</w:t>
      </w:r>
    </w:p>
    <w:p w14:paraId="7FF3A276" w14:textId="2B46E5D1" w:rsidR="00240BD2" w:rsidRPr="003A198E" w:rsidRDefault="00365CAA" w:rsidP="001717C0">
      <w:pPr>
        <w:pStyle w:val="VCAAbody"/>
      </w:pPr>
      <w:r>
        <w:t>R</w:t>
      </w:r>
      <w:r w:rsidR="00240BD2" w:rsidRPr="003A198E">
        <w:t>esponses</w:t>
      </w:r>
      <w:r>
        <w:t xml:space="preserve"> that scored highly</w:t>
      </w:r>
      <w:r w:rsidR="00240BD2" w:rsidRPr="003A198E">
        <w:t xml:space="preserve"> focused on what would be involved in answering a particular question and whether that would make it more or less manageable in practice.</w:t>
      </w:r>
    </w:p>
    <w:p w14:paraId="19EE0E58" w14:textId="5AD70F0E" w:rsidR="00240BD2" w:rsidRPr="003A198E" w:rsidRDefault="00240BD2" w:rsidP="001717C0">
      <w:pPr>
        <w:pStyle w:val="VCAAbody"/>
      </w:pPr>
      <w:r w:rsidRPr="003A198E">
        <w:t xml:space="preserve">In the following two responses, each student clearly explains the issues inherent within their chosen question and elaborates </w:t>
      </w:r>
      <w:r w:rsidR="00BA3C2E" w:rsidRPr="003A198E">
        <w:t>upon them, pointing out the ways in which the question could be tackled or highlighting the fact that it is severely limited due to inherent practical difficulties.</w:t>
      </w:r>
    </w:p>
    <w:p w14:paraId="71EF45AE" w14:textId="41E18D89" w:rsidR="00BA3C2E" w:rsidRPr="001717C0" w:rsidRDefault="00036969" w:rsidP="00036969">
      <w:pPr>
        <w:pStyle w:val="VCAAbody"/>
        <w:rPr>
          <w:rStyle w:val="VCAAbold"/>
          <w:b w:val="0"/>
          <w:bCs w:val="0"/>
          <w:lang w:eastAsia="en-US"/>
        </w:rPr>
      </w:pPr>
      <w:r>
        <w:rPr>
          <w:rStyle w:val="VCAAbold"/>
          <w:b w:val="0"/>
          <w:bCs w:val="0"/>
          <w:lang w:eastAsia="en-US"/>
        </w:rPr>
        <w:t>The following is an example of a high-scoring response to Question 6.</w:t>
      </w:r>
    </w:p>
    <w:p w14:paraId="2E6343BA" w14:textId="19BA62E6" w:rsidR="00BA3C2E" w:rsidRPr="00DF3D0E" w:rsidRDefault="00BA3C2E" w:rsidP="00DF3D0E">
      <w:pPr>
        <w:pStyle w:val="VCAAstudentresponse"/>
      </w:pPr>
      <w:r w:rsidRPr="00DF3D0E">
        <w:t>B. Would be the most manageable question in practice because it c</w:t>
      </w:r>
      <w:r w:rsidR="00C75CF3">
        <w:t>l</w:t>
      </w:r>
      <w:r w:rsidRPr="00DF3D0E">
        <w:t xml:space="preserve">early states what they will be measuring and have two stated variables, marks in reading writing and </w:t>
      </w:r>
      <w:proofErr w:type="spellStart"/>
      <w:r w:rsidRPr="00DF3D0E">
        <w:t>maths</w:t>
      </w:r>
      <w:proofErr w:type="spellEnd"/>
      <w:r w:rsidRPr="00DF3D0E">
        <w:t xml:space="preserve"> and also the link to ch</w:t>
      </w:r>
      <w:r w:rsidR="00C75CF3">
        <w:t>or</w:t>
      </w:r>
      <w:r w:rsidRPr="00DF3D0E">
        <w:t>al singing. The term “improvem</w:t>
      </w:r>
      <w:r w:rsidR="00C75CF3">
        <w:t>e</w:t>
      </w:r>
      <w:r w:rsidRPr="00DF3D0E">
        <w:t>nts”</w:t>
      </w:r>
      <w:r w:rsidR="00AB5328">
        <w:t xml:space="preserve"> </w:t>
      </w:r>
      <w:r w:rsidRPr="00DF3D0E">
        <w:t>is known to be better than previous data and they have specifically listed what would be tested, that is reading, writing and mathematics. Because it has a time span of two years, data could be collected at the start of the two years with children in the choral singing and th</w:t>
      </w:r>
      <w:r w:rsidR="00C75CF3">
        <w:t>ei</w:t>
      </w:r>
      <w:r w:rsidRPr="00DF3D0E">
        <w:t xml:space="preserve">r marks in the stated reading, writing and </w:t>
      </w:r>
      <w:proofErr w:type="spellStart"/>
      <w:r w:rsidRPr="00DF3D0E">
        <w:t>maths</w:t>
      </w:r>
      <w:proofErr w:type="spellEnd"/>
      <w:r w:rsidRPr="00DF3D0E">
        <w:t xml:space="preserve"> and then again maybe at the 6month or 1 year mark and then again at the end of the </w:t>
      </w:r>
      <w:proofErr w:type="gramStart"/>
      <w:r w:rsidRPr="00DF3D0E">
        <w:t>two year</w:t>
      </w:r>
      <w:proofErr w:type="gramEnd"/>
      <w:r w:rsidRPr="00DF3D0E">
        <w:t xml:space="preserve"> mark, to identify an improvement in grades whether that be a letter mark or percentage. This question also states the number of schools tested so that it is within a control</w:t>
      </w:r>
      <w:r w:rsidR="00C75CF3">
        <w:t>l</w:t>
      </w:r>
      <w:r w:rsidRPr="00DF3D0E">
        <w:t>ed environment as well as the age of participants, that is primary school aged. It is clear what kind of primary schools, both regional and urban which can be interesting to compare or contrast results.</w:t>
      </w:r>
    </w:p>
    <w:p w14:paraId="09186385" w14:textId="6B5A9EFA" w:rsidR="00036969" w:rsidRPr="005B52FC" w:rsidRDefault="00036969" w:rsidP="00036969">
      <w:pPr>
        <w:pStyle w:val="VCAAbody"/>
        <w:rPr>
          <w:rStyle w:val="VCAAbold"/>
          <w:b w:val="0"/>
          <w:bCs w:val="0"/>
          <w:lang w:eastAsia="en-US"/>
        </w:rPr>
      </w:pPr>
      <w:r>
        <w:rPr>
          <w:rStyle w:val="VCAAbold"/>
          <w:b w:val="0"/>
          <w:bCs w:val="0"/>
          <w:lang w:eastAsia="en-US"/>
        </w:rPr>
        <w:t>The following is an example of a high-scoring response to Question 7.</w:t>
      </w:r>
    </w:p>
    <w:p w14:paraId="32D05FD5" w14:textId="72444D3D" w:rsidR="00BA3C2E" w:rsidRPr="00DF3D0E" w:rsidRDefault="00BA3C2E" w:rsidP="00DF3D0E">
      <w:pPr>
        <w:pStyle w:val="VCAAstudentresponse"/>
      </w:pPr>
      <w:r w:rsidRPr="00DF3D0E">
        <w:t>A is the least manag</w:t>
      </w:r>
      <w:r w:rsidR="00C75CF3">
        <w:t>e</w:t>
      </w:r>
      <w:r w:rsidRPr="00DF3D0E">
        <w:t>able in practice as there can be uncontrolled variables leading to confounding data. Firstly “good” street art and “ugly” street art is highly subjective to the individuals, ones tastes and opinion on what is “good”</w:t>
      </w:r>
      <w:r w:rsidR="00AB5328">
        <w:t xml:space="preserve"> </w:t>
      </w:r>
      <w:r w:rsidRPr="00DF3D0E">
        <w:t xml:space="preserve">is often not reflective of others, even within the same community. Secondly, graffiti is often </w:t>
      </w:r>
      <w:proofErr w:type="spellStart"/>
      <w:r w:rsidRPr="00DF3D0E">
        <w:t>criminalised</w:t>
      </w:r>
      <w:proofErr w:type="spellEnd"/>
      <w:r w:rsidRPr="00DF3D0E">
        <w:t xml:space="preserve"> so artists often go “underground” to keep their identity hidden thus it would be highly difficult to track them down to be surveyed or interviewed, in the same vein, these artists that produce many of these works are unlikely to attend a “local government program” as they want to stay hidden. Lastly, the question lacks specificity in location as it only </w:t>
      </w:r>
      <w:proofErr w:type="gramStart"/>
      <w:r w:rsidRPr="00DF3D0E">
        <w:t>states</w:t>
      </w:r>
      <w:proofErr w:type="gramEnd"/>
      <w:r w:rsidRPr="00DF3D0E">
        <w:t xml:space="preserve"> “a specific area” and art is highly different according to the culture of a specific area, what you would find in the Melbourne CBD can be wholly different to a place like an abandoned mine in regional Victoria</w:t>
      </w:r>
      <w:r w:rsidR="009534E4">
        <w:t>.</w:t>
      </w:r>
    </w:p>
    <w:p w14:paraId="02828AE3" w14:textId="6FB3209C" w:rsidR="0084417D" w:rsidRDefault="0084417D" w:rsidP="00BF001F">
      <w:pPr>
        <w:pStyle w:val="VCAAHeading3"/>
      </w:pPr>
      <w:r w:rsidRPr="00A20DBC">
        <w:lastRenderedPageBreak/>
        <w:t>Questions 8 and 9</w:t>
      </w:r>
    </w:p>
    <w:tbl>
      <w:tblPr>
        <w:tblStyle w:val="VCAATableClosed"/>
        <w:tblW w:w="0" w:type="auto"/>
        <w:tblLayout w:type="fixed"/>
        <w:tblLook w:val="04A0" w:firstRow="1" w:lastRow="0" w:firstColumn="1" w:lastColumn="0" w:noHBand="0" w:noVBand="1"/>
        <w:tblCaption w:val="Table one"/>
        <w:tblDescription w:val="VCAA closed table style"/>
      </w:tblPr>
      <w:tblGrid>
        <w:gridCol w:w="1368"/>
        <w:gridCol w:w="547"/>
        <w:gridCol w:w="547"/>
        <w:gridCol w:w="547"/>
        <w:gridCol w:w="547"/>
        <w:gridCol w:w="1274"/>
      </w:tblGrid>
      <w:tr w:rsidR="00DE7977" w:rsidRPr="00B13D3B" w14:paraId="39DDBA06" w14:textId="77777777" w:rsidTr="001717C0">
        <w:trPr>
          <w:cnfStyle w:val="100000000000" w:firstRow="1" w:lastRow="0" w:firstColumn="0" w:lastColumn="0" w:oddVBand="0" w:evenVBand="0" w:oddHBand="0" w:evenHBand="0" w:firstRowFirstColumn="0" w:firstRowLastColumn="0" w:lastRowFirstColumn="0" w:lastRowLastColumn="0"/>
        </w:trPr>
        <w:tc>
          <w:tcPr>
            <w:tcW w:w="1368" w:type="dxa"/>
          </w:tcPr>
          <w:p w14:paraId="69605EB9" w14:textId="2FA99B84" w:rsidR="0084417D" w:rsidRPr="00AF3F1C" w:rsidRDefault="0084417D" w:rsidP="00FE21BB">
            <w:pPr>
              <w:pStyle w:val="VCAAtablecondensedheading"/>
              <w:rPr>
                <w:color w:val="F2F2F2" w:themeColor="background1" w:themeShade="F2"/>
              </w:rPr>
            </w:pPr>
            <w:r>
              <w:rPr>
                <w:color w:val="F2F2F2" w:themeColor="background1" w:themeShade="F2"/>
              </w:rPr>
              <w:t>Marks</w:t>
            </w:r>
            <w:r w:rsidR="00B233C8">
              <w:rPr>
                <w:color w:val="F2F2F2" w:themeColor="background1" w:themeShade="F2"/>
              </w:rPr>
              <w:t xml:space="preserve"> – Question</w:t>
            </w:r>
            <w:r w:rsidRPr="00AF3F1C">
              <w:rPr>
                <w:color w:val="F2F2F2" w:themeColor="background1" w:themeShade="F2"/>
              </w:rPr>
              <w:t xml:space="preserve"> </w:t>
            </w:r>
            <w:r>
              <w:rPr>
                <w:color w:val="F2F2F2" w:themeColor="background1" w:themeShade="F2"/>
              </w:rPr>
              <w:t>8</w:t>
            </w:r>
          </w:p>
        </w:tc>
        <w:tc>
          <w:tcPr>
            <w:tcW w:w="547" w:type="dxa"/>
          </w:tcPr>
          <w:p w14:paraId="311ED2BF" w14:textId="77777777" w:rsidR="0084417D" w:rsidRDefault="0084417D" w:rsidP="00FE21BB">
            <w:pPr>
              <w:pStyle w:val="VCAAtablecondensedheading"/>
              <w:rPr>
                <w:color w:val="F2F2F2" w:themeColor="background1" w:themeShade="F2"/>
              </w:rPr>
            </w:pPr>
            <w:r>
              <w:rPr>
                <w:color w:val="F2F2F2" w:themeColor="background1" w:themeShade="F2"/>
              </w:rPr>
              <w:t>0</w:t>
            </w:r>
          </w:p>
        </w:tc>
        <w:tc>
          <w:tcPr>
            <w:tcW w:w="547" w:type="dxa"/>
          </w:tcPr>
          <w:p w14:paraId="0687C6AD" w14:textId="77777777" w:rsidR="0084417D" w:rsidRDefault="0084417D" w:rsidP="00FE21BB">
            <w:pPr>
              <w:pStyle w:val="VCAAtablecondensedheading"/>
              <w:rPr>
                <w:color w:val="F2F2F2" w:themeColor="background1" w:themeShade="F2"/>
              </w:rPr>
            </w:pPr>
            <w:r>
              <w:rPr>
                <w:color w:val="F2F2F2" w:themeColor="background1" w:themeShade="F2"/>
              </w:rPr>
              <w:t>1</w:t>
            </w:r>
          </w:p>
        </w:tc>
        <w:tc>
          <w:tcPr>
            <w:tcW w:w="547" w:type="dxa"/>
          </w:tcPr>
          <w:p w14:paraId="21DD93CC" w14:textId="77777777" w:rsidR="0084417D" w:rsidRDefault="0084417D" w:rsidP="00FE21BB">
            <w:pPr>
              <w:pStyle w:val="VCAAtablecondensedheading"/>
              <w:rPr>
                <w:color w:val="F2F2F2" w:themeColor="background1" w:themeShade="F2"/>
              </w:rPr>
            </w:pPr>
            <w:r>
              <w:rPr>
                <w:color w:val="F2F2F2" w:themeColor="background1" w:themeShade="F2"/>
              </w:rPr>
              <w:t>2</w:t>
            </w:r>
          </w:p>
        </w:tc>
        <w:tc>
          <w:tcPr>
            <w:tcW w:w="547" w:type="dxa"/>
          </w:tcPr>
          <w:p w14:paraId="4C7BAE62" w14:textId="77777777" w:rsidR="0084417D" w:rsidRDefault="0084417D" w:rsidP="00FE21BB">
            <w:pPr>
              <w:pStyle w:val="VCAAtablecondensedheading"/>
              <w:rPr>
                <w:color w:val="F2F2F2" w:themeColor="background1" w:themeShade="F2"/>
              </w:rPr>
            </w:pPr>
            <w:r>
              <w:rPr>
                <w:color w:val="F2F2F2" w:themeColor="background1" w:themeShade="F2"/>
              </w:rPr>
              <w:t>3</w:t>
            </w:r>
          </w:p>
        </w:tc>
        <w:tc>
          <w:tcPr>
            <w:tcW w:w="1274" w:type="dxa"/>
          </w:tcPr>
          <w:p w14:paraId="3FDDC50F" w14:textId="77777777" w:rsidR="0084417D" w:rsidRDefault="0084417D" w:rsidP="00FE21BB">
            <w:pPr>
              <w:pStyle w:val="VCAAtablecondensedheading"/>
              <w:rPr>
                <w:color w:val="F2F2F2" w:themeColor="background1" w:themeShade="F2"/>
              </w:rPr>
            </w:pPr>
            <w:r>
              <w:rPr>
                <w:color w:val="F2F2F2" w:themeColor="background1" w:themeShade="F2"/>
              </w:rPr>
              <w:t>Average</w:t>
            </w:r>
          </w:p>
        </w:tc>
      </w:tr>
      <w:tr w:rsidR="0084417D" w:rsidRPr="0056257C" w14:paraId="1287D555" w14:textId="77777777" w:rsidTr="001717C0">
        <w:tc>
          <w:tcPr>
            <w:tcW w:w="1368" w:type="dxa"/>
          </w:tcPr>
          <w:p w14:paraId="0A364F66" w14:textId="77777777" w:rsidR="0084417D" w:rsidRPr="00332089" w:rsidRDefault="0084417D" w:rsidP="00FE21BB">
            <w:pPr>
              <w:pStyle w:val="VCAAtablecondensed"/>
            </w:pPr>
            <w:r>
              <w:t>%</w:t>
            </w:r>
          </w:p>
        </w:tc>
        <w:tc>
          <w:tcPr>
            <w:tcW w:w="547" w:type="dxa"/>
          </w:tcPr>
          <w:p w14:paraId="6090C003" w14:textId="50495531" w:rsidR="0084417D" w:rsidRPr="00332089" w:rsidRDefault="0084417D" w:rsidP="00FE21BB">
            <w:pPr>
              <w:pStyle w:val="VCAAtablecondensed"/>
            </w:pPr>
            <w:r w:rsidRPr="0056257C">
              <w:t>4</w:t>
            </w:r>
          </w:p>
        </w:tc>
        <w:tc>
          <w:tcPr>
            <w:tcW w:w="547" w:type="dxa"/>
          </w:tcPr>
          <w:p w14:paraId="2C2329A1" w14:textId="285624B3" w:rsidR="0084417D" w:rsidRDefault="0084417D" w:rsidP="00FE21BB">
            <w:pPr>
              <w:pStyle w:val="VCAAtablecondensed"/>
            </w:pPr>
            <w:r w:rsidRPr="0056257C">
              <w:t>23</w:t>
            </w:r>
          </w:p>
        </w:tc>
        <w:tc>
          <w:tcPr>
            <w:tcW w:w="547" w:type="dxa"/>
          </w:tcPr>
          <w:p w14:paraId="5C00C699" w14:textId="0BCAB016" w:rsidR="0084417D" w:rsidRDefault="0084417D" w:rsidP="00FE21BB">
            <w:pPr>
              <w:pStyle w:val="VCAAtablecondensed"/>
            </w:pPr>
            <w:r w:rsidRPr="0056257C">
              <w:t>47</w:t>
            </w:r>
          </w:p>
        </w:tc>
        <w:tc>
          <w:tcPr>
            <w:tcW w:w="547" w:type="dxa"/>
          </w:tcPr>
          <w:p w14:paraId="24CFD5DE" w14:textId="79D1F349" w:rsidR="0084417D" w:rsidRDefault="0084417D" w:rsidP="00FE21BB">
            <w:pPr>
              <w:pStyle w:val="VCAAtablecondensed"/>
            </w:pPr>
            <w:r w:rsidRPr="0056257C">
              <w:t>26</w:t>
            </w:r>
          </w:p>
        </w:tc>
        <w:tc>
          <w:tcPr>
            <w:tcW w:w="1274" w:type="dxa"/>
          </w:tcPr>
          <w:p w14:paraId="544C69E8" w14:textId="74044297" w:rsidR="0084417D" w:rsidRPr="00332089" w:rsidRDefault="00145E4D" w:rsidP="001717C0">
            <w:pPr>
              <w:pStyle w:val="VCAAtablecondensed"/>
            </w:pPr>
            <w:r>
              <w:t>2</w:t>
            </w:r>
            <w:r w:rsidR="0084417D" w:rsidRPr="003F6AD3">
              <w:t>.</w:t>
            </w:r>
            <w:r>
              <w:t>0</w:t>
            </w:r>
          </w:p>
        </w:tc>
      </w:tr>
    </w:tbl>
    <w:p w14:paraId="45F70538" w14:textId="4F3C6E74" w:rsidR="0084417D" w:rsidRDefault="0084417D" w:rsidP="0084417D">
      <w:pPr>
        <w:pStyle w:val="VCAAbody"/>
      </w:pPr>
    </w:p>
    <w:tbl>
      <w:tblPr>
        <w:tblStyle w:val="VCAATableClosed"/>
        <w:tblW w:w="0" w:type="auto"/>
        <w:tblLayout w:type="fixed"/>
        <w:tblLook w:val="04A0" w:firstRow="1" w:lastRow="0" w:firstColumn="1" w:lastColumn="0" w:noHBand="0" w:noVBand="1"/>
        <w:tblCaption w:val="Table one"/>
        <w:tblDescription w:val="VCAA closed table style"/>
      </w:tblPr>
      <w:tblGrid>
        <w:gridCol w:w="1315"/>
        <w:gridCol w:w="547"/>
        <w:gridCol w:w="547"/>
        <w:gridCol w:w="547"/>
        <w:gridCol w:w="547"/>
        <w:gridCol w:w="1227"/>
      </w:tblGrid>
      <w:tr w:rsidR="00DE7977" w:rsidRPr="00B13D3B" w14:paraId="5AAFE028" w14:textId="77777777" w:rsidTr="001717C0">
        <w:trPr>
          <w:cnfStyle w:val="100000000000" w:firstRow="1" w:lastRow="0" w:firstColumn="0" w:lastColumn="0" w:oddVBand="0" w:evenVBand="0" w:oddHBand="0" w:evenHBand="0" w:firstRowFirstColumn="0" w:firstRowLastColumn="0" w:lastRowFirstColumn="0" w:lastRowLastColumn="0"/>
        </w:trPr>
        <w:tc>
          <w:tcPr>
            <w:tcW w:w="1315" w:type="dxa"/>
          </w:tcPr>
          <w:p w14:paraId="37C340F5" w14:textId="4C385616" w:rsidR="0084417D" w:rsidRPr="00AF3F1C" w:rsidRDefault="0084417D" w:rsidP="00FE21BB">
            <w:pPr>
              <w:pStyle w:val="VCAAtablecondensedheading"/>
              <w:rPr>
                <w:color w:val="F2F2F2" w:themeColor="background1" w:themeShade="F2"/>
              </w:rPr>
            </w:pPr>
            <w:r>
              <w:rPr>
                <w:color w:val="F2F2F2" w:themeColor="background1" w:themeShade="F2"/>
              </w:rPr>
              <w:t>Marks</w:t>
            </w:r>
            <w:r w:rsidR="00B233C8">
              <w:rPr>
                <w:color w:val="F2F2F2" w:themeColor="background1" w:themeShade="F2"/>
              </w:rPr>
              <w:t xml:space="preserve"> – Question</w:t>
            </w:r>
            <w:r w:rsidRPr="00AF3F1C">
              <w:rPr>
                <w:color w:val="F2F2F2" w:themeColor="background1" w:themeShade="F2"/>
              </w:rPr>
              <w:t xml:space="preserve"> </w:t>
            </w:r>
            <w:r>
              <w:rPr>
                <w:color w:val="F2F2F2" w:themeColor="background1" w:themeShade="F2"/>
              </w:rPr>
              <w:t>9</w:t>
            </w:r>
          </w:p>
        </w:tc>
        <w:tc>
          <w:tcPr>
            <w:tcW w:w="547" w:type="dxa"/>
          </w:tcPr>
          <w:p w14:paraId="589FBCE9" w14:textId="77777777" w:rsidR="0084417D" w:rsidRDefault="0084417D" w:rsidP="00FE21BB">
            <w:pPr>
              <w:pStyle w:val="VCAAtablecondensedheading"/>
              <w:rPr>
                <w:color w:val="F2F2F2" w:themeColor="background1" w:themeShade="F2"/>
              </w:rPr>
            </w:pPr>
            <w:r>
              <w:rPr>
                <w:color w:val="F2F2F2" w:themeColor="background1" w:themeShade="F2"/>
              </w:rPr>
              <w:t>0</w:t>
            </w:r>
          </w:p>
        </w:tc>
        <w:tc>
          <w:tcPr>
            <w:tcW w:w="547" w:type="dxa"/>
          </w:tcPr>
          <w:p w14:paraId="031F228C" w14:textId="77777777" w:rsidR="0084417D" w:rsidRDefault="0084417D" w:rsidP="00FE21BB">
            <w:pPr>
              <w:pStyle w:val="VCAAtablecondensedheading"/>
              <w:rPr>
                <w:color w:val="F2F2F2" w:themeColor="background1" w:themeShade="F2"/>
              </w:rPr>
            </w:pPr>
            <w:r>
              <w:rPr>
                <w:color w:val="F2F2F2" w:themeColor="background1" w:themeShade="F2"/>
              </w:rPr>
              <w:t>1</w:t>
            </w:r>
          </w:p>
        </w:tc>
        <w:tc>
          <w:tcPr>
            <w:tcW w:w="547" w:type="dxa"/>
          </w:tcPr>
          <w:p w14:paraId="5C7CF78D" w14:textId="77777777" w:rsidR="0084417D" w:rsidRDefault="0084417D" w:rsidP="00FE21BB">
            <w:pPr>
              <w:pStyle w:val="VCAAtablecondensedheading"/>
              <w:rPr>
                <w:color w:val="F2F2F2" w:themeColor="background1" w:themeShade="F2"/>
              </w:rPr>
            </w:pPr>
            <w:r>
              <w:rPr>
                <w:color w:val="F2F2F2" w:themeColor="background1" w:themeShade="F2"/>
              </w:rPr>
              <w:t>2</w:t>
            </w:r>
          </w:p>
        </w:tc>
        <w:tc>
          <w:tcPr>
            <w:tcW w:w="547" w:type="dxa"/>
          </w:tcPr>
          <w:p w14:paraId="4131B9E3" w14:textId="77777777" w:rsidR="0084417D" w:rsidRDefault="0084417D" w:rsidP="00FE21BB">
            <w:pPr>
              <w:pStyle w:val="VCAAtablecondensedheading"/>
              <w:rPr>
                <w:color w:val="F2F2F2" w:themeColor="background1" w:themeShade="F2"/>
              </w:rPr>
            </w:pPr>
            <w:r>
              <w:rPr>
                <w:color w:val="F2F2F2" w:themeColor="background1" w:themeShade="F2"/>
              </w:rPr>
              <w:t>3</w:t>
            </w:r>
          </w:p>
        </w:tc>
        <w:tc>
          <w:tcPr>
            <w:tcW w:w="1227" w:type="dxa"/>
          </w:tcPr>
          <w:p w14:paraId="2BB505E5" w14:textId="77777777" w:rsidR="0084417D" w:rsidRDefault="0084417D" w:rsidP="00FE21BB">
            <w:pPr>
              <w:pStyle w:val="VCAAtablecondensedheading"/>
              <w:rPr>
                <w:color w:val="F2F2F2" w:themeColor="background1" w:themeShade="F2"/>
              </w:rPr>
            </w:pPr>
            <w:r>
              <w:rPr>
                <w:color w:val="F2F2F2" w:themeColor="background1" w:themeShade="F2"/>
              </w:rPr>
              <w:t>Average</w:t>
            </w:r>
          </w:p>
        </w:tc>
      </w:tr>
      <w:tr w:rsidR="0084417D" w:rsidRPr="0056257C" w14:paraId="525F0AAB" w14:textId="77777777" w:rsidTr="001717C0">
        <w:tc>
          <w:tcPr>
            <w:tcW w:w="1315" w:type="dxa"/>
          </w:tcPr>
          <w:p w14:paraId="283740B0" w14:textId="77777777" w:rsidR="0084417D" w:rsidRPr="00332089" w:rsidRDefault="0084417D" w:rsidP="00FE21BB">
            <w:pPr>
              <w:pStyle w:val="VCAAtablecondensed"/>
            </w:pPr>
            <w:r>
              <w:t>%</w:t>
            </w:r>
          </w:p>
        </w:tc>
        <w:tc>
          <w:tcPr>
            <w:tcW w:w="547" w:type="dxa"/>
          </w:tcPr>
          <w:p w14:paraId="6AB977D3" w14:textId="0BA1D5B4" w:rsidR="0084417D" w:rsidRPr="00332089" w:rsidRDefault="0084417D" w:rsidP="00FE21BB">
            <w:pPr>
              <w:pStyle w:val="VCAAtablecondensed"/>
            </w:pPr>
            <w:r w:rsidRPr="0056257C">
              <w:t>4</w:t>
            </w:r>
          </w:p>
        </w:tc>
        <w:tc>
          <w:tcPr>
            <w:tcW w:w="547" w:type="dxa"/>
          </w:tcPr>
          <w:p w14:paraId="6836DC53" w14:textId="5A9023BE" w:rsidR="0084417D" w:rsidRDefault="0084417D" w:rsidP="00FE21BB">
            <w:pPr>
              <w:pStyle w:val="VCAAtablecondensed"/>
            </w:pPr>
            <w:r w:rsidRPr="0056257C">
              <w:t>24</w:t>
            </w:r>
          </w:p>
        </w:tc>
        <w:tc>
          <w:tcPr>
            <w:tcW w:w="547" w:type="dxa"/>
          </w:tcPr>
          <w:p w14:paraId="1BAF53F7" w14:textId="66B8298E" w:rsidR="0084417D" w:rsidRDefault="0084417D" w:rsidP="00FE21BB">
            <w:pPr>
              <w:pStyle w:val="VCAAtablecondensed"/>
            </w:pPr>
            <w:r w:rsidRPr="0056257C">
              <w:t>48</w:t>
            </w:r>
          </w:p>
        </w:tc>
        <w:tc>
          <w:tcPr>
            <w:tcW w:w="547" w:type="dxa"/>
          </w:tcPr>
          <w:p w14:paraId="3034EF37" w14:textId="421F1E41" w:rsidR="0084417D" w:rsidRDefault="0084417D" w:rsidP="00FE21BB">
            <w:pPr>
              <w:pStyle w:val="VCAAtablecondensed"/>
            </w:pPr>
            <w:r w:rsidRPr="0056257C">
              <w:t>2</w:t>
            </w:r>
            <w:r w:rsidR="00145E4D">
              <w:t>4</w:t>
            </w:r>
          </w:p>
        </w:tc>
        <w:tc>
          <w:tcPr>
            <w:tcW w:w="1227" w:type="dxa"/>
          </w:tcPr>
          <w:p w14:paraId="79C9EB91" w14:textId="77777777" w:rsidR="0084417D" w:rsidRPr="00332089" w:rsidRDefault="0084417D" w:rsidP="001717C0">
            <w:pPr>
              <w:pStyle w:val="VCAAtablecondensed"/>
            </w:pPr>
            <w:r w:rsidRPr="003F6AD3">
              <w:t>1.9</w:t>
            </w:r>
          </w:p>
        </w:tc>
      </w:tr>
    </w:tbl>
    <w:p w14:paraId="4C38B990" w14:textId="6AE58CA6" w:rsidR="00FD3E11" w:rsidRPr="00FD3E11" w:rsidRDefault="009534E4" w:rsidP="00BA1F9F">
      <w:pPr>
        <w:pStyle w:val="VCAAbody"/>
        <w:rPr>
          <w:lang w:val="en-AU"/>
        </w:rPr>
      </w:pPr>
      <w:r>
        <w:t>S</w:t>
      </w:r>
      <w:r w:rsidR="00FE21BB" w:rsidRPr="00FD3E11">
        <w:t xml:space="preserve">tudents were asked to present their reasons, with justification, for raising the school </w:t>
      </w:r>
      <w:r w:rsidR="00FD3E11" w:rsidRPr="00FD3E11">
        <w:t>leaving age or for leaving it as</w:t>
      </w:r>
      <w:r w:rsidR="00FE21BB" w:rsidRPr="00FD3E11">
        <w:t xml:space="preserve"> it is. </w:t>
      </w:r>
      <w:r w:rsidR="00A04FDE">
        <w:t>Although s</w:t>
      </w:r>
      <w:proofErr w:type="spellStart"/>
      <w:r w:rsidR="00FD3E11" w:rsidRPr="00FD3E11">
        <w:rPr>
          <w:lang w:val="en-AU"/>
        </w:rPr>
        <w:t>ome</w:t>
      </w:r>
      <w:proofErr w:type="spellEnd"/>
      <w:r w:rsidR="00FD3E11" w:rsidRPr="00FD3E11">
        <w:rPr>
          <w:lang w:val="en-AU"/>
        </w:rPr>
        <w:t xml:space="preserve"> students confused ‘the school leaving age’ with the age at which students usually leave school, </w:t>
      </w:r>
      <w:r w:rsidR="008F719B">
        <w:rPr>
          <w:lang w:val="en-AU"/>
        </w:rPr>
        <w:t>it</w:t>
      </w:r>
      <w:r w:rsidR="00FD3E11" w:rsidRPr="00FD3E11">
        <w:rPr>
          <w:lang w:val="en-AU"/>
        </w:rPr>
        <w:t xml:space="preserve"> had no effect on the assessment. </w:t>
      </w:r>
    </w:p>
    <w:p w14:paraId="14F0C178" w14:textId="73BBED37" w:rsidR="00FE21BB" w:rsidRPr="00D75AB9" w:rsidRDefault="00FE21BB" w:rsidP="001717C0">
      <w:pPr>
        <w:pStyle w:val="VCAAbody"/>
      </w:pPr>
      <w:r w:rsidRPr="00D75AB9">
        <w:t>The following two student responses exemplify how a chosen position can be strengthened by elaboration and evidence – as displayed in the model of argument in Question 2.</w:t>
      </w:r>
      <w:r w:rsidR="007E4B32" w:rsidRPr="00D75AB9">
        <w:t xml:space="preserve"> Both students end their responses by explaining why they believe they have presented a strong argument in a concise and precise way. Whil</w:t>
      </w:r>
      <w:r w:rsidR="00BA1F9F" w:rsidRPr="00D75AB9">
        <w:t>e</w:t>
      </w:r>
      <w:r w:rsidR="007E4B32" w:rsidRPr="00D75AB9">
        <w:t xml:space="preserve"> this part of the question can often be implicit, in these instances the students’ self-evaluation consolidates and clarifies their position on the issue.</w:t>
      </w:r>
    </w:p>
    <w:p w14:paraId="5A3FC6E6" w14:textId="71CDCF32" w:rsidR="008444AE" w:rsidRPr="005B52FC" w:rsidRDefault="008444AE" w:rsidP="008444AE">
      <w:pPr>
        <w:pStyle w:val="VCAAbody"/>
        <w:rPr>
          <w:rStyle w:val="VCAAbold"/>
          <w:b w:val="0"/>
          <w:bCs w:val="0"/>
          <w:lang w:eastAsia="en-US"/>
        </w:rPr>
      </w:pPr>
      <w:r>
        <w:rPr>
          <w:rStyle w:val="VCAAbold"/>
          <w:b w:val="0"/>
          <w:bCs w:val="0"/>
          <w:lang w:eastAsia="en-US"/>
        </w:rPr>
        <w:t>The following is an example of a high-scoring response to Question 8.</w:t>
      </w:r>
    </w:p>
    <w:p w14:paraId="09F574AF" w14:textId="6B4B8726" w:rsidR="00FE21BB" w:rsidRPr="00DF3D0E" w:rsidRDefault="00FE21BB" w:rsidP="00DF3D0E">
      <w:pPr>
        <w:pStyle w:val="VCAAstudentresponse"/>
      </w:pPr>
      <w:r w:rsidRPr="00DF3D0E">
        <w:t xml:space="preserve">The school leaving age should be raised to at least 18 as the current age limits the pathways of students well into the future. At the current school leaving age of 16, students are limiting themselves and their opportunities into the future. As there is a limited number of tertiary pathways </w:t>
      </w:r>
      <w:r w:rsidR="00C75CF3">
        <w:t>available</w:t>
      </w:r>
      <w:r w:rsidR="00C75CF3" w:rsidRPr="00DF3D0E">
        <w:t xml:space="preserve"> </w:t>
      </w:r>
      <w:r w:rsidRPr="00DF3D0E">
        <w:t xml:space="preserve">for students without finishing secondary school, this is limiting their abilities later in life to obtain a stable income for themselves. In our world, to progress anywhere, you generally need at the minimum a </w:t>
      </w:r>
      <w:proofErr w:type="spellStart"/>
      <w:proofErr w:type="gramStart"/>
      <w:r w:rsidRPr="00DF3D0E">
        <w:t>Bachelors</w:t>
      </w:r>
      <w:proofErr w:type="spellEnd"/>
      <w:r w:rsidRPr="00DF3D0E">
        <w:t xml:space="preserve"> Degree</w:t>
      </w:r>
      <w:proofErr w:type="gramEnd"/>
      <w:r w:rsidRPr="00DF3D0E">
        <w:t>, with many also studying for a Masters. Without any formal qualifications, the range of jobs and career pathways you have is severely limited. This creates continuing financial instability for the individual and a greater burden on the economy. This is the strongest argument as it shows the understood consequences of leaving school at 16</w:t>
      </w:r>
      <w:r w:rsidR="00C666C9" w:rsidRPr="00DF3D0E">
        <w:t xml:space="preserve"> </w:t>
      </w:r>
      <w:r w:rsidRPr="00DF3D0E">
        <w:t>and establishes how this not only affects the individual, but also the wider community.</w:t>
      </w:r>
    </w:p>
    <w:p w14:paraId="1DEB2220" w14:textId="7C4EA9A5" w:rsidR="008444AE" w:rsidRPr="005B52FC" w:rsidRDefault="008444AE" w:rsidP="008444AE">
      <w:pPr>
        <w:pStyle w:val="VCAAbody"/>
        <w:rPr>
          <w:rStyle w:val="VCAAbold"/>
          <w:b w:val="0"/>
          <w:bCs w:val="0"/>
          <w:lang w:eastAsia="en-US"/>
        </w:rPr>
      </w:pPr>
      <w:r>
        <w:rPr>
          <w:rStyle w:val="VCAAbold"/>
          <w:b w:val="0"/>
          <w:bCs w:val="0"/>
          <w:lang w:eastAsia="en-US"/>
        </w:rPr>
        <w:t>The following is an example of a high-scoring response to Question 9.</w:t>
      </w:r>
    </w:p>
    <w:p w14:paraId="73AD8A1B" w14:textId="4B8CA6E7" w:rsidR="007E4B32" w:rsidRPr="00DF3D0E" w:rsidRDefault="007E4B32" w:rsidP="00DF3D0E">
      <w:pPr>
        <w:pStyle w:val="VCAAstudentresponse"/>
      </w:pPr>
      <w:r w:rsidRPr="00DF3D0E">
        <w:t xml:space="preserve">The strongest argument against the proposition is that the current age has been decided acknowledging that although pathways are limited for students, there are several TAFE institutions </w:t>
      </w:r>
      <w:r w:rsidR="00C75CF3">
        <w:t>available</w:t>
      </w:r>
      <w:r w:rsidR="00C75CF3" w:rsidRPr="00DF3D0E">
        <w:t xml:space="preserve"> </w:t>
      </w:r>
      <w:r w:rsidRPr="00DF3D0E">
        <w:t>for school-leavers, and qualifications such as diplomas which can lead to other forms of qualifications, which are more suitable for some students rather than formal secondary school. Formal schooling does not and cannot cater properly for all students, as each student have their own specific learning needs. The best teachers can to is cater for the majority. This leaves many students left behind. Formal schooling environments do not suit these students. Instead, at 16 they are able to attend TAFE institutions to gain qualifications which are more cater to them and their needs than formal schooling. Allowing these students to have this opportunity will create a better life for them and allow them to have a jumpstart on the rest of their life, rather than being stuck in the back of the classroom lost and unable to understand what they are being taught. This is the strongest argument as it presents a more contemporary view of the topic and refutes the more traditional and unrealistic views that leaving school early or at 16 is setting you up for failure later in life.</w:t>
      </w:r>
    </w:p>
    <w:p w14:paraId="3D70F914" w14:textId="5163B07E" w:rsidR="007E4B32" w:rsidRDefault="007E4B32" w:rsidP="00BF001F">
      <w:pPr>
        <w:pStyle w:val="VCAAHeading3"/>
      </w:pPr>
      <w:r>
        <w:lastRenderedPageBreak/>
        <w:t>Question 10</w:t>
      </w:r>
    </w:p>
    <w:tbl>
      <w:tblPr>
        <w:tblStyle w:val="VCAATableClosed"/>
        <w:tblW w:w="0" w:type="auto"/>
        <w:tblLayout w:type="fixed"/>
        <w:tblLook w:val="04A0" w:firstRow="1" w:lastRow="0" w:firstColumn="1" w:lastColumn="0" w:noHBand="0" w:noVBand="1"/>
        <w:tblCaption w:val="Table one"/>
        <w:tblDescription w:val="VCAA closed table style"/>
      </w:tblPr>
      <w:tblGrid>
        <w:gridCol w:w="1097"/>
        <w:gridCol w:w="547"/>
        <w:gridCol w:w="547"/>
        <w:gridCol w:w="547"/>
        <w:gridCol w:w="547"/>
        <w:gridCol w:w="1372"/>
      </w:tblGrid>
      <w:tr w:rsidR="00DE7977" w:rsidRPr="00B13D3B" w14:paraId="3BCD4CCB" w14:textId="77777777" w:rsidTr="001717C0">
        <w:trPr>
          <w:cnfStyle w:val="100000000000" w:firstRow="1" w:lastRow="0" w:firstColumn="0" w:lastColumn="0" w:oddVBand="0" w:evenVBand="0" w:oddHBand="0" w:evenHBand="0" w:firstRowFirstColumn="0" w:firstRowLastColumn="0" w:lastRowFirstColumn="0" w:lastRowLastColumn="0"/>
        </w:trPr>
        <w:tc>
          <w:tcPr>
            <w:tcW w:w="1097" w:type="dxa"/>
          </w:tcPr>
          <w:p w14:paraId="39F08C0E" w14:textId="77777777" w:rsidR="007E4B32" w:rsidRPr="00AF3F1C" w:rsidRDefault="007E4B32" w:rsidP="007E4B32">
            <w:pPr>
              <w:pStyle w:val="VCAAtablecondensedheading"/>
              <w:rPr>
                <w:color w:val="F2F2F2" w:themeColor="background1" w:themeShade="F2"/>
              </w:rPr>
            </w:pPr>
            <w:r>
              <w:rPr>
                <w:color w:val="F2F2F2" w:themeColor="background1" w:themeShade="F2"/>
              </w:rPr>
              <w:t>Marks</w:t>
            </w:r>
            <w:r w:rsidRPr="00AF3F1C">
              <w:rPr>
                <w:color w:val="F2F2F2" w:themeColor="background1" w:themeShade="F2"/>
              </w:rPr>
              <w:t xml:space="preserve"> </w:t>
            </w:r>
          </w:p>
        </w:tc>
        <w:tc>
          <w:tcPr>
            <w:tcW w:w="547" w:type="dxa"/>
          </w:tcPr>
          <w:p w14:paraId="5C39C5B5" w14:textId="77777777" w:rsidR="007E4B32" w:rsidRDefault="007E4B32" w:rsidP="007E4B32">
            <w:pPr>
              <w:pStyle w:val="VCAAtablecondensedheading"/>
              <w:rPr>
                <w:color w:val="F2F2F2" w:themeColor="background1" w:themeShade="F2"/>
              </w:rPr>
            </w:pPr>
            <w:r>
              <w:rPr>
                <w:color w:val="F2F2F2" w:themeColor="background1" w:themeShade="F2"/>
              </w:rPr>
              <w:t>0</w:t>
            </w:r>
          </w:p>
        </w:tc>
        <w:tc>
          <w:tcPr>
            <w:tcW w:w="547" w:type="dxa"/>
          </w:tcPr>
          <w:p w14:paraId="2F629BAE" w14:textId="77777777" w:rsidR="007E4B32" w:rsidRDefault="007E4B32" w:rsidP="007E4B32">
            <w:pPr>
              <w:pStyle w:val="VCAAtablecondensedheading"/>
              <w:rPr>
                <w:color w:val="F2F2F2" w:themeColor="background1" w:themeShade="F2"/>
              </w:rPr>
            </w:pPr>
            <w:r>
              <w:rPr>
                <w:color w:val="F2F2F2" w:themeColor="background1" w:themeShade="F2"/>
              </w:rPr>
              <w:t>1</w:t>
            </w:r>
          </w:p>
        </w:tc>
        <w:tc>
          <w:tcPr>
            <w:tcW w:w="547" w:type="dxa"/>
          </w:tcPr>
          <w:p w14:paraId="74FB1D67" w14:textId="77777777" w:rsidR="007E4B32" w:rsidRDefault="007E4B32" w:rsidP="007E4B32">
            <w:pPr>
              <w:pStyle w:val="VCAAtablecondensedheading"/>
              <w:rPr>
                <w:color w:val="F2F2F2" w:themeColor="background1" w:themeShade="F2"/>
              </w:rPr>
            </w:pPr>
            <w:r>
              <w:rPr>
                <w:color w:val="F2F2F2" w:themeColor="background1" w:themeShade="F2"/>
              </w:rPr>
              <w:t>2</w:t>
            </w:r>
          </w:p>
        </w:tc>
        <w:tc>
          <w:tcPr>
            <w:tcW w:w="547" w:type="dxa"/>
          </w:tcPr>
          <w:p w14:paraId="60A3E54A" w14:textId="77777777" w:rsidR="007E4B32" w:rsidRDefault="007E4B32" w:rsidP="007E4B32">
            <w:pPr>
              <w:pStyle w:val="VCAAtablecondensedheading"/>
              <w:rPr>
                <w:color w:val="F2F2F2" w:themeColor="background1" w:themeShade="F2"/>
              </w:rPr>
            </w:pPr>
            <w:r>
              <w:rPr>
                <w:color w:val="F2F2F2" w:themeColor="background1" w:themeShade="F2"/>
              </w:rPr>
              <w:t>3</w:t>
            </w:r>
          </w:p>
        </w:tc>
        <w:tc>
          <w:tcPr>
            <w:tcW w:w="1372" w:type="dxa"/>
          </w:tcPr>
          <w:p w14:paraId="0AA01EE1" w14:textId="77777777" w:rsidR="007E4B32" w:rsidRDefault="007E4B32" w:rsidP="007E4B32">
            <w:pPr>
              <w:pStyle w:val="VCAAtablecondensedheading"/>
              <w:rPr>
                <w:color w:val="F2F2F2" w:themeColor="background1" w:themeShade="F2"/>
              </w:rPr>
            </w:pPr>
            <w:r>
              <w:rPr>
                <w:color w:val="F2F2F2" w:themeColor="background1" w:themeShade="F2"/>
              </w:rPr>
              <w:t>Average</w:t>
            </w:r>
          </w:p>
        </w:tc>
      </w:tr>
      <w:tr w:rsidR="007E4B32" w:rsidRPr="0056257C" w14:paraId="3BBDD567" w14:textId="77777777" w:rsidTr="001717C0">
        <w:tc>
          <w:tcPr>
            <w:tcW w:w="1097" w:type="dxa"/>
          </w:tcPr>
          <w:p w14:paraId="4E07E448" w14:textId="77777777" w:rsidR="007E4B32" w:rsidRPr="00332089" w:rsidRDefault="007E4B32" w:rsidP="007E4B32">
            <w:pPr>
              <w:pStyle w:val="VCAAtablecondensed"/>
            </w:pPr>
            <w:r>
              <w:t>%</w:t>
            </w:r>
          </w:p>
        </w:tc>
        <w:tc>
          <w:tcPr>
            <w:tcW w:w="547" w:type="dxa"/>
          </w:tcPr>
          <w:p w14:paraId="1FCD8483" w14:textId="54A68A24" w:rsidR="007E4B32" w:rsidRPr="00332089" w:rsidRDefault="00B559B9" w:rsidP="007E4B32">
            <w:pPr>
              <w:pStyle w:val="VCAAtablecondensed"/>
            </w:pPr>
            <w:r>
              <w:t>9</w:t>
            </w:r>
          </w:p>
        </w:tc>
        <w:tc>
          <w:tcPr>
            <w:tcW w:w="547" w:type="dxa"/>
          </w:tcPr>
          <w:p w14:paraId="2A614DB6" w14:textId="140E7C7E" w:rsidR="007E4B32" w:rsidRDefault="007E4B32" w:rsidP="007E4B32">
            <w:pPr>
              <w:pStyle w:val="VCAAtablecondensed"/>
            </w:pPr>
            <w:r w:rsidRPr="0056257C">
              <w:t>32</w:t>
            </w:r>
          </w:p>
        </w:tc>
        <w:tc>
          <w:tcPr>
            <w:tcW w:w="547" w:type="dxa"/>
          </w:tcPr>
          <w:p w14:paraId="71EF1AD4" w14:textId="0ACAB974" w:rsidR="007E4B32" w:rsidRDefault="007E4B32" w:rsidP="007E4B32">
            <w:pPr>
              <w:pStyle w:val="VCAAtablecondensed"/>
            </w:pPr>
            <w:r w:rsidRPr="0056257C">
              <w:t>3</w:t>
            </w:r>
            <w:r w:rsidR="00B559B9">
              <w:t>9</w:t>
            </w:r>
          </w:p>
        </w:tc>
        <w:tc>
          <w:tcPr>
            <w:tcW w:w="547" w:type="dxa"/>
          </w:tcPr>
          <w:p w14:paraId="7CE51D70" w14:textId="1E395C27" w:rsidR="007E4B32" w:rsidRDefault="007E4B32" w:rsidP="007E4B32">
            <w:pPr>
              <w:pStyle w:val="VCAAtablecondensed"/>
            </w:pPr>
            <w:r w:rsidRPr="0056257C">
              <w:t>2</w:t>
            </w:r>
            <w:r w:rsidR="00B559B9">
              <w:t>1</w:t>
            </w:r>
          </w:p>
        </w:tc>
        <w:tc>
          <w:tcPr>
            <w:tcW w:w="1372" w:type="dxa"/>
          </w:tcPr>
          <w:p w14:paraId="7CA75D93" w14:textId="77777777" w:rsidR="007E4B32" w:rsidRPr="00332089" w:rsidRDefault="007E4B32" w:rsidP="001717C0">
            <w:pPr>
              <w:pStyle w:val="VCAAtablecondensed"/>
            </w:pPr>
            <w:r w:rsidRPr="003F6AD3">
              <w:t>1.7</w:t>
            </w:r>
          </w:p>
        </w:tc>
      </w:tr>
    </w:tbl>
    <w:p w14:paraId="1AA38C50" w14:textId="5EC57BA4" w:rsidR="00340781" w:rsidRPr="00FD3E11" w:rsidRDefault="00FD3E11" w:rsidP="00340781">
      <w:pPr>
        <w:pStyle w:val="VCAAbody"/>
        <w:rPr>
          <w:lang w:val="en-AU"/>
        </w:rPr>
      </w:pPr>
      <w:r>
        <w:rPr>
          <w:lang w:val="en-AU"/>
        </w:rPr>
        <w:t xml:space="preserve">This task </w:t>
      </w:r>
      <w:r w:rsidR="00016A32">
        <w:rPr>
          <w:lang w:val="en-AU"/>
        </w:rPr>
        <w:t xml:space="preserve">was </w:t>
      </w:r>
      <w:r>
        <w:rPr>
          <w:lang w:val="en-AU"/>
        </w:rPr>
        <w:t>presented as part of a line of reasoning</w:t>
      </w:r>
      <w:r w:rsidR="00016A32">
        <w:rPr>
          <w:lang w:val="en-AU"/>
        </w:rPr>
        <w:t>, and</w:t>
      </w:r>
      <w:r>
        <w:rPr>
          <w:lang w:val="en-AU"/>
        </w:rPr>
        <w:t xml:space="preserve"> </w:t>
      </w:r>
      <w:r w:rsidR="00016A32">
        <w:rPr>
          <w:lang w:val="en-AU"/>
        </w:rPr>
        <w:t>s</w:t>
      </w:r>
      <w:r>
        <w:rPr>
          <w:lang w:val="en-AU"/>
        </w:rPr>
        <w:t>tudents were asked to provide</w:t>
      </w:r>
      <w:r w:rsidR="007E4B32" w:rsidRPr="00A20DBC">
        <w:t xml:space="preserve"> an opposing argument to </w:t>
      </w:r>
      <w:r w:rsidR="00411E4E">
        <w:t xml:space="preserve">both </w:t>
      </w:r>
      <w:r w:rsidR="007E4B32" w:rsidRPr="00A20DBC">
        <w:t xml:space="preserve">the proposition </w:t>
      </w:r>
      <w:r w:rsidR="007E4B32" w:rsidRPr="00DF3D0E">
        <w:t>and</w:t>
      </w:r>
      <w:r w:rsidR="007E4B32" w:rsidRPr="00A20DBC">
        <w:t xml:space="preserve"> argument that </w:t>
      </w:r>
      <w:r w:rsidR="007E4B32">
        <w:t>schools should ban the sale of junk food</w:t>
      </w:r>
      <w:r w:rsidR="007E4B32" w:rsidRPr="00A20DBC">
        <w:t xml:space="preserve">. </w:t>
      </w:r>
      <w:r w:rsidR="00340781" w:rsidRPr="00FD3E11">
        <w:rPr>
          <w:lang w:val="en-AU"/>
        </w:rPr>
        <w:t xml:space="preserve">Responses </w:t>
      </w:r>
      <w:r w:rsidR="00340781">
        <w:rPr>
          <w:lang w:val="en-AU"/>
        </w:rPr>
        <w:t xml:space="preserve">needed to </w:t>
      </w:r>
      <w:r w:rsidR="00340781" w:rsidRPr="00FD3E11">
        <w:rPr>
          <w:lang w:val="en-AU"/>
        </w:rPr>
        <w:t>explain</w:t>
      </w:r>
      <w:r w:rsidR="00340781">
        <w:rPr>
          <w:lang w:val="en-AU"/>
        </w:rPr>
        <w:t>,</w:t>
      </w:r>
      <w:r w:rsidR="00340781" w:rsidRPr="00FD3E11">
        <w:rPr>
          <w:lang w:val="en-AU"/>
        </w:rPr>
        <w:t xml:space="preserve"> explicitly or in the course of presenting the argument</w:t>
      </w:r>
      <w:r w:rsidR="00340781">
        <w:rPr>
          <w:lang w:val="en-AU"/>
        </w:rPr>
        <w:t>,</w:t>
      </w:r>
      <w:r w:rsidR="00340781" w:rsidRPr="00FD3E11">
        <w:rPr>
          <w:lang w:val="en-AU"/>
        </w:rPr>
        <w:t xml:space="preserve"> how the opposing argument is effective</w:t>
      </w:r>
      <w:r w:rsidR="00340781">
        <w:rPr>
          <w:lang w:val="en-AU"/>
        </w:rPr>
        <w:t xml:space="preserve"> in addressing </w:t>
      </w:r>
      <w:r w:rsidR="00340781" w:rsidRPr="00FD3E11">
        <w:rPr>
          <w:lang w:val="en-AU"/>
        </w:rPr>
        <w:t>the issue, rather than its use of persuasive devices.</w:t>
      </w:r>
    </w:p>
    <w:p w14:paraId="53AE2888" w14:textId="3CE75C97" w:rsidR="007E4B32" w:rsidRPr="00A20DBC" w:rsidRDefault="00D118CD" w:rsidP="007E4B32">
      <w:pPr>
        <w:pStyle w:val="VCAAbody"/>
      </w:pPr>
      <w:r>
        <w:t>A</w:t>
      </w:r>
      <w:r w:rsidR="007E4B32">
        <w:t xml:space="preserve"> number of </w:t>
      </w:r>
      <w:r>
        <w:t xml:space="preserve">responses </w:t>
      </w:r>
      <w:r w:rsidR="007E4B32">
        <w:t>contradict</w:t>
      </w:r>
      <w:r>
        <w:t>ed</w:t>
      </w:r>
      <w:r w:rsidR="007E4B32">
        <w:t xml:space="preserve"> the proposition or the argument </w:t>
      </w:r>
      <w:r w:rsidR="00BB5ED0">
        <w:t>in isolation</w:t>
      </w:r>
      <w:r w:rsidR="00340781">
        <w:t>,</w:t>
      </w:r>
      <w:r w:rsidR="00BB5ED0">
        <w:t xml:space="preserve"> </w:t>
      </w:r>
      <w:r w:rsidR="007E4B32">
        <w:t xml:space="preserve">without </w:t>
      </w:r>
      <w:r w:rsidR="00BB5ED0">
        <w:t xml:space="preserve">considering </w:t>
      </w:r>
      <w:r w:rsidR="007E4B32">
        <w:t>both aspects and then going beyond their simple contradiction.</w:t>
      </w:r>
      <w:r w:rsidR="007E4B32" w:rsidRPr="00A20DBC">
        <w:t xml:space="preserve"> </w:t>
      </w:r>
    </w:p>
    <w:p w14:paraId="5B55D66D" w14:textId="273CD4FE" w:rsidR="007E4B32" w:rsidRPr="00FD3E11" w:rsidRDefault="00312A3E" w:rsidP="008248B2">
      <w:pPr>
        <w:pStyle w:val="VCAAbody"/>
        <w:rPr>
          <w:lang w:val="en-AU"/>
        </w:rPr>
      </w:pPr>
      <w:r>
        <w:t>Responses that scored highly</w:t>
      </w:r>
      <w:r w:rsidR="007E4B32" w:rsidRPr="00FD3E11">
        <w:t xml:space="preserve"> offered</w:t>
      </w:r>
      <w:r w:rsidR="00340781">
        <w:t xml:space="preserve"> a</w:t>
      </w:r>
      <w:r w:rsidR="007E4B32" w:rsidRPr="00FD3E11">
        <w:t xml:space="preserve"> sound</w:t>
      </w:r>
      <w:r w:rsidR="00340781">
        <w:t xml:space="preserve">, </w:t>
      </w:r>
      <w:r w:rsidR="00340781" w:rsidRPr="00FD3E11">
        <w:t xml:space="preserve">precisely expressed </w:t>
      </w:r>
      <w:r w:rsidR="007E4B32" w:rsidRPr="00FD3E11">
        <w:t xml:space="preserve">argument, which dealt with both the proposition and the argument. </w:t>
      </w:r>
      <w:r w:rsidR="00FD3E11" w:rsidRPr="00FD3E11">
        <w:rPr>
          <w:lang w:val="en-AU"/>
        </w:rPr>
        <w:t xml:space="preserve">Some </w:t>
      </w:r>
      <w:r w:rsidR="00D118CD">
        <w:rPr>
          <w:lang w:val="en-AU"/>
        </w:rPr>
        <w:t xml:space="preserve">of the </w:t>
      </w:r>
      <w:r w:rsidR="00FD3E11" w:rsidRPr="00FD3E11">
        <w:rPr>
          <w:lang w:val="en-AU"/>
        </w:rPr>
        <w:t xml:space="preserve">effective opposing arguments </w:t>
      </w:r>
      <w:r w:rsidR="00522B84">
        <w:rPr>
          <w:lang w:val="en-AU"/>
        </w:rPr>
        <w:t>included</w:t>
      </w:r>
      <w:r w:rsidR="00FD3E11" w:rsidRPr="00FD3E11">
        <w:rPr>
          <w:lang w:val="en-AU"/>
        </w:rPr>
        <w:t>:</w:t>
      </w:r>
    </w:p>
    <w:p w14:paraId="7CCA6465" w14:textId="682B39EB" w:rsidR="00BB5ED0" w:rsidRPr="00B10700" w:rsidRDefault="00BB5ED0" w:rsidP="00D019E4">
      <w:pPr>
        <w:pStyle w:val="VCAAbullet"/>
      </w:pPr>
      <w:r w:rsidRPr="00B10700">
        <w:t xml:space="preserve">Schools have an obligation to try to teach good dietary habits by modelling them on campus, because if students have no example of good nutrition practice, at school or at home, they have little chance of learning good dietary habits in later life. </w:t>
      </w:r>
    </w:p>
    <w:p w14:paraId="7B7A6967" w14:textId="5AC7B840" w:rsidR="00BB5ED0" w:rsidRPr="00B10700" w:rsidRDefault="00BB5ED0" w:rsidP="00D019E4">
      <w:pPr>
        <w:pStyle w:val="VCAAbullet"/>
      </w:pPr>
      <w:r w:rsidRPr="00B10700">
        <w:t xml:space="preserve">Schools are unable to control behaviour off-campus, but they may be able to influence it through modelling good practice and upholding good nutritional standards during school hours. </w:t>
      </w:r>
    </w:p>
    <w:p w14:paraId="222A9838" w14:textId="49D57B52" w:rsidR="00BB5ED0" w:rsidRPr="00B10700" w:rsidRDefault="00BB5ED0" w:rsidP="00D019E4">
      <w:pPr>
        <w:pStyle w:val="VCAAbullet"/>
      </w:pPr>
      <w:r w:rsidRPr="00B10700">
        <w:t xml:space="preserve">Dietary habits are affected by many factors, but schools have no chance of influencing young people to eat healthily unless they practise what they preach by providing healthy food while at school. </w:t>
      </w:r>
    </w:p>
    <w:p w14:paraId="43D45B56" w14:textId="059AD68C" w:rsidR="00BB5ED0" w:rsidRPr="00B10700" w:rsidRDefault="00BB5ED0" w:rsidP="00D019E4">
      <w:pPr>
        <w:pStyle w:val="VCAAbullet"/>
      </w:pPr>
      <w:r w:rsidRPr="00B10700">
        <w:t xml:space="preserve">Schools have a moral obligation or duty of care to set good dietary habits/examples to students irrespective of whether it affects students out of school. Banning the sale of junk foods on school grounds is one way of promoting good dietary habits. </w:t>
      </w:r>
    </w:p>
    <w:p w14:paraId="5948AC40" w14:textId="63C3E857" w:rsidR="00716AF6" w:rsidRDefault="007E4B32" w:rsidP="007E4B32">
      <w:pPr>
        <w:pStyle w:val="VCAAbody"/>
      </w:pPr>
      <w:r w:rsidRPr="008248B2">
        <w:t xml:space="preserve">The following </w:t>
      </w:r>
      <w:r w:rsidR="00716AF6">
        <w:t xml:space="preserve">is an example of a </w:t>
      </w:r>
      <w:r w:rsidRPr="008248B2">
        <w:t>high-scoring response</w:t>
      </w:r>
      <w:r w:rsidR="00D019E4">
        <w:t>.</w:t>
      </w:r>
    </w:p>
    <w:p w14:paraId="0F34102B" w14:textId="6DEBCD8C" w:rsidR="00BB5ED0" w:rsidRPr="00DF3D0E" w:rsidRDefault="00BB5ED0" w:rsidP="00DF3D0E">
      <w:pPr>
        <w:pStyle w:val="VCAAstudentresponse"/>
      </w:pPr>
      <w:r w:rsidRPr="00DF3D0E">
        <w:t xml:space="preserve">Schools should ban junk food because although students still have the opportunity to make unhealthy choices outside of school hours, it is the school’s responsibility to both limit time where students are able to access unhealthy food and set an example to educate their students on healthy food choices. Banning junk food in schools will not only limit she student’s access to these unhealthy foods, but contribute to teaching them about good food choices through influence, leading to a healthier future population who will teach their children to make good food choices. Some may argue that it is the parent’s </w:t>
      </w:r>
      <w:r w:rsidR="00C75CF3">
        <w:t>responsibility</w:t>
      </w:r>
      <w:r w:rsidR="00C75CF3" w:rsidRPr="00DF3D0E">
        <w:t xml:space="preserve"> </w:t>
      </w:r>
      <w:r w:rsidRPr="00DF3D0E">
        <w:t>to educate their children on correct food choices, but not all children have parents who are educated on how to make healthy food choices themselves, leaving room for children to be influenced by their parent’s bad eating habits from an early age and then have that reinforced by schools through their continuation of the allowance of junk food.</w:t>
      </w:r>
    </w:p>
    <w:sectPr w:rsidR="00BB5ED0" w:rsidRPr="00DF3D0E"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AED0" w14:textId="77777777" w:rsidR="00682F67" w:rsidRDefault="00682F67" w:rsidP="00304EA1">
      <w:pPr>
        <w:spacing w:after="0" w:line="240" w:lineRule="auto"/>
      </w:pPr>
      <w:r>
        <w:separator/>
      </w:r>
    </w:p>
  </w:endnote>
  <w:endnote w:type="continuationSeparator" w:id="0">
    <w:p w14:paraId="742A02F8" w14:textId="77777777" w:rsidR="00682F67" w:rsidRDefault="00682F6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CC4AB6" w:rsidRPr="00D06414" w14:paraId="5054A507" w14:textId="77777777" w:rsidTr="00BB3BAB">
      <w:trPr>
        <w:trHeight w:val="476"/>
      </w:trPr>
      <w:tc>
        <w:tcPr>
          <w:tcW w:w="1667" w:type="pct"/>
          <w:tcMar>
            <w:left w:w="0" w:type="dxa"/>
            <w:right w:w="0" w:type="dxa"/>
          </w:tcMar>
        </w:tcPr>
        <w:p w14:paraId="7DDEAB5D" w14:textId="77777777" w:rsidR="00CC4AB6" w:rsidRPr="00D06414" w:rsidRDefault="00CC4AB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26103AC" w14:textId="77777777" w:rsidR="00CC4AB6" w:rsidRPr="00D06414" w:rsidRDefault="00CC4AB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ED6C51C" w14:textId="49D1E0A4" w:rsidR="00CC4AB6" w:rsidRPr="00D06414" w:rsidRDefault="00CC4AB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5A4BDFEC" w14:textId="77777777" w:rsidR="00CC4AB6" w:rsidRPr="00D06414" w:rsidRDefault="00CC4AB6"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29F9EAD6" wp14:editId="73B2D91F">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CC4AB6" w:rsidRPr="00D06414" w14:paraId="6E7A21F9" w14:textId="77777777" w:rsidTr="000F5AAF">
      <w:tc>
        <w:tcPr>
          <w:tcW w:w="1459" w:type="pct"/>
          <w:tcMar>
            <w:left w:w="0" w:type="dxa"/>
            <w:right w:w="0" w:type="dxa"/>
          </w:tcMar>
        </w:tcPr>
        <w:p w14:paraId="1CC77BEC" w14:textId="77777777" w:rsidR="00CC4AB6" w:rsidRPr="00D06414" w:rsidRDefault="00CC4AB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BE9DDE2" w14:textId="77777777" w:rsidR="00CC4AB6" w:rsidRPr="00D06414" w:rsidRDefault="00CC4AB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5F1F613" w14:textId="77777777" w:rsidR="00CC4AB6" w:rsidRPr="00D06414" w:rsidRDefault="00CC4AB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E763CF3" w14:textId="77777777" w:rsidR="00CC4AB6" w:rsidRPr="00D06414" w:rsidRDefault="00CC4AB6"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2BB8A007" wp14:editId="64DFF67F">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1533C" w14:textId="77777777" w:rsidR="00682F67" w:rsidRDefault="00682F67" w:rsidP="00304EA1">
      <w:pPr>
        <w:spacing w:after="0" w:line="240" w:lineRule="auto"/>
      </w:pPr>
      <w:r>
        <w:separator/>
      </w:r>
    </w:p>
  </w:footnote>
  <w:footnote w:type="continuationSeparator" w:id="0">
    <w:p w14:paraId="414C4398" w14:textId="77777777" w:rsidR="00682F67" w:rsidRDefault="00682F6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C767" w14:textId="77777777" w:rsidR="00CC4AB6" w:rsidRPr="00D86DE4" w:rsidRDefault="00CC4AB6"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2A5A" w14:textId="77777777" w:rsidR="00CC4AB6" w:rsidRPr="009370BC" w:rsidRDefault="00CC4AB6" w:rsidP="00970580">
    <w:pPr>
      <w:spacing w:after="0"/>
      <w:ind w:right="-142"/>
      <w:jc w:val="right"/>
    </w:pPr>
    <w:r>
      <w:rPr>
        <w:noProof/>
        <w:lang w:eastAsia="en-AU"/>
      </w:rPr>
      <w:drawing>
        <wp:anchor distT="0" distB="0" distL="114300" distR="114300" simplePos="0" relativeHeight="251660288" behindDoc="1" locked="1" layoutInCell="1" allowOverlap="1" wp14:anchorId="2F40821C" wp14:editId="58CC2BC9">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B42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BAD3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240F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E490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3424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0C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BABE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2F2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3E6C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8AF0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C2540"/>
    <w:multiLevelType w:val="hybridMultilevel"/>
    <w:tmpl w:val="9F308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43027"/>
    <w:multiLevelType w:val="hybridMultilevel"/>
    <w:tmpl w:val="F31E8984"/>
    <w:lvl w:ilvl="0" w:tplc="525C1AF0">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2370BB0"/>
    <w:multiLevelType w:val="hybridMultilevel"/>
    <w:tmpl w:val="3B8029BA"/>
    <w:lvl w:ilvl="0" w:tplc="0C09000F">
      <w:start w:val="4"/>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E0570F"/>
    <w:multiLevelType w:val="hybridMultilevel"/>
    <w:tmpl w:val="69C63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4AC0C60"/>
    <w:multiLevelType w:val="hybridMultilevel"/>
    <w:tmpl w:val="BCA220D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D24DB5"/>
    <w:multiLevelType w:val="hybridMultilevel"/>
    <w:tmpl w:val="C22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FA24237"/>
    <w:multiLevelType w:val="hybridMultilevel"/>
    <w:tmpl w:val="116A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00B69B78"/>
    <w:lvl w:ilvl="0" w:tplc="D3FC012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72184D27"/>
    <w:multiLevelType w:val="hybridMultilevel"/>
    <w:tmpl w:val="40F4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7"/>
  </w:num>
  <w:num w:numId="4">
    <w:abstractNumId w:val="13"/>
  </w:num>
  <w:num w:numId="5">
    <w:abstractNumId w:val="20"/>
  </w:num>
  <w:num w:numId="6">
    <w:abstractNumId w:val="15"/>
  </w:num>
  <w:num w:numId="7">
    <w:abstractNumId w:val="14"/>
  </w:num>
  <w:num w:numId="8">
    <w:abstractNumId w:val="11"/>
  </w:num>
  <w:num w:numId="9">
    <w:abstractNumId w:val="18"/>
  </w:num>
  <w:num w:numId="10">
    <w:abstractNumId w:val="22"/>
  </w:num>
  <w:num w:numId="11">
    <w:abstractNumId w:val="16"/>
  </w:num>
  <w:num w:numId="12">
    <w:abstractNumId w:val="10"/>
  </w:num>
  <w:num w:numId="1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195"/>
    <w:rsid w:val="00003885"/>
    <w:rsid w:val="00004D69"/>
    <w:rsid w:val="00016A32"/>
    <w:rsid w:val="00024018"/>
    <w:rsid w:val="00036969"/>
    <w:rsid w:val="000536C6"/>
    <w:rsid w:val="0005445B"/>
    <w:rsid w:val="0005780E"/>
    <w:rsid w:val="00065CC6"/>
    <w:rsid w:val="0006674F"/>
    <w:rsid w:val="000708C5"/>
    <w:rsid w:val="000728F4"/>
    <w:rsid w:val="000751CC"/>
    <w:rsid w:val="0008327E"/>
    <w:rsid w:val="0008480B"/>
    <w:rsid w:val="00090D46"/>
    <w:rsid w:val="00096940"/>
    <w:rsid w:val="000A0554"/>
    <w:rsid w:val="000A20B8"/>
    <w:rsid w:val="000A39F0"/>
    <w:rsid w:val="000A71F7"/>
    <w:rsid w:val="000C3DC4"/>
    <w:rsid w:val="000D0716"/>
    <w:rsid w:val="000D5000"/>
    <w:rsid w:val="000D6CA5"/>
    <w:rsid w:val="000E0D69"/>
    <w:rsid w:val="000E4617"/>
    <w:rsid w:val="000E46BF"/>
    <w:rsid w:val="000F09E4"/>
    <w:rsid w:val="000F16FD"/>
    <w:rsid w:val="000F5AAF"/>
    <w:rsid w:val="000F6C89"/>
    <w:rsid w:val="001029F3"/>
    <w:rsid w:val="00111627"/>
    <w:rsid w:val="00112484"/>
    <w:rsid w:val="00115F7F"/>
    <w:rsid w:val="0012048C"/>
    <w:rsid w:val="00120DB9"/>
    <w:rsid w:val="00124CF0"/>
    <w:rsid w:val="00126BAD"/>
    <w:rsid w:val="00130FB6"/>
    <w:rsid w:val="00131A65"/>
    <w:rsid w:val="0013619B"/>
    <w:rsid w:val="001369BF"/>
    <w:rsid w:val="00143520"/>
    <w:rsid w:val="00143685"/>
    <w:rsid w:val="00145E4D"/>
    <w:rsid w:val="001503F8"/>
    <w:rsid w:val="00153AD2"/>
    <w:rsid w:val="00160F55"/>
    <w:rsid w:val="00170EA4"/>
    <w:rsid w:val="001717C0"/>
    <w:rsid w:val="00175FF1"/>
    <w:rsid w:val="001779EA"/>
    <w:rsid w:val="00182027"/>
    <w:rsid w:val="00184297"/>
    <w:rsid w:val="00197C5E"/>
    <w:rsid w:val="001C0C65"/>
    <w:rsid w:val="001C2841"/>
    <w:rsid w:val="001C397C"/>
    <w:rsid w:val="001C3EEA"/>
    <w:rsid w:val="001D281F"/>
    <w:rsid w:val="001D3246"/>
    <w:rsid w:val="001D388E"/>
    <w:rsid w:val="001D5C81"/>
    <w:rsid w:val="001E057B"/>
    <w:rsid w:val="001E7BD9"/>
    <w:rsid w:val="001F0EE0"/>
    <w:rsid w:val="001F10FE"/>
    <w:rsid w:val="001F16A5"/>
    <w:rsid w:val="001F4839"/>
    <w:rsid w:val="00202A52"/>
    <w:rsid w:val="002040F2"/>
    <w:rsid w:val="0021045B"/>
    <w:rsid w:val="00210AC0"/>
    <w:rsid w:val="0021248C"/>
    <w:rsid w:val="002221C7"/>
    <w:rsid w:val="002279BA"/>
    <w:rsid w:val="002329F3"/>
    <w:rsid w:val="002341A3"/>
    <w:rsid w:val="00236DE1"/>
    <w:rsid w:val="00240BD2"/>
    <w:rsid w:val="00243F0D"/>
    <w:rsid w:val="00246EFD"/>
    <w:rsid w:val="00252AA6"/>
    <w:rsid w:val="00255B7D"/>
    <w:rsid w:val="00260767"/>
    <w:rsid w:val="002647BB"/>
    <w:rsid w:val="002658C4"/>
    <w:rsid w:val="00266CF3"/>
    <w:rsid w:val="00273FAB"/>
    <w:rsid w:val="002745F3"/>
    <w:rsid w:val="002754C1"/>
    <w:rsid w:val="00280EB4"/>
    <w:rsid w:val="00282E69"/>
    <w:rsid w:val="002841C8"/>
    <w:rsid w:val="0028516B"/>
    <w:rsid w:val="00293C20"/>
    <w:rsid w:val="00293F94"/>
    <w:rsid w:val="002C012A"/>
    <w:rsid w:val="002C34E5"/>
    <w:rsid w:val="002C5F0C"/>
    <w:rsid w:val="002C6F90"/>
    <w:rsid w:val="002E4FB5"/>
    <w:rsid w:val="002E7DCC"/>
    <w:rsid w:val="002F6621"/>
    <w:rsid w:val="002F6FFB"/>
    <w:rsid w:val="00302FB8"/>
    <w:rsid w:val="00304C38"/>
    <w:rsid w:val="00304EA1"/>
    <w:rsid w:val="00311844"/>
    <w:rsid w:val="00312A3E"/>
    <w:rsid w:val="00314D81"/>
    <w:rsid w:val="00321250"/>
    <w:rsid w:val="00321BDE"/>
    <w:rsid w:val="00322FC6"/>
    <w:rsid w:val="00332F33"/>
    <w:rsid w:val="003342BF"/>
    <w:rsid w:val="00340781"/>
    <w:rsid w:val="00350651"/>
    <w:rsid w:val="0035293F"/>
    <w:rsid w:val="00362F03"/>
    <w:rsid w:val="00365CAA"/>
    <w:rsid w:val="00365E39"/>
    <w:rsid w:val="00385147"/>
    <w:rsid w:val="00391986"/>
    <w:rsid w:val="0039512E"/>
    <w:rsid w:val="003A00B4"/>
    <w:rsid w:val="003A198E"/>
    <w:rsid w:val="003A6C99"/>
    <w:rsid w:val="003A6F6F"/>
    <w:rsid w:val="003B06C0"/>
    <w:rsid w:val="003B2257"/>
    <w:rsid w:val="003B4B79"/>
    <w:rsid w:val="003C5E71"/>
    <w:rsid w:val="003D6CBD"/>
    <w:rsid w:val="003E2663"/>
    <w:rsid w:val="003E2E01"/>
    <w:rsid w:val="003E60EF"/>
    <w:rsid w:val="003F08A0"/>
    <w:rsid w:val="003F278C"/>
    <w:rsid w:val="003F617F"/>
    <w:rsid w:val="003F7880"/>
    <w:rsid w:val="00400537"/>
    <w:rsid w:val="00403BAD"/>
    <w:rsid w:val="00411E4E"/>
    <w:rsid w:val="004130AE"/>
    <w:rsid w:val="00417AA3"/>
    <w:rsid w:val="00423491"/>
    <w:rsid w:val="00425DFE"/>
    <w:rsid w:val="00434EDB"/>
    <w:rsid w:val="00435433"/>
    <w:rsid w:val="00440B32"/>
    <w:rsid w:val="00440EA5"/>
    <w:rsid w:val="0044213C"/>
    <w:rsid w:val="00442C4F"/>
    <w:rsid w:val="004459B3"/>
    <w:rsid w:val="0046078D"/>
    <w:rsid w:val="00464389"/>
    <w:rsid w:val="004667FB"/>
    <w:rsid w:val="004774B5"/>
    <w:rsid w:val="00477DD0"/>
    <w:rsid w:val="0048088D"/>
    <w:rsid w:val="00492CC2"/>
    <w:rsid w:val="004954C2"/>
    <w:rsid w:val="00495C80"/>
    <w:rsid w:val="004968CB"/>
    <w:rsid w:val="004A2D46"/>
    <w:rsid w:val="004A2ED8"/>
    <w:rsid w:val="004A7A6A"/>
    <w:rsid w:val="004B6F17"/>
    <w:rsid w:val="004C3088"/>
    <w:rsid w:val="004E0448"/>
    <w:rsid w:val="004F0C12"/>
    <w:rsid w:val="004F5BDA"/>
    <w:rsid w:val="00502675"/>
    <w:rsid w:val="0051383F"/>
    <w:rsid w:val="0051631E"/>
    <w:rsid w:val="00522B84"/>
    <w:rsid w:val="00525D60"/>
    <w:rsid w:val="00531690"/>
    <w:rsid w:val="00534B37"/>
    <w:rsid w:val="005377A4"/>
    <w:rsid w:val="00537A1F"/>
    <w:rsid w:val="00551B84"/>
    <w:rsid w:val="005570CF"/>
    <w:rsid w:val="005605B3"/>
    <w:rsid w:val="00566029"/>
    <w:rsid w:val="005923CB"/>
    <w:rsid w:val="005B391B"/>
    <w:rsid w:val="005B7169"/>
    <w:rsid w:val="005C589D"/>
    <w:rsid w:val="005C6568"/>
    <w:rsid w:val="005D3D78"/>
    <w:rsid w:val="005D5C5E"/>
    <w:rsid w:val="005E2EF0"/>
    <w:rsid w:val="005E4567"/>
    <w:rsid w:val="005F4092"/>
    <w:rsid w:val="00612B8A"/>
    <w:rsid w:val="00620BB6"/>
    <w:rsid w:val="0063472B"/>
    <w:rsid w:val="006348C7"/>
    <w:rsid w:val="00634B5B"/>
    <w:rsid w:val="00653EC8"/>
    <w:rsid w:val="00657C3C"/>
    <w:rsid w:val="00661DC4"/>
    <w:rsid w:val="006663C6"/>
    <w:rsid w:val="0067429F"/>
    <w:rsid w:val="00675908"/>
    <w:rsid w:val="00682F67"/>
    <w:rsid w:val="0068471E"/>
    <w:rsid w:val="00684F98"/>
    <w:rsid w:val="0069000A"/>
    <w:rsid w:val="00693FFD"/>
    <w:rsid w:val="0069418B"/>
    <w:rsid w:val="006A0D4F"/>
    <w:rsid w:val="006A14E7"/>
    <w:rsid w:val="006A2623"/>
    <w:rsid w:val="006A437B"/>
    <w:rsid w:val="006B5D03"/>
    <w:rsid w:val="006B66F5"/>
    <w:rsid w:val="006C5045"/>
    <w:rsid w:val="006D2159"/>
    <w:rsid w:val="006E6194"/>
    <w:rsid w:val="006F512D"/>
    <w:rsid w:val="006F787C"/>
    <w:rsid w:val="00702636"/>
    <w:rsid w:val="007026B6"/>
    <w:rsid w:val="007061D9"/>
    <w:rsid w:val="00714C3D"/>
    <w:rsid w:val="0071516B"/>
    <w:rsid w:val="00716AF6"/>
    <w:rsid w:val="00724507"/>
    <w:rsid w:val="0072687F"/>
    <w:rsid w:val="00747109"/>
    <w:rsid w:val="007474B1"/>
    <w:rsid w:val="007522AC"/>
    <w:rsid w:val="0075383F"/>
    <w:rsid w:val="007548E1"/>
    <w:rsid w:val="00756C80"/>
    <w:rsid w:val="00772D0D"/>
    <w:rsid w:val="00773A05"/>
    <w:rsid w:val="00773E6C"/>
    <w:rsid w:val="00774906"/>
    <w:rsid w:val="00774D3F"/>
    <w:rsid w:val="00781FB1"/>
    <w:rsid w:val="007820BC"/>
    <w:rsid w:val="00782A0E"/>
    <w:rsid w:val="007A4B91"/>
    <w:rsid w:val="007B2066"/>
    <w:rsid w:val="007C31F4"/>
    <w:rsid w:val="007C451E"/>
    <w:rsid w:val="007C600D"/>
    <w:rsid w:val="007D1B6D"/>
    <w:rsid w:val="007E14B4"/>
    <w:rsid w:val="007E4B32"/>
    <w:rsid w:val="007E6A84"/>
    <w:rsid w:val="007E7CDB"/>
    <w:rsid w:val="008028EC"/>
    <w:rsid w:val="00813C37"/>
    <w:rsid w:val="00814060"/>
    <w:rsid w:val="008154B5"/>
    <w:rsid w:val="00815642"/>
    <w:rsid w:val="00823962"/>
    <w:rsid w:val="00824715"/>
    <w:rsid w:val="008248B2"/>
    <w:rsid w:val="00834B76"/>
    <w:rsid w:val="00835B63"/>
    <w:rsid w:val="008370FB"/>
    <w:rsid w:val="00842837"/>
    <w:rsid w:val="0084417D"/>
    <w:rsid w:val="008444AE"/>
    <w:rsid w:val="00845B0F"/>
    <w:rsid w:val="00845E7F"/>
    <w:rsid w:val="00846C7E"/>
    <w:rsid w:val="00850410"/>
    <w:rsid w:val="00852719"/>
    <w:rsid w:val="00860115"/>
    <w:rsid w:val="008610B4"/>
    <w:rsid w:val="00875B19"/>
    <w:rsid w:val="00885429"/>
    <w:rsid w:val="00885549"/>
    <w:rsid w:val="0088783C"/>
    <w:rsid w:val="00895B09"/>
    <w:rsid w:val="008A1FE0"/>
    <w:rsid w:val="008A41D5"/>
    <w:rsid w:val="008A5933"/>
    <w:rsid w:val="008B414A"/>
    <w:rsid w:val="008C2A8E"/>
    <w:rsid w:val="008D4B1E"/>
    <w:rsid w:val="008E083E"/>
    <w:rsid w:val="008E1BD2"/>
    <w:rsid w:val="008F0D01"/>
    <w:rsid w:val="008F3761"/>
    <w:rsid w:val="008F719B"/>
    <w:rsid w:val="008F7705"/>
    <w:rsid w:val="0090427B"/>
    <w:rsid w:val="00911261"/>
    <w:rsid w:val="00911E12"/>
    <w:rsid w:val="00913C10"/>
    <w:rsid w:val="0091531F"/>
    <w:rsid w:val="00915EA0"/>
    <w:rsid w:val="0091698B"/>
    <w:rsid w:val="00917BAC"/>
    <w:rsid w:val="00922AB4"/>
    <w:rsid w:val="009342CC"/>
    <w:rsid w:val="009370BC"/>
    <w:rsid w:val="009512D1"/>
    <w:rsid w:val="009534E4"/>
    <w:rsid w:val="00964195"/>
    <w:rsid w:val="0096647E"/>
    <w:rsid w:val="00970580"/>
    <w:rsid w:val="00972C13"/>
    <w:rsid w:val="00972FA4"/>
    <w:rsid w:val="00980518"/>
    <w:rsid w:val="00983201"/>
    <w:rsid w:val="0098739B"/>
    <w:rsid w:val="009906B5"/>
    <w:rsid w:val="00992172"/>
    <w:rsid w:val="009A1EF8"/>
    <w:rsid w:val="009A21FD"/>
    <w:rsid w:val="009B42AE"/>
    <w:rsid w:val="009B61E5"/>
    <w:rsid w:val="009C0D80"/>
    <w:rsid w:val="009C257F"/>
    <w:rsid w:val="009C3E4E"/>
    <w:rsid w:val="009D0E9E"/>
    <w:rsid w:val="009D1E89"/>
    <w:rsid w:val="009E246A"/>
    <w:rsid w:val="009E298C"/>
    <w:rsid w:val="009E5707"/>
    <w:rsid w:val="009E6811"/>
    <w:rsid w:val="009E7E09"/>
    <w:rsid w:val="009F6212"/>
    <w:rsid w:val="00A04FDE"/>
    <w:rsid w:val="00A060CB"/>
    <w:rsid w:val="00A10B50"/>
    <w:rsid w:val="00A13307"/>
    <w:rsid w:val="00A15454"/>
    <w:rsid w:val="00A1651D"/>
    <w:rsid w:val="00A17661"/>
    <w:rsid w:val="00A24B2D"/>
    <w:rsid w:val="00A3094D"/>
    <w:rsid w:val="00A3284D"/>
    <w:rsid w:val="00A37C40"/>
    <w:rsid w:val="00A40966"/>
    <w:rsid w:val="00A53F08"/>
    <w:rsid w:val="00A53FFB"/>
    <w:rsid w:val="00A61D0A"/>
    <w:rsid w:val="00A73BC5"/>
    <w:rsid w:val="00A849B0"/>
    <w:rsid w:val="00A921E0"/>
    <w:rsid w:val="00A922F4"/>
    <w:rsid w:val="00AA2D2E"/>
    <w:rsid w:val="00AB5328"/>
    <w:rsid w:val="00AB763E"/>
    <w:rsid w:val="00AC0182"/>
    <w:rsid w:val="00AC18F0"/>
    <w:rsid w:val="00AD6B50"/>
    <w:rsid w:val="00AE5526"/>
    <w:rsid w:val="00AE5E59"/>
    <w:rsid w:val="00AF0391"/>
    <w:rsid w:val="00AF051B"/>
    <w:rsid w:val="00B01578"/>
    <w:rsid w:val="00B0252A"/>
    <w:rsid w:val="00B03589"/>
    <w:rsid w:val="00B044C9"/>
    <w:rsid w:val="00B0738F"/>
    <w:rsid w:val="00B10700"/>
    <w:rsid w:val="00B13D3B"/>
    <w:rsid w:val="00B22E7B"/>
    <w:rsid w:val="00B230DB"/>
    <w:rsid w:val="00B233C8"/>
    <w:rsid w:val="00B26601"/>
    <w:rsid w:val="00B32AAB"/>
    <w:rsid w:val="00B3658E"/>
    <w:rsid w:val="00B3740A"/>
    <w:rsid w:val="00B41951"/>
    <w:rsid w:val="00B53229"/>
    <w:rsid w:val="00B540B7"/>
    <w:rsid w:val="00B559B9"/>
    <w:rsid w:val="00B62480"/>
    <w:rsid w:val="00B717F4"/>
    <w:rsid w:val="00B74252"/>
    <w:rsid w:val="00B81B70"/>
    <w:rsid w:val="00B91A97"/>
    <w:rsid w:val="00BA1F9F"/>
    <w:rsid w:val="00BA214C"/>
    <w:rsid w:val="00BA2D14"/>
    <w:rsid w:val="00BA3C2E"/>
    <w:rsid w:val="00BB3BAB"/>
    <w:rsid w:val="00BB5ED0"/>
    <w:rsid w:val="00BC194F"/>
    <w:rsid w:val="00BC63C2"/>
    <w:rsid w:val="00BC7FA3"/>
    <w:rsid w:val="00BD0724"/>
    <w:rsid w:val="00BD2B91"/>
    <w:rsid w:val="00BD4351"/>
    <w:rsid w:val="00BD61B3"/>
    <w:rsid w:val="00BD6E87"/>
    <w:rsid w:val="00BE5521"/>
    <w:rsid w:val="00BF001F"/>
    <w:rsid w:val="00BF0BBA"/>
    <w:rsid w:val="00BF6C23"/>
    <w:rsid w:val="00C17BBD"/>
    <w:rsid w:val="00C21B21"/>
    <w:rsid w:val="00C24527"/>
    <w:rsid w:val="00C318F0"/>
    <w:rsid w:val="00C35203"/>
    <w:rsid w:val="00C40023"/>
    <w:rsid w:val="00C53263"/>
    <w:rsid w:val="00C63FD1"/>
    <w:rsid w:val="00C64DB3"/>
    <w:rsid w:val="00C661D4"/>
    <w:rsid w:val="00C666C9"/>
    <w:rsid w:val="00C75CF3"/>
    <w:rsid w:val="00C75F1D"/>
    <w:rsid w:val="00C92593"/>
    <w:rsid w:val="00C95156"/>
    <w:rsid w:val="00C95FE5"/>
    <w:rsid w:val="00C96B95"/>
    <w:rsid w:val="00CA0DC2"/>
    <w:rsid w:val="00CA2CDE"/>
    <w:rsid w:val="00CA6805"/>
    <w:rsid w:val="00CB3E35"/>
    <w:rsid w:val="00CB5B8B"/>
    <w:rsid w:val="00CB5F91"/>
    <w:rsid w:val="00CB68E8"/>
    <w:rsid w:val="00CC4AB6"/>
    <w:rsid w:val="00CE134F"/>
    <w:rsid w:val="00CE395C"/>
    <w:rsid w:val="00CF03A9"/>
    <w:rsid w:val="00CF115F"/>
    <w:rsid w:val="00D019E4"/>
    <w:rsid w:val="00D04F01"/>
    <w:rsid w:val="00D06414"/>
    <w:rsid w:val="00D10958"/>
    <w:rsid w:val="00D118CD"/>
    <w:rsid w:val="00D16299"/>
    <w:rsid w:val="00D16E18"/>
    <w:rsid w:val="00D20ED9"/>
    <w:rsid w:val="00D21593"/>
    <w:rsid w:val="00D24021"/>
    <w:rsid w:val="00D24E5A"/>
    <w:rsid w:val="00D338E4"/>
    <w:rsid w:val="00D40BA9"/>
    <w:rsid w:val="00D467FF"/>
    <w:rsid w:val="00D5149E"/>
    <w:rsid w:val="00D51947"/>
    <w:rsid w:val="00D527CA"/>
    <w:rsid w:val="00D532F0"/>
    <w:rsid w:val="00D56E0F"/>
    <w:rsid w:val="00D62CC8"/>
    <w:rsid w:val="00D638DE"/>
    <w:rsid w:val="00D647B2"/>
    <w:rsid w:val="00D72C82"/>
    <w:rsid w:val="00D74DC4"/>
    <w:rsid w:val="00D75AB9"/>
    <w:rsid w:val="00D77413"/>
    <w:rsid w:val="00D82759"/>
    <w:rsid w:val="00D8624A"/>
    <w:rsid w:val="00D86DE4"/>
    <w:rsid w:val="00DA064E"/>
    <w:rsid w:val="00DA1534"/>
    <w:rsid w:val="00DA18CF"/>
    <w:rsid w:val="00DA394C"/>
    <w:rsid w:val="00DA525B"/>
    <w:rsid w:val="00DB164A"/>
    <w:rsid w:val="00DB3C69"/>
    <w:rsid w:val="00DD01C8"/>
    <w:rsid w:val="00DD20C5"/>
    <w:rsid w:val="00DD7DED"/>
    <w:rsid w:val="00DE1909"/>
    <w:rsid w:val="00DE51DB"/>
    <w:rsid w:val="00DE7977"/>
    <w:rsid w:val="00DE7CCB"/>
    <w:rsid w:val="00DF3D0E"/>
    <w:rsid w:val="00DF4A82"/>
    <w:rsid w:val="00E23F1D"/>
    <w:rsid w:val="00E30E05"/>
    <w:rsid w:val="00E35622"/>
    <w:rsid w:val="00E36361"/>
    <w:rsid w:val="00E416FB"/>
    <w:rsid w:val="00E551D8"/>
    <w:rsid w:val="00E55AE9"/>
    <w:rsid w:val="00E72EB9"/>
    <w:rsid w:val="00E85349"/>
    <w:rsid w:val="00E87078"/>
    <w:rsid w:val="00E908C7"/>
    <w:rsid w:val="00E9306E"/>
    <w:rsid w:val="00E96A09"/>
    <w:rsid w:val="00EA1B08"/>
    <w:rsid w:val="00EA315B"/>
    <w:rsid w:val="00EA6CD7"/>
    <w:rsid w:val="00EA7A2C"/>
    <w:rsid w:val="00EB07EF"/>
    <w:rsid w:val="00EB0C84"/>
    <w:rsid w:val="00EB4CEB"/>
    <w:rsid w:val="00EB58C0"/>
    <w:rsid w:val="00EC3A08"/>
    <w:rsid w:val="00EE0CAB"/>
    <w:rsid w:val="00EE30D5"/>
    <w:rsid w:val="00EE55AF"/>
    <w:rsid w:val="00EF3406"/>
    <w:rsid w:val="00EF4188"/>
    <w:rsid w:val="00F129B8"/>
    <w:rsid w:val="00F137FC"/>
    <w:rsid w:val="00F16D56"/>
    <w:rsid w:val="00F17FDE"/>
    <w:rsid w:val="00F35047"/>
    <w:rsid w:val="00F366C5"/>
    <w:rsid w:val="00F37ACA"/>
    <w:rsid w:val="00F37C12"/>
    <w:rsid w:val="00F40D53"/>
    <w:rsid w:val="00F44506"/>
    <w:rsid w:val="00F4525C"/>
    <w:rsid w:val="00F50D86"/>
    <w:rsid w:val="00F625EB"/>
    <w:rsid w:val="00F73152"/>
    <w:rsid w:val="00F769D4"/>
    <w:rsid w:val="00F84F56"/>
    <w:rsid w:val="00F85957"/>
    <w:rsid w:val="00F86EC3"/>
    <w:rsid w:val="00FA68CC"/>
    <w:rsid w:val="00FB135C"/>
    <w:rsid w:val="00FB47EC"/>
    <w:rsid w:val="00FC43C1"/>
    <w:rsid w:val="00FC4A06"/>
    <w:rsid w:val="00FC6DE7"/>
    <w:rsid w:val="00FD0F57"/>
    <w:rsid w:val="00FD29D3"/>
    <w:rsid w:val="00FD3E11"/>
    <w:rsid w:val="00FE21BB"/>
    <w:rsid w:val="00FE3F0B"/>
    <w:rsid w:val="00FF0B67"/>
    <w:rsid w:val="00FF2D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3E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348C7"/>
    <w:rPr>
      <w:rFonts w:ascii="Arial" w:eastAsia="Arial" w:hAnsi="Arial"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BF001F"/>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019E4"/>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autoRedefine/>
    <w:qFormat/>
    <w:rsid w:val="00842837"/>
    <w:pPr>
      <w:keepNext/>
      <w:keepLines/>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autoRedefine/>
    <w:qFormat/>
    <w:rsid w:val="0012048C"/>
    <w:pPr>
      <w:keepNext/>
      <w:keepLines/>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VCAAbold">
    <w:name w:val="VCAA bold"/>
    <w:basedOn w:val="DefaultParagraphFont"/>
    <w:uiPriority w:val="1"/>
    <w:qFormat/>
    <w:rsid w:val="00FF0B67"/>
    <w:rPr>
      <w:b/>
      <w:bCs/>
      <w:lang w:eastAsia="en-AU"/>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Style1">
    <w:name w:val="Style 1"/>
    <w:basedOn w:val="NormalWeb"/>
    <w:link w:val="Style1Char"/>
    <w:rsid w:val="008A5933"/>
    <w:pPr>
      <w:spacing w:after="0" w:line="240" w:lineRule="auto"/>
    </w:pPr>
    <w:rPr>
      <w:rFonts w:eastAsia="SimSun"/>
      <w:sz w:val="22"/>
      <w:szCs w:val="20"/>
    </w:rPr>
  </w:style>
  <w:style w:type="character" w:customStyle="1" w:styleId="Style1Char">
    <w:name w:val="Style 1 Char"/>
    <w:basedOn w:val="DefaultParagraphFont"/>
    <w:link w:val="Style1"/>
    <w:rsid w:val="008A5933"/>
    <w:rPr>
      <w:rFonts w:ascii="Times New Roman" w:eastAsia="SimSun" w:hAnsi="Times New Roman" w:cs="Times New Roman"/>
      <w:szCs w:val="20"/>
      <w:lang w:val="en-AU"/>
    </w:rPr>
  </w:style>
  <w:style w:type="paragraph" w:styleId="NormalWeb">
    <w:name w:val="Normal (Web)"/>
    <w:basedOn w:val="Normal"/>
    <w:uiPriority w:val="99"/>
    <w:semiHidden/>
    <w:unhideWhenUsed/>
    <w:rsid w:val="008A5933"/>
    <w:rPr>
      <w:rFonts w:ascii="Times New Roman" w:hAnsi="Times New Roman"/>
      <w:sz w:val="24"/>
      <w:szCs w:val="24"/>
    </w:rPr>
  </w:style>
  <w:style w:type="paragraph" w:customStyle="1" w:styleId="VCAAstatsnumbers">
    <w:name w:val="VCAA stats numbers"/>
    <w:basedOn w:val="Normal"/>
    <w:rsid w:val="008A5933"/>
    <w:pPr>
      <w:keepNext/>
      <w:spacing w:after="0" w:line="240" w:lineRule="auto"/>
      <w:jc w:val="center"/>
    </w:pPr>
    <w:rPr>
      <w:rFonts w:eastAsia="Times New Roman"/>
      <w:szCs w:val="24"/>
      <w:lang w:eastAsia="zh-CN"/>
    </w:rPr>
  </w:style>
  <w:style w:type="table" w:customStyle="1" w:styleId="VCAATableClosed1">
    <w:name w:val="VCAA Table Closed1"/>
    <w:basedOn w:val="TableNormal"/>
    <w:uiPriority w:val="99"/>
    <w:rsid w:val="00F86EC3"/>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customStyle="1" w:styleId="VCAAitalics">
    <w:name w:val="VCAA italics"/>
    <w:basedOn w:val="DefaultParagraphFont"/>
    <w:uiPriority w:val="1"/>
    <w:qFormat/>
    <w:rsid w:val="00922AB4"/>
    <w:rPr>
      <w:i/>
      <w:iCs/>
    </w:rPr>
  </w:style>
  <w:style w:type="paragraph" w:styleId="Revision">
    <w:name w:val="Revision"/>
    <w:hidden/>
    <w:uiPriority w:val="99"/>
    <w:semiHidden/>
    <w:rsid w:val="00EB4CEB"/>
    <w:pPr>
      <w:spacing w:after="0" w:line="240" w:lineRule="auto"/>
    </w:pPr>
    <w:rPr>
      <w:rFonts w:ascii="Arial" w:eastAsia="Arial" w:hAnsi="Arial" w:cs="Times New Roman"/>
    </w:rPr>
  </w:style>
  <w:style w:type="paragraph" w:customStyle="1" w:styleId="VCAAtablecondensedcentered">
    <w:name w:val="VCAA table condensed centered"/>
    <w:basedOn w:val="VCAAtablecondensed"/>
    <w:rsid w:val="008F0D01"/>
    <w:pPr>
      <w:jc w:val="center"/>
    </w:pPr>
    <w:rPr>
      <w:rFonts w:eastAsia="Times New Roman"/>
      <w:color w:val="000000" w:themeColor="text1"/>
    </w:rPr>
  </w:style>
  <w:style w:type="paragraph" w:customStyle="1" w:styleId="VCAAstudentresponse">
    <w:name w:val="VCAA student response"/>
    <w:basedOn w:val="VCAAbody"/>
    <w:qFormat/>
    <w:rsid w:val="008D4B1E"/>
    <w:pPr>
      <w:ind w:left="284"/>
    </w:pPr>
    <w:rPr>
      <w:i/>
      <w:iCs/>
    </w:rPr>
  </w:style>
  <w:style w:type="paragraph" w:styleId="BodyText">
    <w:name w:val="Body Text"/>
    <w:basedOn w:val="Normal"/>
    <w:link w:val="BodyTextChar"/>
    <w:uiPriority w:val="99"/>
    <w:unhideWhenUsed/>
    <w:rsid w:val="001369BF"/>
    <w:pPr>
      <w:overflowPunct w:val="0"/>
      <w:autoSpaceDE w:val="0"/>
      <w:autoSpaceDN w:val="0"/>
      <w:adjustRightInd w:val="0"/>
      <w:spacing w:after="0" w:line="240" w:lineRule="auto"/>
      <w:textAlignment w:val="baseline"/>
    </w:pPr>
    <w:rPr>
      <w:rFonts w:ascii="Verdana" w:eastAsia="Times New Roman" w:hAnsi="Verdana"/>
      <w:szCs w:val="20"/>
      <w:lang w:eastAsia="en-AU"/>
    </w:rPr>
  </w:style>
  <w:style w:type="character" w:customStyle="1" w:styleId="BodyTextChar">
    <w:name w:val="Body Text Char"/>
    <w:basedOn w:val="DefaultParagraphFont"/>
    <w:link w:val="BodyText"/>
    <w:uiPriority w:val="99"/>
    <w:rsid w:val="001369BF"/>
    <w:rPr>
      <w:rFonts w:ascii="Verdana" w:eastAsia="Times New Roman" w:hAnsi="Verdana" w:cs="Times New Roman"/>
      <w:szCs w:val="20"/>
      <w:lang w:val="en-AU" w:eastAsia="en-AU"/>
    </w:rPr>
  </w:style>
  <w:style w:type="paragraph" w:styleId="ListParagraph">
    <w:name w:val="List Paragraph"/>
    <w:basedOn w:val="Normal"/>
    <w:uiPriority w:val="34"/>
    <w:qFormat/>
    <w:rsid w:val="004A2D46"/>
    <w:pPr>
      <w:spacing w:after="0" w:line="240" w:lineRule="auto"/>
      <w:ind w:left="72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98409">
      <w:bodyDiv w:val="1"/>
      <w:marLeft w:val="0"/>
      <w:marRight w:val="0"/>
      <w:marTop w:val="0"/>
      <w:marBottom w:val="0"/>
      <w:divBdr>
        <w:top w:val="none" w:sz="0" w:space="0" w:color="auto"/>
        <w:left w:val="none" w:sz="0" w:space="0" w:color="auto"/>
        <w:bottom w:val="none" w:sz="0" w:space="0" w:color="auto"/>
        <w:right w:val="none" w:sz="0" w:space="0" w:color="auto"/>
      </w:divBdr>
    </w:div>
    <w:div w:id="1339194251">
      <w:bodyDiv w:val="1"/>
      <w:marLeft w:val="0"/>
      <w:marRight w:val="0"/>
      <w:marTop w:val="0"/>
      <w:marBottom w:val="0"/>
      <w:divBdr>
        <w:top w:val="none" w:sz="0" w:space="0" w:color="auto"/>
        <w:left w:val="none" w:sz="0" w:space="0" w:color="auto"/>
        <w:bottom w:val="none" w:sz="0" w:space="0" w:color="auto"/>
        <w:right w:val="none" w:sz="0" w:space="0" w:color="auto"/>
      </w:divBdr>
    </w:div>
    <w:div w:id="1887524068">
      <w:bodyDiv w:val="1"/>
      <w:marLeft w:val="0"/>
      <w:marRight w:val="0"/>
      <w:marTop w:val="0"/>
      <w:marBottom w:val="0"/>
      <w:divBdr>
        <w:top w:val="none" w:sz="0" w:space="0" w:color="auto"/>
        <w:left w:val="none" w:sz="0" w:space="0" w:color="auto"/>
        <w:bottom w:val="none" w:sz="0" w:space="0" w:color="auto"/>
        <w:right w:val="none" w:sz="0" w:space="0" w:color="auto"/>
      </w:divBdr>
    </w:div>
    <w:div w:id="19926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Extended Investigation; Critical Thinking Test; eam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FC3A457-B7C4-4E2E-BBE6-B09F52C6C0FC}">
  <ds:schemaRefs>
    <ds:schemaRef ds:uri="http://schemas.openxmlformats.org/officeDocument/2006/bibliography"/>
  </ds:schemaRefs>
</ds:datastoreItem>
</file>

<file path=customXml/itemProps2.xml><?xml version="1.0" encoding="utf-8"?>
<ds:datastoreItem xmlns:ds="http://schemas.openxmlformats.org/officeDocument/2006/customXml" ds:itemID="{B0095B62-5276-4EC8-BFA7-F006EEE7AB1E}"/>
</file>

<file path=customXml/itemProps3.xml><?xml version="1.0" encoding="utf-8"?>
<ds:datastoreItem xmlns:ds="http://schemas.openxmlformats.org/officeDocument/2006/customXml" ds:itemID="{75F772FC-5F63-433F-BA9E-8D6DD0C5C019}"/>
</file>

<file path=customXml/itemProps4.xml><?xml version="1.0" encoding="utf-8"?>
<ds:datastoreItem xmlns:ds="http://schemas.openxmlformats.org/officeDocument/2006/customXml" ds:itemID="{C0069D65-23D1-4A89-B676-244EFDCAD094}"/>
</file>

<file path=docProps/app.xml><?xml version="1.0" encoding="utf-8"?>
<Properties xmlns="http://schemas.openxmlformats.org/officeDocument/2006/extended-properties" xmlns:vt="http://schemas.openxmlformats.org/officeDocument/2006/docPropsVTypes">
  <Template>Normal.dotm</Template>
  <TotalTime>0</TotalTime>
  <Pages>8</Pages>
  <Words>3760</Words>
  <Characters>21434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Extended Investigation Critical Thinking Test report</dc:title>
  <dc:creator/>
  <cp:keywords>2021; VCE; Extended Investigation; Critical Thinking Test; exam report</cp:keywords>
  <cp:lastModifiedBy/>
  <cp:revision>1</cp:revision>
  <dcterms:created xsi:type="dcterms:W3CDTF">2022-02-18T07:43:00Z</dcterms:created>
  <dcterms:modified xsi:type="dcterms:W3CDTF">2022-02-18T07:45:00Z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